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EA398" w14:textId="77777777" w:rsidR="00F730DE" w:rsidRDefault="008E3A84">
      <w:pPr>
        <w:jc w:val="center"/>
        <w:rPr>
          <w:rFonts w:ascii="宋体" w:eastAsia="宋体" w:hAnsi="宋体" w:cs="宋体"/>
          <w:b/>
          <w:bCs/>
          <w:sz w:val="28"/>
          <w:szCs w:val="36"/>
        </w:rPr>
      </w:pPr>
      <w:r>
        <w:rPr>
          <w:rFonts w:ascii="宋体" w:eastAsia="宋体" w:hAnsi="宋体" w:cs="宋体" w:hint="eastAsia"/>
          <w:b/>
          <w:bCs/>
          <w:sz w:val="28"/>
          <w:szCs w:val="36"/>
        </w:rPr>
        <w:t>校园安全评估服务</w:t>
      </w:r>
      <w:r>
        <w:rPr>
          <w:rFonts w:ascii="宋体" w:eastAsia="宋体" w:hAnsi="宋体" w:cs="宋体" w:hint="eastAsia"/>
          <w:b/>
          <w:bCs/>
          <w:sz w:val="28"/>
          <w:szCs w:val="36"/>
        </w:rPr>
        <w:t>--</w:t>
      </w:r>
      <w:r>
        <w:rPr>
          <w:rFonts w:ascii="宋体" w:eastAsia="宋体" w:hAnsi="宋体" w:cs="宋体" w:hint="eastAsia"/>
          <w:b/>
          <w:bCs/>
          <w:sz w:val="28"/>
          <w:szCs w:val="36"/>
        </w:rPr>
        <w:t>采购需求</w:t>
      </w:r>
    </w:p>
    <w:p w14:paraId="5283B9A4" w14:textId="77777777" w:rsidR="00F730DE" w:rsidRDefault="00F730DE"/>
    <w:p w14:paraId="289C7C10" w14:textId="77777777" w:rsidR="00F730DE" w:rsidRDefault="008E3A84">
      <w:pPr>
        <w:widowControl/>
        <w:spacing w:line="360" w:lineRule="auto"/>
        <w:jc w:val="left"/>
        <w:outlineLvl w:val="0"/>
        <w:rPr>
          <w:rFonts w:ascii="Times New Roman" w:eastAsia="宋体" w:hAnsi="Times New Roman" w:cs="Times New Roman"/>
          <w:sz w:val="24"/>
        </w:rPr>
      </w:pPr>
      <w:r>
        <w:rPr>
          <w:rFonts w:ascii="宋体" w:eastAsia="宋体" w:hAnsi="宋体" w:cs="宋体" w:hint="eastAsia"/>
          <w:b/>
          <w:bCs/>
          <w:color w:val="000000"/>
          <w:kern w:val="0"/>
          <w:sz w:val="28"/>
          <w:szCs w:val="28"/>
        </w:rPr>
        <w:t>一、申请人的资格要求</w:t>
      </w:r>
      <w:r>
        <w:rPr>
          <w:rFonts w:ascii="宋体" w:eastAsia="宋体" w:hAnsi="宋体" w:cs="宋体" w:hint="eastAsia"/>
          <w:b/>
          <w:bCs/>
          <w:color w:val="000000"/>
          <w:kern w:val="0"/>
          <w:sz w:val="28"/>
          <w:szCs w:val="28"/>
        </w:rPr>
        <w:t xml:space="preserve"> </w:t>
      </w:r>
    </w:p>
    <w:p w14:paraId="755E2A5E"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1</w:t>
      </w:r>
      <w:r>
        <w:rPr>
          <w:rFonts w:ascii="宋体" w:eastAsia="宋体" w:hAnsi="宋体" w:cs="Times New Roman" w:hint="eastAsia"/>
          <w:color w:val="000000"/>
          <w:sz w:val="24"/>
        </w:rPr>
        <w:t>、满足《中华人民共和国政府采购法》第二十二条规定，即：</w:t>
      </w:r>
    </w:p>
    <w:p w14:paraId="7A6F5177"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w:t>
      </w:r>
      <w:r>
        <w:rPr>
          <w:rFonts w:ascii="宋体" w:eastAsia="宋体" w:hAnsi="宋体" w:cs="Times New Roman" w:hint="eastAsia"/>
          <w:color w:val="000000"/>
          <w:sz w:val="24"/>
        </w:rPr>
        <w:t>1</w:t>
      </w:r>
      <w:r>
        <w:rPr>
          <w:rFonts w:ascii="宋体" w:eastAsia="宋体" w:hAnsi="宋体" w:cs="Times New Roman" w:hint="eastAsia"/>
          <w:color w:val="000000"/>
          <w:sz w:val="24"/>
        </w:rPr>
        <w:t>）具有独立承担民事责任的能力；</w:t>
      </w:r>
    </w:p>
    <w:p w14:paraId="1EB9EE1D"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w:t>
      </w:r>
      <w:r>
        <w:rPr>
          <w:rFonts w:ascii="宋体" w:eastAsia="宋体" w:hAnsi="宋体" w:cs="Times New Roman" w:hint="eastAsia"/>
          <w:color w:val="000000"/>
          <w:sz w:val="24"/>
        </w:rPr>
        <w:t>2</w:t>
      </w:r>
      <w:r>
        <w:rPr>
          <w:rFonts w:ascii="宋体" w:eastAsia="宋体" w:hAnsi="宋体" w:cs="Times New Roman" w:hint="eastAsia"/>
          <w:color w:val="000000"/>
          <w:sz w:val="24"/>
        </w:rPr>
        <w:t>）具有良好的商业信誉和健全的财务会计制度；</w:t>
      </w:r>
    </w:p>
    <w:p w14:paraId="5E25CB46"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w:t>
      </w:r>
      <w:r>
        <w:rPr>
          <w:rFonts w:ascii="宋体" w:eastAsia="宋体" w:hAnsi="宋体" w:cs="Times New Roman" w:hint="eastAsia"/>
          <w:color w:val="000000"/>
          <w:sz w:val="24"/>
        </w:rPr>
        <w:t>3</w:t>
      </w:r>
      <w:r>
        <w:rPr>
          <w:rFonts w:ascii="宋体" w:eastAsia="宋体" w:hAnsi="宋体" w:cs="Times New Roman" w:hint="eastAsia"/>
          <w:color w:val="000000"/>
          <w:sz w:val="24"/>
        </w:rPr>
        <w:t>）具有履行合同所必需的设备和专业技术能力；</w:t>
      </w:r>
    </w:p>
    <w:p w14:paraId="138C8D24"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w:t>
      </w:r>
      <w:r>
        <w:rPr>
          <w:rFonts w:ascii="宋体" w:eastAsia="宋体" w:hAnsi="宋体" w:cs="Times New Roman" w:hint="eastAsia"/>
          <w:color w:val="000000"/>
          <w:sz w:val="24"/>
        </w:rPr>
        <w:t>4</w:t>
      </w:r>
      <w:r>
        <w:rPr>
          <w:rFonts w:ascii="宋体" w:eastAsia="宋体" w:hAnsi="宋体" w:cs="Times New Roman" w:hint="eastAsia"/>
          <w:color w:val="000000"/>
          <w:sz w:val="24"/>
        </w:rPr>
        <w:t>）有依法缴纳税收和社会保障资金的良好记录；</w:t>
      </w:r>
    </w:p>
    <w:p w14:paraId="5308FEB6"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w:t>
      </w:r>
      <w:r>
        <w:rPr>
          <w:rFonts w:ascii="宋体" w:eastAsia="宋体" w:hAnsi="宋体" w:cs="Times New Roman" w:hint="eastAsia"/>
          <w:color w:val="000000"/>
          <w:sz w:val="24"/>
        </w:rPr>
        <w:t>5</w:t>
      </w:r>
      <w:r>
        <w:rPr>
          <w:rFonts w:ascii="宋体" w:eastAsia="宋体" w:hAnsi="宋体" w:cs="Times New Roman" w:hint="eastAsia"/>
          <w:color w:val="000000"/>
          <w:sz w:val="24"/>
        </w:rPr>
        <w:t>）参加政府采购活动前三年内，在经营活动中没有重大违法记录；</w:t>
      </w:r>
    </w:p>
    <w:p w14:paraId="4210A338"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w:t>
      </w:r>
      <w:r>
        <w:rPr>
          <w:rFonts w:ascii="宋体" w:eastAsia="宋体" w:hAnsi="宋体" w:cs="Times New Roman" w:hint="eastAsia"/>
          <w:color w:val="000000"/>
          <w:sz w:val="24"/>
        </w:rPr>
        <w:t>6</w:t>
      </w:r>
      <w:r>
        <w:rPr>
          <w:rFonts w:ascii="宋体" w:eastAsia="宋体" w:hAnsi="宋体" w:cs="Times New Roman" w:hint="eastAsia"/>
          <w:color w:val="000000"/>
          <w:sz w:val="24"/>
        </w:rPr>
        <w:t>）法律、行政法规规定的其他条件。</w:t>
      </w:r>
    </w:p>
    <w:p w14:paraId="3FF80E77"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2</w:t>
      </w:r>
      <w:r>
        <w:rPr>
          <w:rFonts w:ascii="宋体" w:eastAsia="宋体" w:hAnsi="宋体" w:cs="Times New Roman" w:hint="eastAsia"/>
          <w:color w:val="000000"/>
          <w:sz w:val="24"/>
        </w:rPr>
        <w:t>、单位负责人为同一人或者存在直接控股、管理关系的不同投标人，不得参加本项目同一合同项下的政府采购活动。</w:t>
      </w:r>
    </w:p>
    <w:p w14:paraId="48B64F97"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3</w:t>
      </w:r>
      <w:r>
        <w:rPr>
          <w:rFonts w:ascii="宋体" w:eastAsia="宋体" w:hAnsi="宋体" w:cs="Times New Roman" w:hint="eastAsia"/>
          <w:color w:val="000000"/>
          <w:sz w:val="24"/>
        </w:rPr>
        <w:t>、为本采购项目提供整体设计、规范编制或者项目管理、监理、检测等服务的，不得再参加本项目的其他招标采购活动。</w:t>
      </w:r>
    </w:p>
    <w:p w14:paraId="7D3D4579"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4</w:t>
      </w:r>
      <w:r>
        <w:rPr>
          <w:rFonts w:ascii="宋体" w:eastAsia="宋体" w:hAnsi="宋体" w:cs="Times New Roman" w:hint="eastAsia"/>
          <w:color w:val="000000"/>
          <w:sz w:val="24"/>
        </w:rPr>
        <w:t>、未被列入失信被执行人、重大税收违法案件当事人名单，未被列入政府采购严重违法失信行为记录名单。</w:t>
      </w:r>
    </w:p>
    <w:p w14:paraId="546FAD95" w14:textId="77777777" w:rsidR="00F730DE" w:rsidRDefault="008E3A84">
      <w:pPr>
        <w:widowControl/>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t>5</w:t>
      </w:r>
      <w:r>
        <w:rPr>
          <w:rFonts w:ascii="宋体" w:eastAsia="宋体" w:hAnsi="宋体" w:cs="Times New Roman" w:hint="eastAsia"/>
          <w:color w:val="000000"/>
          <w:sz w:val="24"/>
        </w:rPr>
        <w:t>、落实政府采购政策需满足的资格要求：专门面向中小微企业（监狱企业、残疾人福利性单位、符合中小企业划分标准的个体工商户视同中小企业）；供应商需提供《中小企业声明函》。本项目采购标的对应的中小企业划分标准所属行业为</w:t>
      </w:r>
      <w:r>
        <w:rPr>
          <w:rFonts w:ascii="宋体" w:eastAsia="宋体" w:hAnsi="宋体" w:cs="Times New Roman" w:hint="eastAsia"/>
          <w:color w:val="000000"/>
          <w:sz w:val="24"/>
        </w:rPr>
        <w:t>“其他未列明行业”</w:t>
      </w:r>
      <w:r>
        <w:rPr>
          <w:rFonts w:ascii="宋体" w:eastAsia="宋体" w:hAnsi="宋体" w:cs="Times New Roman" w:hint="eastAsia"/>
          <w:color w:val="000000"/>
          <w:sz w:val="24"/>
        </w:rPr>
        <w:t>。</w:t>
      </w:r>
    </w:p>
    <w:p w14:paraId="11A03D43" w14:textId="77777777" w:rsidR="00F730DE" w:rsidRDefault="008E3A84">
      <w:pPr>
        <w:widowControl/>
        <w:spacing w:line="360" w:lineRule="auto"/>
        <w:ind w:firstLineChars="200" w:firstLine="480"/>
        <w:jc w:val="left"/>
        <w:rPr>
          <w:rFonts w:ascii="Times New Roman" w:eastAsia="宋体" w:hAnsi="Times New Roman" w:cs="Times New Roman"/>
          <w:sz w:val="24"/>
        </w:rPr>
      </w:pPr>
      <w:r>
        <w:rPr>
          <w:rFonts w:ascii="宋体" w:eastAsia="宋体" w:hAnsi="宋体" w:cs="Times New Roman" w:hint="eastAsia"/>
          <w:color w:val="000000"/>
          <w:sz w:val="24"/>
        </w:rPr>
        <w:t>6</w:t>
      </w:r>
      <w:r>
        <w:rPr>
          <w:rFonts w:ascii="宋体" w:eastAsia="宋体" w:hAnsi="宋体" w:cs="Times New Roman" w:hint="eastAsia"/>
          <w:color w:val="000000"/>
          <w:sz w:val="24"/>
        </w:rPr>
        <w:t>、本项目的特定资格要求：</w:t>
      </w:r>
      <w:bookmarkStart w:id="0" w:name="_Toc35393631"/>
      <w:bookmarkStart w:id="1" w:name="_Toc35393800"/>
      <w:r>
        <w:rPr>
          <w:rFonts w:ascii="宋体" w:eastAsia="宋体" w:hAnsi="宋体" w:cs="Times New Roman" w:hint="eastAsia"/>
          <w:color w:val="000000"/>
          <w:sz w:val="24"/>
        </w:rPr>
        <w:t>/</w:t>
      </w:r>
      <w:bookmarkEnd w:id="0"/>
      <w:bookmarkEnd w:id="1"/>
      <w:r>
        <w:rPr>
          <w:rFonts w:ascii="宋体" w:eastAsia="宋体" w:hAnsi="宋体" w:cs="Times New Roman" w:hint="eastAsia"/>
          <w:color w:val="000000"/>
          <w:sz w:val="24"/>
        </w:rPr>
        <w:t>。</w:t>
      </w:r>
    </w:p>
    <w:p w14:paraId="75DF4DF5" w14:textId="77777777" w:rsidR="00F730DE" w:rsidRDefault="00F730DE"/>
    <w:p w14:paraId="3D61A68F" w14:textId="77777777" w:rsidR="00F730DE" w:rsidRDefault="008E3A84">
      <w:pPr>
        <w:widowControl/>
        <w:spacing w:line="360" w:lineRule="auto"/>
        <w:jc w:val="left"/>
        <w:outlineLvl w:val="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二、采购需求</w:t>
      </w:r>
    </w:p>
    <w:p w14:paraId="6E3E9D16" w14:textId="77777777" w:rsidR="00F730DE" w:rsidRDefault="00F730DE"/>
    <w:p w14:paraId="70BF4DBA" w14:textId="77777777" w:rsidR="00F730DE" w:rsidRDefault="008E3A84">
      <w:pPr>
        <w:widowControl/>
        <w:kinsoku w:val="0"/>
        <w:autoSpaceDE w:val="0"/>
        <w:autoSpaceDN w:val="0"/>
        <w:adjustRightInd w:val="0"/>
        <w:snapToGrid w:val="0"/>
        <w:spacing w:line="360" w:lineRule="auto"/>
        <w:jc w:val="left"/>
        <w:textAlignment w:val="baseline"/>
        <w:outlineLvl w:val="1"/>
        <w:rPr>
          <w:rFonts w:ascii="宋体" w:eastAsia="宋体" w:hAnsi="宋体" w:cs="宋体"/>
          <w:snapToGrid w:val="0"/>
          <w:color w:val="000000"/>
          <w:kern w:val="0"/>
          <w:sz w:val="28"/>
          <w:szCs w:val="28"/>
        </w:rPr>
      </w:pPr>
      <w:r>
        <w:rPr>
          <w:rFonts w:ascii="宋体" w:eastAsia="宋体" w:hAnsi="宋体" w:cs="宋体"/>
          <w:b/>
          <w:bCs/>
          <w:snapToGrid w:val="0"/>
          <w:color w:val="000000"/>
          <w:spacing w:val="-4"/>
          <w:kern w:val="0"/>
          <w:sz w:val="28"/>
          <w:szCs w:val="28"/>
        </w:rPr>
        <w:t>采购需求汇总</w:t>
      </w:r>
    </w:p>
    <w:p w14:paraId="0AA210D8" w14:textId="77777777" w:rsidR="00F730DE" w:rsidRDefault="00F730DE">
      <w:pPr>
        <w:widowControl/>
        <w:kinsoku w:val="0"/>
        <w:autoSpaceDE w:val="0"/>
        <w:autoSpaceDN w:val="0"/>
        <w:adjustRightInd w:val="0"/>
        <w:snapToGrid w:val="0"/>
        <w:spacing w:line="147" w:lineRule="exact"/>
        <w:jc w:val="left"/>
        <w:textAlignment w:val="baseline"/>
        <w:rPr>
          <w:rFonts w:ascii="Arial" w:eastAsia="Arial" w:hAnsi="Arial" w:cs="Arial"/>
          <w:snapToGrid w:val="0"/>
          <w:color w:val="000000"/>
          <w:kern w:val="0"/>
          <w:szCs w:val="21"/>
        </w:rPr>
      </w:pPr>
    </w:p>
    <w:tbl>
      <w:tblPr>
        <w:tblStyle w:val="TableNormal"/>
        <w:tblW w:w="9109" w:type="dxa"/>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46"/>
        <w:gridCol w:w="2264"/>
        <w:gridCol w:w="1403"/>
        <w:gridCol w:w="708"/>
        <w:gridCol w:w="880"/>
        <w:gridCol w:w="688"/>
        <w:gridCol w:w="849"/>
        <w:gridCol w:w="981"/>
        <w:gridCol w:w="790"/>
      </w:tblGrid>
      <w:tr w:rsidR="00F730DE" w14:paraId="7980800B" w14:textId="77777777">
        <w:trPr>
          <w:trHeight w:val="1251"/>
        </w:trPr>
        <w:tc>
          <w:tcPr>
            <w:tcW w:w="546" w:type="dxa"/>
            <w:textDirection w:val="tbRlV"/>
          </w:tcPr>
          <w:p w14:paraId="3F923A64" w14:textId="77777777" w:rsidR="00F730DE" w:rsidRDefault="008E3A84">
            <w:pPr>
              <w:kinsoku w:val="0"/>
              <w:autoSpaceDE w:val="0"/>
              <w:autoSpaceDN w:val="0"/>
              <w:adjustRightInd w:val="0"/>
              <w:snapToGrid w:val="0"/>
              <w:spacing w:before="213" w:line="209" w:lineRule="auto"/>
              <w:ind w:left="350"/>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spacing w:val="-1"/>
                <w:kern w:val="0"/>
                <w:sz w:val="24"/>
                <w:lang w:eastAsia="en-US"/>
              </w:rPr>
              <w:t>包</w:t>
            </w:r>
            <w:r>
              <w:rPr>
                <w:rFonts w:ascii="宋体" w:eastAsia="宋体" w:hAnsi="宋体" w:cs="宋体"/>
                <w:snapToGrid w:val="0"/>
                <w:color w:val="000000"/>
                <w:spacing w:val="-47"/>
                <w:kern w:val="0"/>
                <w:sz w:val="24"/>
                <w:lang w:eastAsia="en-US"/>
              </w:rPr>
              <w:t xml:space="preserve"> </w:t>
            </w:r>
            <w:r>
              <w:rPr>
                <w:rFonts w:ascii="宋体" w:eastAsia="宋体" w:hAnsi="宋体" w:cs="宋体"/>
                <w:snapToGrid w:val="0"/>
                <w:color w:val="000000"/>
                <w:spacing w:val="-1"/>
                <w:kern w:val="0"/>
                <w:sz w:val="24"/>
                <w:lang w:eastAsia="en-US"/>
              </w:rPr>
              <w:t>号</w:t>
            </w:r>
          </w:p>
        </w:tc>
        <w:tc>
          <w:tcPr>
            <w:tcW w:w="2264" w:type="dxa"/>
          </w:tcPr>
          <w:p w14:paraId="6134C9B4" w14:textId="77777777" w:rsidR="00F730DE" w:rsidRDefault="00F730DE">
            <w:pPr>
              <w:widowControl/>
              <w:kinsoku w:val="0"/>
              <w:autoSpaceDE w:val="0"/>
              <w:autoSpaceDN w:val="0"/>
              <w:adjustRightInd w:val="0"/>
              <w:snapToGrid w:val="0"/>
              <w:spacing w:line="426" w:lineRule="auto"/>
              <w:jc w:val="left"/>
              <w:textAlignment w:val="baseline"/>
              <w:rPr>
                <w:rFonts w:ascii="Arial" w:eastAsia="Arial" w:hAnsi="Arial" w:cs="Arial"/>
                <w:snapToGrid w:val="0"/>
                <w:color w:val="000000"/>
                <w:kern w:val="0"/>
                <w:szCs w:val="21"/>
                <w:lang w:eastAsia="en-US"/>
              </w:rPr>
            </w:pPr>
          </w:p>
          <w:p w14:paraId="6973ACF5" w14:textId="77777777" w:rsidR="00F730DE" w:rsidRDefault="008E3A84">
            <w:pPr>
              <w:kinsoku w:val="0"/>
              <w:autoSpaceDE w:val="0"/>
              <w:autoSpaceDN w:val="0"/>
              <w:adjustRightInd w:val="0"/>
              <w:snapToGrid w:val="0"/>
              <w:spacing w:before="78" w:line="220" w:lineRule="auto"/>
              <w:ind w:left="454"/>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3"/>
                <w:kern w:val="0"/>
                <w:sz w:val="24"/>
                <w:lang w:eastAsia="en-US"/>
              </w:rPr>
              <w:t>标的名称</w:t>
            </w:r>
            <w:proofErr w:type="spellEnd"/>
          </w:p>
        </w:tc>
        <w:tc>
          <w:tcPr>
            <w:tcW w:w="1403" w:type="dxa"/>
          </w:tcPr>
          <w:p w14:paraId="6FD5D379" w14:textId="77777777" w:rsidR="00F730DE" w:rsidRDefault="00F730DE">
            <w:pPr>
              <w:widowControl/>
              <w:kinsoku w:val="0"/>
              <w:autoSpaceDE w:val="0"/>
              <w:autoSpaceDN w:val="0"/>
              <w:adjustRightInd w:val="0"/>
              <w:snapToGrid w:val="0"/>
              <w:spacing w:line="271" w:lineRule="auto"/>
              <w:jc w:val="left"/>
              <w:textAlignment w:val="baseline"/>
              <w:rPr>
                <w:rFonts w:ascii="Arial" w:eastAsia="Arial" w:hAnsi="Arial" w:cs="Arial"/>
                <w:snapToGrid w:val="0"/>
                <w:color w:val="000000"/>
                <w:kern w:val="0"/>
                <w:szCs w:val="21"/>
                <w:lang w:eastAsia="en-US"/>
              </w:rPr>
            </w:pPr>
          </w:p>
          <w:p w14:paraId="6E0449D7" w14:textId="77777777" w:rsidR="00F730DE" w:rsidRDefault="008E3A84">
            <w:pPr>
              <w:kinsoku w:val="0"/>
              <w:autoSpaceDE w:val="0"/>
              <w:autoSpaceDN w:val="0"/>
              <w:adjustRightInd w:val="0"/>
              <w:snapToGrid w:val="0"/>
              <w:spacing w:before="78" w:line="242" w:lineRule="auto"/>
              <w:ind w:left="428" w:right="176" w:hanging="222"/>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8"/>
                <w:kern w:val="0"/>
                <w:sz w:val="24"/>
                <w:lang w:eastAsia="en-US"/>
              </w:rPr>
              <w:t>品目分类</w:t>
            </w:r>
            <w:r>
              <w:rPr>
                <w:rFonts w:ascii="宋体" w:eastAsia="宋体" w:hAnsi="宋体" w:cs="宋体"/>
                <w:snapToGrid w:val="0"/>
                <w:color w:val="000000"/>
                <w:spacing w:val="-6"/>
                <w:kern w:val="0"/>
                <w:sz w:val="24"/>
                <w:lang w:eastAsia="en-US"/>
              </w:rPr>
              <w:t>编码</w:t>
            </w:r>
            <w:proofErr w:type="spellEnd"/>
          </w:p>
        </w:tc>
        <w:tc>
          <w:tcPr>
            <w:tcW w:w="708" w:type="dxa"/>
          </w:tcPr>
          <w:p w14:paraId="186EE312" w14:textId="77777777" w:rsidR="00F730DE" w:rsidRDefault="00F730DE">
            <w:pPr>
              <w:widowControl/>
              <w:kinsoku w:val="0"/>
              <w:autoSpaceDE w:val="0"/>
              <w:autoSpaceDN w:val="0"/>
              <w:adjustRightInd w:val="0"/>
              <w:snapToGrid w:val="0"/>
              <w:spacing w:line="272" w:lineRule="auto"/>
              <w:jc w:val="left"/>
              <w:textAlignment w:val="baseline"/>
              <w:rPr>
                <w:rFonts w:ascii="Arial" w:eastAsia="Arial" w:hAnsi="Arial" w:cs="Arial"/>
                <w:snapToGrid w:val="0"/>
                <w:color w:val="000000"/>
                <w:kern w:val="0"/>
                <w:szCs w:val="21"/>
                <w:lang w:eastAsia="en-US"/>
              </w:rPr>
            </w:pPr>
          </w:p>
          <w:p w14:paraId="3057B97D" w14:textId="77777777" w:rsidR="00F730DE" w:rsidRDefault="008E3A84">
            <w:pPr>
              <w:kinsoku w:val="0"/>
              <w:autoSpaceDE w:val="0"/>
              <w:autoSpaceDN w:val="0"/>
              <w:adjustRightInd w:val="0"/>
              <w:snapToGrid w:val="0"/>
              <w:spacing w:before="78" w:line="242" w:lineRule="auto"/>
              <w:ind w:left="121" w:right="111" w:hanging="1"/>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5"/>
                <w:kern w:val="0"/>
                <w:sz w:val="24"/>
                <w:lang w:eastAsia="en-US"/>
              </w:rPr>
              <w:t>计量</w:t>
            </w:r>
            <w:r>
              <w:rPr>
                <w:rFonts w:ascii="宋体" w:eastAsia="宋体" w:hAnsi="宋体" w:cs="宋体"/>
                <w:snapToGrid w:val="0"/>
                <w:color w:val="000000"/>
                <w:spacing w:val="-6"/>
                <w:kern w:val="0"/>
                <w:sz w:val="24"/>
                <w:lang w:eastAsia="en-US"/>
              </w:rPr>
              <w:t>单位</w:t>
            </w:r>
            <w:proofErr w:type="spellEnd"/>
          </w:p>
        </w:tc>
        <w:tc>
          <w:tcPr>
            <w:tcW w:w="880" w:type="dxa"/>
          </w:tcPr>
          <w:p w14:paraId="0CA09771" w14:textId="77777777" w:rsidR="00F730DE" w:rsidRDefault="00F730DE">
            <w:pPr>
              <w:widowControl/>
              <w:kinsoku w:val="0"/>
              <w:autoSpaceDE w:val="0"/>
              <w:autoSpaceDN w:val="0"/>
              <w:adjustRightInd w:val="0"/>
              <w:snapToGrid w:val="0"/>
              <w:spacing w:line="426" w:lineRule="auto"/>
              <w:jc w:val="left"/>
              <w:textAlignment w:val="baseline"/>
              <w:rPr>
                <w:rFonts w:ascii="Arial" w:eastAsia="Arial" w:hAnsi="Arial" w:cs="Arial"/>
                <w:snapToGrid w:val="0"/>
                <w:color w:val="000000"/>
                <w:kern w:val="0"/>
                <w:szCs w:val="21"/>
                <w:lang w:eastAsia="en-US"/>
              </w:rPr>
            </w:pPr>
          </w:p>
          <w:p w14:paraId="75952EAD" w14:textId="77777777" w:rsidR="00F730DE" w:rsidRDefault="008E3A84">
            <w:pPr>
              <w:kinsoku w:val="0"/>
              <w:autoSpaceDE w:val="0"/>
              <w:autoSpaceDN w:val="0"/>
              <w:adjustRightInd w:val="0"/>
              <w:snapToGrid w:val="0"/>
              <w:spacing w:before="78" w:line="219" w:lineRule="auto"/>
              <w:ind w:left="208"/>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6"/>
                <w:kern w:val="0"/>
                <w:sz w:val="24"/>
                <w:lang w:eastAsia="en-US"/>
              </w:rPr>
              <w:t>数量</w:t>
            </w:r>
            <w:proofErr w:type="spellEnd"/>
          </w:p>
        </w:tc>
        <w:tc>
          <w:tcPr>
            <w:tcW w:w="688" w:type="dxa"/>
            <w:textDirection w:val="tbRlV"/>
          </w:tcPr>
          <w:p w14:paraId="2233AAB8" w14:textId="77777777" w:rsidR="00F730DE" w:rsidRDefault="008E3A84">
            <w:pPr>
              <w:kinsoku w:val="0"/>
              <w:autoSpaceDE w:val="0"/>
              <w:autoSpaceDN w:val="0"/>
              <w:adjustRightInd w:val="0"/>
              <w:snapToGrid w:val="0"/>
              <w:spacing w:before="221" w:line="202" w:lineRule="auto"/>
              <w:ind w:left="38"/>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spacing w:val="-1"/>
                <w:kern w:val="0"/>
                <w:sz w:val="24"/>
                <w:lang w:eastAsia="en-US"/>
              </w:rPr>
              <w:t>是</w:t>
            </w:r>
            <w:r>
              <w:rPr>
                <w:rFonts w:ascii="宋体" w:eastAsia="宋体" w:hAnsi="宋体" w:cs="宋体"/>
                <w:snapToGrid w:val="0"/>
                <w:color w:val="000000"/>
                <w:spacing w:val="-46"/>
                <w:kern w:val="0"/>
                <w:sz w:val="24"/>
                <w:lang w:eastAsia="en-US"/>
              </w:rPr>
              <w:t xml:space="preserve"> </w:t>
            </w:r>
            <w:r>
              <w:rPr>
                <w:rFonts w:ascii="宋体" w:eastAsia="宋体" w:hAnsi="宋体" w:cs="宋体"/>
                <w:snapToGrid w:val="0"/>
                <w:color w:val="000000"/>
                <w:spacing w:val="-1"/>
                <w:kern w:val="0"/>
                <w:sz w:val="24"/>
                <w:lang w:eastAsia="en-US"/>
              </w:rPr>
              <w:t>否</w:t>
            </w:r>
            <w:r>
              <w:rPr>
                <w:rFonts w:ascii="宋体" w:eastAsia="宋体" w:hAnsi="宋体" w:cs="宋体"/>
                <w:snapToGrid w:val="0"/>
                <w:color w:val="000000"/>
                <w:spacing w:val="-48"/>
                <w:kern w:val="0"/>
                <w:sz w:val="24"/>
                <w:lang w:eastAsia="en-US"/>
              </w:rPr>
              <w:t xml:space="preserve"> </w:t>
            </w:r>
            <w:r>
              <w:rPr>
                <w:rFonts w:ascii="宋体" w:eastAsia="宋体" w:hAnsi="宋体" w:cs="宋体"/>
                <w:snapToGrid w:val="0"/>
                <w:color w:val="000000"/>
                <w:spacing w:val="-1"/>
                <w:kern w:val="0"/>
                <w:sz w:val="24"/>
                <w:lang w:eastAsia="en-US"/>
              </w:rPr>
              <w:t>进</w:t>
            </w:r>
            <w:r>
              <w:rPr>
                <w:rFonts w:ascii="宋体" w:eastAsia="宋体" w:hAnsi="宋体" w:cs="宋体"/>
                <w:snapToGrid w:val="0"/>
                <w:color w:val="000000"/>
                <w:spacing w:val="-50"/>
                <w:kern w:val="0"/>
                <w:sz w:val="24"/>
                <w:lang w:eastAsia="en-US"/>
              </w:rPr>
              <w:t xml:space="preserve"> </w:t>
            </w:r>
            <w:r>
              <w:rPr>
                <w:rFonts w:ascii="宋体" w:eastAsia="宋体" w:hAnsi="宋体" w:cs="宋体"/>
                <w:snapToGrid w:val="0"/>
                <w:color w:val="000000"/>
                <w:spacing w:val="-1"/>
                <w:kern w:val="0"/>
                <w:position w:val="1"/>
                <w:sz w:val="24"/>
                <w:lang w:eastAsia="en-US"/>
              </w:rPr>
              <w:t>口</w:t>
            </w:r>
          </w:p>
        </w:tc>
        <w:tc>
          <w:tcPr>
            <w:tcW w:w="849" w:type="dxa"/>
          </w:tcPr>
          <w:p w14:paraId="48D7AE28" w14:textId="77777777" w:rsidR="00F730DE" w:rsidRDefault="008E3A84">
            <w:pPr>
              <w:kinsoku w:val="0"/>
              <w:autoSpaceDE w:val="0"/>
              <w:autoSpaceDN w:val="0"/>
              <w:adjustRightInd w:val="0"/>
              <w:snapToGrid w:val="0"/>
              <w:spacing w:before="194" w:line="220" w:lineRule="auto"/>
              <w:ind w:left="197"/>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7"/>
                <w:kern w:val="0"/>
                <w:sz w:val="24"/>
                <w:lang w:eastAsia="en-US"/>
              </w:rPr>
              <w:t>是否</w:t>
            </w:r>
            <w:proofErr w:type="spellEnd"/>
          </w:p>
          <w:p w14:paraId="42F123A8" w14:textId="77777777" w:rsidR="00F730DE" w:rsidRDefault="008E3A84">
            <w:pPr>
              <w:kinsoku w:val="0"/>
              <w:autoSpaceDE w:val="0"/>
              <w:autoSpaceDN w:val="0"/>
              <w:adjustRightInd w:val="0"/>
              <w:snapToGrid w:val="0"/>
              <w:spacing w:before="25" w:line="220" w:lineRule="auto"/>
              <w:ind w:left="194"/>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5"/>
                <w:kern w:val="0"/>
                <w:sz w:val="24"/>
                <w:lang w:eastAsia="en-US"/>
              </w:rPr>
              <w:t>创新</w:t>
            </w:r>
            <w:proofErr w:type="spellEnd"/>
          </w:p>
          <w:p w14:paraId="43C8599D" w14:textId="77777777" w:rsidR="00F730DE" w:rsidRDefault="008E3A84">
            <w:pPr>
              <w:kinsoku w:val="0"/>
              <w:autoSpaceDE w:val="0"/>
              <w:autoSpaceDN w:val="0"/>
              <w:adjustRightInd w:val="0"/>
              <w:snapToGrid w:val="0"/>
              <w:spacing w:before="23" w:line="219" w:lineRule="auto"/>
              <w:ind w:left="194"/>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5"/>
                <w:kern w:val="0"/>
                <w:sz w:val="24"/>
                <w:lang w:eastAsia="en-US"/>
              </w:rPr>
              <w:t>产品</w:t>
            </w:r>
            <w:proofErr w:type="spellEnd"/>
          </w:p>
        </w:tc>
        <w:tc>
          <w:tcPr>
            <w:tcW w:w="981" w:type="dxa"/>
          </w:tcPr>
          <w:p w14:paraId="6AF837A4" w14:textId="77777777" w:rsidR="00F730DE" w:rsidRDefault="00F730DE">
            <w:pPr>
              <w:widowControl/>
              <w:kinsoku w:val="0"/>
              <w:autoSpaceDE w:val="0"/>
              <w:autoSpaceDN w:val="0"/>
              <w:adjustRightInd w:val="0"/>
              <w:snapToGrid w:val="0"/>
              <w:spacing w:line="272" w:lineRule="auto"/>
              <w:jc w:val="left"/>
              <w:textAlignment w:val="baseline"/>
              <w:rPr>
                <w:rFonts w:ascii="Arial" w:eastAsia="Arial" w:hAnsi="Arial" w:cs="Arial"/>
                <w:snapToGrid w:val="0"/>
                <w:color w:val="000000"/>
                <w:kern w:val="0"/>
                <w:szCs w:val="21"/>
                <w:lang w:eastAsia="en-US"/>
              </w:rPr>
            </w:pPr>
          </w:p>
          <w:p w14:paraId="32A6ADCA" w14:textId="77777777" w:rsidR="00F730DE" w:rsidRDefault="008E3A84">
            <w:pPr>
              <w:kinsoku w:val="0"/>
              <w:autoSpaceDE w:val="0"/>
              <w:autoSpaceDN w:val="0"/>
              <w:adjustRightInd w:val="0"/>
              <w:snapToGrid w:val="0"/>
              <w:spacing w:before="78" w:line="242" w:lineRule="auto"/>
              <w:ind w:left="120" w:right="106" w:hanging="1"/>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6"/>
                <w:kern w:val="0"/>
                <w:sz w:val="24"/>
                <w:lang w:eastAsia="en-US"/>
              </w:rPr>
              <w:t>绿色</w:t>
            </w:r>
            <w:r>
              <w:rPr>
                <w:rFonts w:ascii="宋体" w:eastAsia="宋体" w:hAnsi="宋体" w:cs="宋体"/>
                <w:snapToGrid w:val="0"/>
                <w:color w:val="000000"/>
                <w:spacing w:val="-7"/>
                <w:kern w:val="0"/>
                <w:sz w:val="24"/>
                <w:lang w:eastAsia="en-US"/>
              </w:rPr>
              <w:t>发展</w:t>
            </w:r>
            <w:proofErr w:type="spellEnd"/>
          </w:p>
        </w:tc>
        <w:tc>
          <w:tcPr>
            <w:tcW w:w="790" w:type="dxa"/>
          </w:tcPr>
          <w:p w14:paraId="5DD08D49" w14:textId="77777777" w:rsidR="00F730DE" w:rsidRDefault="00F730DE">
            <w:pPr>
              <w:widowControl/>
              <w:kinsoku w:val="0"/>
              <w:autoSpaceDE w:val="0"/>
              <w:autoSpaceDN w:val="0"/>
              <w:adjustRightInd w:val="0"/>
              <w:snapToGrid w:val="0"/>
              <w:spacing w:line="426" w:lineRule="auto"/>
              <w:jc w:val="left"/>
              <w:textAlignment w:val="baseline"/>
              <w:rPr>
                <w:rFonts w:ascii="Arial" w:eastAsia="Arial" w:hAnsi="Arial" w:cs="Arial"/>
                <w:snapToGrid w:val="0"/>
                <w:color w:val="000000"/>
                <w:kern w:val="0"/>
                <w:szCs w:val="21"/>
                <w:lang w:eastAsia="en-US"/>
              </w:rPr>
            </w:pPr>
          </w:p>
          <w:p w14:paraId="718C6038" w14:textId="77777777" w:rsidR="00F730DE" w:rsidRDefault="008E3A84">
            <w:pPr>
              <w:kinsoku w:val="0"/>
              <w:autoSpaceDE w:val="0"/>
              <w:autoSpaceDN w:val="0"/>
              <w:adjustRightInd w:val="0"/>
              <w:snapToGrid w:val="0"/>
              <w:spacing w:before="78" w:line="220" w:lineRule="auto"/>
              <w:ind w:left="120"/>
              <w:jc w:val="left"/>
              <w:textAlignment w:val="baseline"/>
              <w:rPr>
                <w:rFonts w:ascii="宋体" w:eastAsia="宋体" w:hAnsi="宋体" w:cs="宋体"/>
                <w:snapToGrid w:val="0"/>
                <w:color w:val="000000"/>
                <w:kern w:val="0"/>
                <w:sz w:val="24"/>
                <w:lang w:eastAsia="en-US"/>
              </w:rPr>
            </w:pPr>
            <w:proofErr w:type="spellStart"/>
            <w:r>
              <w:rPr>
                <w:rFonts w:ascii="宋体" w:eastAsia="宋体" w:hAnsi="宋体" w:cs="宋体"/>
                <w:snapToGrid w:val="0"/>
                <w:color w:val="000000"/>
                <w:spacing w:val="-6"/>
                <w:kern w:val="0"/>
                <w:sz w:val="24"/>
                <w:lang w:eastAsia="en-US"/>
              </w:rPr>
              <w:t>预留</w:t>
            </w:r>
            <w:proofErr w:type="spellEnd"/>
          </w:p>
        </w:tc>
      </w:tr>
      <w:tr w:rsidR="00F730DE" w14:paraId="63A35DA9" w14:textId="77777777">
        <w:trPr>
          <w:trHeight w:val="652"/>
        </w:trPr>
        <w:tc>
          <w:tcPr>
            <w:tcW w:w="546" w:type="dxa"/>
          </w:tcPr>
          <w:p w14:paraId="7CF4B5C1" w14:textId="77777777" w:rsidR="00F730DE" w:rsidRDefault="008E3A84">
            <w:pPr>
              <w:kinsoku w:val="0"/>
              <w:autoSpaceDE w:val="0"/>
              <w:autoSpaceDN w:val="0"/>
              <w:adjustRightInd w:val="0"/>
              <w:snapToGrid w:val="0"/>
              <w:spacing w:before="203" w:line="241" w:lineRule="auto"/>
              <w:jc w:val="center"/>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kern w:val="0"/>
                <w:sz w:val="24"/>
                <w:lang w:eastAsia="en-US"/>
              </w:rPr>
              <w:t>1</w:t>
            </w:r>
          </w:p>
        </w:tc>
        <w:tc>
          <w:tcPr>
            <w:tcW w:w="2264" w:type="dxa"/>
          </w:tcPr>
          <w:p w14:paraId="478B4456" w14:textId="77777777" w:rsidR="00F730DE" w:rsidRDefault="008E3A84">
            <w:pPr>
              <w:kinsoku w:val="0"/>
              <w:autoSpaceDE w:val="0"/>
              <w:autoSpaceDN w:val="0"/>
              <w:adjustRightInd w:val="0"/>
              <w:snapToGrid w:val="0"/>
              <w:spacing w:before="46" w:line="229" w:lineRule="auto"/>
              <w:ind w:left="576" w:right="177" w:hanging="391"/>
              <w:jc w:val="left"/>
              <w:textAlignment w:val="baseline"/>
              <w:rPr>
                <w:rFonts w:ascii="宋体" w:eastAsia="宋体" w:hAnsi="宋体" w:cs="宋体"/>
                <w:snapToGrid w:val="0"/>
                <w:color w:val="000000"/>
                <w:kern w:val="0"/>
                <w:sz w:val="24"/>
              </w:rPr>
            </w:pPr>
            <w:r>
              <w:rPr>
                <w:rFonts w:ascii="宋体" w:eastAsia="宋体" w:hAnsi="宋体" w:cs="宋体" w:hint="eastAsia"/>
                <w:snapToGrid w:val="0"/>
                <w:color w:val="000000"/>
                <w:spacing w:val="-3"/>
                <w:kern w:val="0"/>
                <w:sz w:val="24"/>
              </w:rPr>
              <w:t>校园安全评估服务</w:t>
            </w:r>
          </w:p>
        </w:tc>
        <w:tc>
          <w:tcPr>
            <w:tcW w:w="1403" w:type="dxa"/>
          </w:tcPr>
          <w:p w14:paraId="0C0FD263" w14:textId="77777777" w:rsidR="00F730DE" w:rsidRDefault="008E3A84">
            <w:pPr>
              <w:kinsoku w:val="0"/>
              <w:autoSpaceDE w:val="0"/>
              <w:autoSpaceDN w:val="0"/>
              <w:adjustRightInd w:val="0"/>
              <w:snapToGrid w:val="0"/>
              <w:spacing w:before="46" w:line="229" w:lineRule="auto"/>
              <w:ind w:left="187" w:right="116" w:hanging="63"/>
              <w:jc w:val="left"/>
              <w:textAlignment w:val="baseline"/>
              <w:rPr>
                <w:rFonts w:ascii="宋体" w:eastAsia="宋体" w:hAnsi="宋体" w:cs="宋体"/>
                <w:snapToGrid w:val="0"/>
                <w:color w:val="000000"/>
                <w:spacing w:val="-1"/>
                <w:kern w:val="0"/>
                <w:sz w:val="24"/>
              </w:rPr>
            </w:pPr>
            <w:r>
              <w:rPr>
                <w:rFonts w:ascii="宋体" w:eastAsia="宋体" w:hAnsi="宋体" w:cs="宋体" w:hint="eastAsia"/>
                <w:snapToGrid w:val="0"/>
                <w:color w:val="000000"/>
                <w:spacing w:val="-1"/>
                <w:kern w:val="0"/>
                <w:sz w:val="24"/>
              </w:rPr>
              <w:t>C20031000</w:t>
            </w:r>
          </w:p>
          <w:p w14:paraId="37C54155" w14:textId="77777777" w:rsidR="00F730DE" w:rsidRDefault="008E3A84">
            <w:pPr>
              <w:kinsoku w:val="0"/>
              <w:autoSpaceDE w:val="0"/>
              <w:autoSpaceDN w:val="0"/>
              <w:adjustRightInd w:val="0"/>
              <w:snapToGrid w:val="0"/>
              <w:spacing w:before="46" w:line="229" w:lineRule="auto"/>
              <w:ind w:left="187" w:right="116" w:hanging="63"/>
              <w:jc w:val="left"/>
              <w:textAlignment w:val="baseline"/>
              <w:rPr>
                <w:rFonts w:ascii="宋体" w:eastAsia="宋体" w:hAnsi="宋体" w:cs="宋体"/>
                <w:snapToGrid w:val="0"/>
                <w:color w:val="000000"/>
                <w:kern w:val="0"/>
                <w:sz w:val="24"/>
                <w:lang w:eastAsia="en-US"/>
              </w:rPr>
            </w:pPr>
            <w:r>
              <w:rPr>
                <w:rFonts w:ascii="宋体" w:eastAsia="宋体" w:hAnsi="宋体" w:cs="宋体" w:hint="eastAsia"/>
                <w:snapToGrid w:val="0"/>
                <w:color w:val="000000"/>
                <w:spacing w:val="-1"/>
                <w:kern w:val="0"/>
                <w:sz w:val="24"/>
              </w:rPr>
              <w:t>评价咨询</w:t>
            </w:r>
            <w:r>
              <w:rPr>
                <w:rFonts w:ascii="宋体" w:eastAsia="宋体" w:hAnsi="宋体" w:cs="宋体"/>
                <w:snapToGrid w:val="0"/>
                <w:color w:val="000000"/>
                <w:spacing w:val="-1"/>
                <w:kern w:val="0"/>
                <w:sz w:val="24"/>
              </w:rPr>
              <w:t>服务</w:t>
            </w:r>
          </w:p>
        </w:tc>
        <w:tc>
          <w:tcPr>
            <w:tcW w:w="708" w:type="dxa"/>
          </w:tcPr>
          <w:p w14:paraId="1272D96D" w14:textId="77777777" w:rsidR="00F730DE" w:rsidRDefault="008E3A84">
            <w:pPr>
              <w:kinsoku w:val="0"/>
              <w:autoSpaceDE w:val="0"/>
              <w:autoSpaceDN w:val="0"/>
              <w:adjustRightInd w:val="0"/>
              <w:snapToGrid w:val="0"/>
              <w:spacing w:before="203" w:line="220" w:lineRule="auto"/>
              <w:ind w:left="244"/>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kern w:val="0"/>
                <w:sz w:val="24"/>
                <w:lang w:eastAsia="en-US"/>
              </w:rPr>
              <w:t>项</w:t>
            </w:r>
          </w:p>
        </w:tc>
        <w:tc>
          <w:tcPr>
            <w:tcW w:w="880" w:type="dxa"/>
          </w:tcPr>
          <w:p w14:paraId="101CC9E7" w14:textId="77777777" w:rsidR="00F730DE" w:rsidRDefault="008E3A84">
            <w:pPr>
              <w:kinsoku w:val="0"/>
              <w:autoSpaceDE w:val="0"/>
              <w:autoSpaceDN w:val="0"/>
              <w:adjustRightInd w:val="0"/>
              <w:snapToGrid w:val="0"/>
              <w:spacing w:before="203" w:line="241" w:lineRule="auto"/>
              <w:ind w:left="404"/>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kern w:val="0"/>
                <w:sz w:val="24"/>
                <w:lang w:eastAsia="en-US"/>
              </w:rPr>
              <w:t>1</w:t>
            </w:r>
          </w:p>
        </w:tc>
        <w:tc>
          <w:tcPr>
            <w:tcW w:w="688" w:type="dxa"/>
          </w:tcPr>
          <w:p w14:paraId="310E1093" w14:textId="77777777" w:rsidR="00F730DE" w:rsidRDefault="008E3A84">
            <w:pPr>
              <w:kinsoku w:val="0"/>
              <w:autoSpaceDE w:val="0"/>
              <w:autoSpaceDN w:val="0"/>
              <w:adjustRightInd w:val="0"/>
              <w:snapToGrid w:val="0"/>
              <w:spacing w:before="203" w:line="220" w:lineRule="auto"/>
              <w:ind w:left="239"/>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kern w:val="0"/>
                <w:sz w:val="24"/>
                <w:lang w:eastAsia="en-US"/>
              </w:rPr>
              <w:t>否</w:t>
            </w:r>
          </w:p>
        </w:tc>
        <w:tc>
          <w:tcPr>
            <w:tcW w:w="849" w:type="dxa"/>
          </w:tcPr>
          <w:p w14:paraId="6156CA2C" w14:textId="77777777" w:rsidR="00F730DE" w:rsidRDefault="008E3A84">
            <w:pPr>
              <w:kinsoku w:val="0"/>
              <w:autoSpaceDE w:val="0"/>
              <w:autoSpaceDN w:val="0"/>
              <w:adjustRightInd w:val="0"/>
              <w:snapToGrid w:val="0"/>
              <w:spacing w:before="203" w:line="220" w:lineRule="auto"/>
              <w:ind w:left="321"/>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kern w:val="0"/>
                <w:sz w:val="24"/>
                <w:lang w:eastAsia="en-US"/>
              </w:rPr>
              <w:t>否</w:t>
            </w:r>
          </w:p>
        </w:tc>
        <w:tc>
          <w:tcPr>
            <w:tcW w:w="981" w:type="dxa"/>
          </w:tcPr>
          <w:p w14:paraId="35CFC65F" w14:textId="77777777" w:rsidR="00F730DE" w:rsidRDefault="008E3A84">
            <w:pPr>
              <w:kinsoku w:val="0"/>
              <w:autoSpaceDE w:val="0"/>
              <w:autoSpaceDN w:val="0"/>
              <w:adjustRightInd w:val="0"/>
              <w:snapToGrid w:val="0"/>
              <w:spacing w:before="203"/>
              <w:ind w:left="299"/>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kern w:val="0"/>
                <w:sz w:val="24"/>
                <w:lang w:eastAsia="en-US"/>
              </w:rPr>
              <w:t>0</w:t>
            </w:r>
          </w:p>
        </w:tc>
        <w:tc>
          <w:tcPr>
            <w:tcW w:w="790" w:type="dxa"/>
          </w:tcPr>
          <w:p w14:paraId="5602CA6E" w14:textId="77777777" w:rsidR="00F730DE" w:rsidRDefault="008E3A84">
            <w:pPr>
              <w:kinsoku w:val="0"/>
              <w:autoSpaceDE w:val="0"/>
              <w:autoSpaceDN w:val="0"/>
              <w:adjustRightInd w:val="0"/>
              <w:snapToGrid w:val="0"/>
              <w:spacing w:before="203"/>
              <w:ind w:left="136"/>
              <w:jc w:val="left"/>
              <w:textAlignment w:val="baseline"/>
              <w:rPr>
                <w:rFonts w:ascii="宋体" w:eastAsia="宋体" w:hAnsi="宋体" w:cs="宋体"/>
                <w:snapToGrid w:val="0"/>
                <w:color w:val="000000"/>
                <w:kern w:val="0"/>
                <w:sz w:val="24"/>
                <w:lang w:eastAsia="en-US"/>
              </w:rPr>
            </w:pPr>
            <w:r>
              <w:rPr>
                <w:rFonts w:ascii="宋体" w:eastAsia="宋体" w:hAnsi="宋体" w:cs="宋体"/>
                <w:snapToGrid w:val="0"/>
                <w:color w:val="000000"/>
                <w:spacing w:val="-7"/>
                <w:kern w:val="0"/>
                <w:sz w:val="24"/>
                <w:lang w:eastAsia="en-US"/>
              </w:rPr>
              <w:t>100%</w:t>
            </w:r>
          </w:p>
        </w:tc>
      </w:tr>
    </w:tbl>
    <w:p w14:paraId="14F03C7F" w14:textId="77777777" w:rsidR="00F730DE" w:rsidRDefault="008E3A84">
      <w:pPr>
        <w:widowControl/>
        <w:kinsoku w:val="0"/>
        <w:autoSpaceDE w:val="0"/>
        <w:autoSpaceDN w:val="0"/>
        <w:adjustRightInd w:val="0"/>
        <w:snapToGrid w:val="0"/>
        <w:spacing w:line="440" w:lineRule="exact"/>
        <w:jc w:val="left"/>
        <w:textAlignment w:val="baseline"/>
        <w:outlineLvl w:val="1"/>
        <w:rPr>
          <w:rFonts w:ascii="宋体" w:eastAsia="宋体" w:hAnsi="宋体" w:cs="宋体"/>
          <w:snapToGrid w:val="0"/>
          <w:color w:val="000000"/>
          <w:kern w:val="0"/>
          <w:sz w:val="28"/>
          <w:szCs w:val="28"/>
        </w:rPr>
      </w:pPr>
      <w:r>
        <w:rPr>
          <w:rFonts w:ascii="宋体" w:eastAsia="宋体" w:hAnsi="宋体" w:cs="宋体" w:hint="eastAsia"/>
          <w:b/>
          <w:bCs/>
          <w:snapToGrid w:val="0"/>
          <w:color w:val="000000"/>
          <w:spacing w:val="-5"/>
          <w:kern w:val="0"/>
          <w:sz w:val="28"/>
          <w:szCs w:val="28"/>
        </w:rPr>
        <w:t>（一）项目概况</w:t>
      </w:r>
    </w:p>
    <w:p w14:paraId="02747BE5" w14:textId="77777777" w:rsidR="00F730DE" w:rsidRDefault="008E3A84">
      <w:pPr>
        <w:widowControl/>
        <w:kinsoku w:val="0"/>
        <w:wordWrap w:val="0"/>
        <w:autoSpaceDE w:val="0"/>
        <w:autoSpaceDN w:val="0"/>
        <w:adjustRightInd w:val="0"/>
        <w:snapToGrid w:val="0"/>
        <w:spacing w:line="460" w:lineRule="exact"/>
        <w:ind w:firstLineChars="200" w:firstLine="560"/>
        <w:jc w:val="left"/>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项目名称</w:t>
      </w: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校园安全评估服务</w:t>
      </w:r>
    </w:p>
    <w:p w14:paraId="782830D8" w14:textId="77777777" w:rsidR="00F730DE" w:rsidRDefault="008E3A84">
      <w:pPr>
        <w:widowControl/>
        <w:kinsoku w:val="0"/>
        <w:wordWrap w:val="0"/>
        <w:autoSpaceDE w:val="0"/>
        <w:autoSpaceDN w:val="0"/>
        <w:adjustRightInd w:val="0"/>
        <w:snapToGrid w:val="0"/>
        <w:spacing w:line="460" w:lineRule="exact"/>
        <w:ind w:firstLineChars="200" w:firstLine="560"/>
        <w:jc w:val="left"/>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lastRenderedPageBreak/>
        <w:t>预算金额</w:t>
      </w: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39</w:t>
      </w:r>
      <w:r>
        <w:rPr>
          <w:rFonts w:ascii="宋体" w:eastAsia="宋体" w:hAnsi="宋体" w:cs="宋体" w:hint="eastAsia"/>
          <w:snapToGrid w:val="0"/>
          <w:color w:val="000000"/>
          <w:kern w:val="0"/>
          <w:sz w:val="28"/>
          <w:szCs w:val="28"/>
        </w:rPr>
        <w:t>万元</w:t>
      </w:r>
    </w:p>
    <w:p w14:paraId="69CE50A9" w14:textId="77777777" w:rsidR="00F730DE" w:rsidRDefault="008E3A84">
      <w:pPr>
        <w:widowControl/>
        <w:kinsoku w:val="0"/>
        <w:wordWrap w:val="0"/>
        <w:autoSpaceDE w:val="0"/>
        <w:autoSpaceDN w:val="0"/>
        <w:adjustRightInd w:val="0"/>
        <w:snapToGrid w:val="0"/>
        <w:spacing w:line="460" w:lineRule="exact"/>
        <w:ind w:firstLineChars="200" w:firstLine="560"/>
        <w:jc w:val="left"/>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最高限价：</w:t>
      </w:r>
      <w:r>
        <w:rPr>
          <w:rFonts w:ascii="宋体" w:eastAsia="宋体" w:hAnsi="宋体" w:cs="宋体" w:hint="eastAsia"/>
          <w:snapToGrid w:val="0"/>
          <w:color w:val="000000"/>
          <w:kern w:val="0"/>
          <w:sz w:val="28"/>
          <w:szCs w:val="28"/>
        </w:rPr>
        <w:t>39</w:t>
      </w:r>
      <w:r>
        <w:rPr>
          <w:rFonts w:ascii="宋体" w:eastAsia="宋体" w:hAnsi="宋体" w:cs="宋体" w:hint="eastAsia"/>
          <w:snapToGrid w:val="0"/>
          <w:color w:val="000000"/>
          <w:kern w:val="0"/>
          <w:sz w:val="28"/>
          <w:szCs w:val="28"/>
        </w:rPr>
        <w:t>万元</w:t>
      </w:r>
    </w:p>
    <w:p w14:paraId="3574BE12" w14:textId="77777777" w:rsidR="00F730DE" w:rsidRDefault="008E3A84">
      <w:pPr>
        <w:widowControl/>
        <w:kinsoku w:val="0"/>
        <w:wordWrap w:val="0"/>
        <w:autoSpaceDE w:val="0"/>
        <w:autoSpaceDN w:val="0"/>
        <w:adjustRightInd w:val="0"/>
        <w:snapToGrid w:val="0"/>
        <w:spacing w:line="460" w:lineRule="exact"/>
        <w:ind w:firstLineChars="200" w:firstLine="560"/>
        <w:jc w:val="left"/>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资金来源</w:t>
      </w: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财政性资金</w:t>
      </w:r>
    </w:p>
    <w:p w14:paraId="23E6E553" w14:textId="77777777" w:rsidR="00F730DE" w:rsidRDefault="008E3A84">
      <w:pPr>
        <w:widowControl/>
        <w:kinsoku w:val="0"/>
        <w:wordWrap w:val="0"/>
        <w:autoSpaceDE w:val="0"/>
        <w:autoSpaceDN w:val="0"/>
        <w:adjustRightInd w:val="0"/>
        <w:snapToGrid w:val="0"/>
        <w:spacing w:line="460" w:lineRule="exact"/>
        <w:ind w:firstLineChars="200" w:firstLine="560"/>
        <w:jc w:val="left"/>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合同履行期限</w:t>
      </w:r>
      <w:r>
        <w:rPr>
          <w:rFonts w:ascii="宋体" w:eastAsia="宋体" w:hAnsi="宋体" w:cs="宋体" w:hint="eastAsia"/>
          <w:snapToGrid w:val="0"/>
          <w:color w:val="000000"/>
          <w:kern w:val="0"/>
          <w:sz w:val="28"/>
          <w:szCs w:val="28"/>
        </w:rPr>
        <w:t>:2026</w:t>
      </w:r>
      <w:r>
        <w:rPr>
          <w:rFonts w:ascii="宋体" w:eastAsia="宋体" w:hAnsi="宋体" w:cs="宋体" w:hint="eastAsia"/>
          <w:snapToGrid w:val="0"/>
          <w:color w:val="000000"/>
          <w:kern w:val="0"/>
          <w:sz w:val="28"/>
          <w:szCs w:val="28"/>
        </w:rPr>
        <w:t>年</w:t>
      </w:r>
      <w:r>
        <w:rPr>
          <w:rFonts w:ascii="宋体" w:eastAsia="宋体" w:hAnsi="宋体" w:cs="宋体" w:hint="eastAsia"/>
          <w:snapToGrid w:val="0"/>
          <w:color w:val="000000"/>
          <w:kern w:val="0"/>
          <w:sz w:val="28"/>
          <w:szCs w:val="28"/>
        </w:rPr>
        <w:t>5</w:t>
      </w:r>
      <w:r>
        <w:rPr>
          <w:rFonts w:ascii="宋体" w:eastAsia="宋体" w:hAnsi="宋体" w:cs="宋体" w:hint="eastAsia"/>
          <w:snapToGrid w:val="0"/>
          <w:color w:val="000000"/>
          <w:kern w:val="0"/>
          <w:sz w:val="28"/>
          <w:szCs w:val="28"/>
        </w:rPr>
        <w:t>月</w:t>
      </w:r>
      <w:r>
        <w:rPr>
          <w:rFonts w:ascii="宋体" w:eastAsia="宋体" w:hAnsi="宋体" w:cs="宋体" w:hint="eastAsia"/>
          <w:snapToGrid w:val="0"/>
          <w:color w:val="000000"/>
          <w:kern w:val="0"/>
          <w:sz w:val="28"/>
          <w:szCs w:val="28"/>
        </w:rPr>
        <w:t>-10</w:t>
      </w:r>
      <w:r>
        <w:rPr>
          <w:rFonts w:ascii="宋体" w:eastAsia="宋体" w:hAnsi="宋体" w:cs="宋体" w:hint="eastAsia"/>
          <w:snapToGrid w:val="0"/>
          <w:color w:val="000000"/>
          <w:kern w:val="0"/>
          <w:sz w:val="28"/>
          <w:szCs w:val="28"/>
        </w:rPr>
        <w:t>月。</w:t>
      </w:r>
    </w:p>
    <w:p w14:paraId="5A361FB1" w14:textId="77777777" w:rsidR="00F730DE" w:rsidRDefault="008E3A84">
      <w:pPr>
        <w:widowControl/>
        <w:kinsoku w:val="0"/>
        <w:wordWrap w:val="0"/>
        <w:autoSpaceDE w:val="0"/>
        <w:autoSpaceDN w:val="0"/>
        <w:adjustRightInd w:val="0"/>
        <w:snapToGrid w:val="0"/>
        <w:spacing w:line="460" w:lineRule="exact"/>
        <w:ind w:firstLineChars="200" w:firstLine="56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项目背景：为深入贯彻落实安全生产相关法律法规及教育系统安全管理工作要求，切实防范和遏制校园重特大安全事故发生，保障全区教育系统师生员工生命财产安全，维护教育领域安全稳定大局，结合东西湖区</w:t>
      </w:r>
      <w:r>
        <w:rPr>
          <w:rFonts w:ascii="宋体" w:eastAsia="宋体" w:hAnsi="宋体" w:cs="宋体" w:hint="eastAsia"/>
          <w:snapToGrid w:val="0"/>
          <w:color w:val="000000"/>
          <w:kern w:val="0"/>
          <w:sz w:val="28"/>
          <w:szCs w:val="28"/>
        </w:rPr>
        <w:t>教育行业实际，聚焦校园消防、校舍使用、食品安全、实验实训、校车及校园交通、危险化学品、燃气、特种装备等重点领域，组织开展本次重大事故隐患专项排查整治工作。</w:t>
      </w:r>
    </w:p>
    <w:p w14:paraId="55DD729D" w14:textId="77777777" w:rsidR="00F730DE" w:rsidRDefault="008E3A84">
      <w:pPr>
        <w:widowControl/>
        <w:kinsoku w:val="0"/>
        <w:wordWrap w:val="0"/>
        <w:autoSpaceDE w:val="0"/>
        <w:autoSpaceDN w:val="0"/>
        <w:adjustRightInd w:val="0"/>
        <w:snapToGrid w:val="0"/>
        <w:spacing w:line="460" w:lineRule="exact"/>
        <w:ind w:firstLineChars="200" w:firstLine="56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项目实施范围：本次排查整治覆盖东西湖区辖区内部分中小学、幼儿园，涵盖校园</w:t>
      </w:r>
      <w:proofErr w:type="gramStart"/>
      <w:r>
        <w:rPr>
          <w:rFonts w:ascii="宋体" w:eastAsia="宋体" w:hAnsi="宋体" w:cs="宋体" w:hint="eastAsia"/>
          <w:snapToGrid w:val="0"/>
          <w:color w:val="000000"/>
          <w:kern w:val="0"/>
          <w:sz w:val="28"/>
          <w:szCs w:val="28"/>
        </w:rPr>
        <w:t>内教学</w:t>
      </w:r>
      <w:proofErr w:type="gramEnd"/>
      <w:r>
        <w:rPr>
          <w:rFonts w:ascii="宋体" w:eastAsia="宋体" w:hAnsi="宋体" w:cs="宋体" w:hint="eastAsia"/>
          <w:snapToGrid w:val="0"/>
          <w:color w:val="000000"/>
          <w:kern w:val="0"/>
          <w:sz w:val="28"/>
          <w:szCs w:val="28"/>
        </w:rPr>
        <w:t>区、生活区、实验区、体育活动区、校园交通路网、燃气供应站点、特种装备使用场所等全部功</w:t>
      </w:r>
      <w:r>
        <w:rPr>
          <w:rFonts w:ascii="宋体" w:eastAsia="宋体" w:hAnsi="宋体" w:cs="宋体" w:hint="eastAsia"/>
          <w:snapToGrid w:val="0"/>
          <w:color w:val="000000"/>
          <w:kern w:val="0"/>
          <w:sz w:val="28"/>
          <w:szCs w:val="28"/>
        </w:rPr>
        <w:t>能区域及相关管理环节。</w:t>
      </w:r>
    </w:p>
    <w:p w14:paraId="271C12A5" w14:textId="77777777" w:rsidR="00F730DE" w:rsidRDefault="008E3A84">
      <w:pPr>
        <w:widowControl/>
        <w:kinsoku w:val="0"/>
        <w:wordWrap w:val="0"/>
        <w:autoSpaceDE w:val="0"/>
        <w:autoSpaceDN w:val="0"/>
        <w:adjustRightInd w:val="0"/>
        <w:snapToGrid w:val="0"/>
        <w:spacing w:line="460" w:lineRule="exact"/>
        <w:ind w:firstLineChars="200" w:firstLine="56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项目核心目标：</w:t>
      </w:r>
    </w:p>
    <w:p w14:paraId="7903BB2A"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3.1.</w:t>
      </w:r>
      <w:r>
        <w:rPr>
          <w:rFonts w:ascii="宋体" w:eastAsia="宋体" w:hAnsi="宋体" w:cs="宋体" w:hint="eastAsia"/>
          <w:snapToGrid w:val="0"/>
          <w:color w:val="000000"/>
          <w:kern w:val="0"/>
          <w:sz w:val="28"/>
          <w:szCs w:val="28"/>
        </w:rPr>
        <w:t>全面排查梳理：对照《教育系统重大事故隐患判定指南》，全面排查全区教育领域存在的重大事故隐患，建立隐患</w:t>
      </w:r>
      <w:proofErr w:type="gramStart"/>
      <w:r>
        <w:rPr>
          <w:rFonts w:ascii="宋体" w:eastAsia="宋体" w:hAnsi="宋体" w:cs="宋体" w:hint="eastAsia"/>
          <w:snapToGrid w:val="0"/>
          <w:color w:val="000000"/>
          <w:kern w:val="0"/>
          <w:sz w:val="28"/>
          <w:szCs w:val="28"/>
        </w:rPr>
        <w:t>清单台</w:t>
      </w:r>
      <w:proofErr w:type="gramEnd"/>
      <w:r>
        <w:rPr>
          <w:rFonts w:ascii="宋体" w:eastAsia="宋体" w:hAnsi="宋体" w:cs="宋体" w:hint="eastAsia"/>
          <w:snapToGrid w:val="0"/>
          <w:color w:val="000000"/>
          <w:kern w:val="0"/>
          <w:sz w:val="28"/>
          <w:szCs w:val="28"/>
        </w:rPr>
        <w:t>账，明确隐患类型、具体位置、风险等级、责任主体及整改时限，实现隐患底数清、情况明、责任实。</w:t>
      </w:r>
    </w:p>
    <w:p w14:paraId="44080700"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3.2.</w:t>
      </w:r>
      <w:r>
        <w:rPr>
          <w:rFonts w:ascii="宋体" w:eastAsia="宋体" w:hAnsi="宋体" w:cs="宋体" w:hint="eastAsia"/>
          <w:snapToGrid w:val="0"/>
          <w:color w:val="000000"/>
          <w:kern w:val="0"/>
          <w:sz w:val="28"/>
          <w:szCs w:val="28"/>
        </w:rPr>
        <w:t>隐患闭环整改：聚焦消防、校舍、食品安全、实验实训等重点环节，推动隐患整改闭环管理，对直接判定类重大事故隐患立行立改，综合判定类隐患按要求限期整改到位，彻底消除安全风险。</w:t>
      </w:r>
    </w:p>
    <w:p w14:paraId="05F5306B"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3.3.</w:t>
      </w:r>
      <w:r>
        <w:rPr>
          <w:rFonts w:ascii="宋体" w:eastAsia="宋体" w:hAnsi="宋体" w:cs="宋体" w:hint="eastAsia"/>
          <w:snapToGrid w:val="0"/>
          <w:color w:val="000000"/>
          <w:kern w:val="0"/>
          <w:sz w:val="28"/>
          <w:szCs w:val="28"/>
        </w:rPr>
        <w:t>双重预防机制建设：健全教育领域安全风险分级管控和隐患排查治理双重预防机制，完</w:t>
      </w:r>
      <w:r>
        <w:rPr>
          <w:rFonts w:ascii="宋体" w:eastAsia="宋体" w:hAnsi="宋体" w:cs="宋体" w:hint="eastAsia"/>
          <w:snapToGrid w:val="0"/>
          <w:color w:val="000000"/>
          <w:kern w:val="0"/>
          <w:sz w:val="28"/>
          <w:szCs w:val="28"/>
        </w:rPr>
        <w:t>善安全管理制度体系，提升校园安全管理标准化、规范化、精细化水平，构建长效安全防护体系。</w:t>
      </w:r>
    </w:p>
    <w:p w14:paraId="1CD46BFB"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3.4.</w:t>
      </w:r>
      <w:r>
        <w:rPr>
          <w:rFonts w:ascii="宋体" w:eastAsia="宋体" w:hAnsi="宋体" w:cs="宋体" w:hint="eastAsia"/>
          <w:snapToGrid w:val="0"/>
          <w:color w:val="000000"/>
          <w:kern w:val="0"/>
          <w:sz w:val="28"/>
          <w:szCs w:val="28"/>
        </w:rPr>
        <w:t>本质安全提升：强化全体师生安全意识和应急处置能力，杜绝重特大安全事故发生，为全区教育事业高质量发展提供坚实的安全保障。</w:t>
      </w:r>
    </w:p>
    <w:p w14:paraId="7E21B395" w14:textId="77777777" w:rsidR="00F730DE" w:rsidRDefault="008E3A84">
      <w:pPr>
        <w:widowControl/>
        <w:kinsoku w:val="0"/>
        <w:wordWrap w:val="0"/>
        <w:autoSpaceDE w:val="0"/>
        <w:autoSpaceDN w:val="0"/>
        <w:adjustRightInd w:val="0"/>
        <w:snapToGrid w:val="0"/>
        <w:spacing w:line="460" w:lineRule="exact"/>
        <w:ind w:firstLineChars="200" w:firstLine="56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4.</w:t>
      </w:r>
      <w:r>
        <w:rPr>
          <w:rFonts w:ascii="宋体" w:eastAsia="宋体" w:hAnsi="宋体" w:cs="宋体" w:hint="eastAsia"/>
          <w:snapToGrid w:val="0"/>
          <w:color w:val="000000"/>
          <w:kern w:val="0"/>
          <w:sz w:val="28"/>
          <w:szCs w:val="28"/>
        </w:rPr>
        <w:t>服务内容：</w:t>
      </w:r>
    </w:p>
    <w:p w14:paraId="4E561D68"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4.1</w:t>
      </w:r>
      <w:r>
        <w:rPr>
          <w:rFonts w:ascii="宋体" w:eastAsia="宋体" w:hAnsi="宋体" w:cs="宋体" w:hint="eastAsia"/>
          <w:snapToGrid w:val="0"/>
          <w:color w:val="000000"/>
          <w:kern w:val="0"/>
          <w:sz w:val="28"/>
          <w:szCs w:val="28"/>
        </w:rPr>
        <w:t>服务定位</w:t>
      </w:r>
    </w:p>
    <w:p w14:paraId="7F76F11C"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proofErr w:type="gramStart"/>
      <w:r>
        <w:rPr>
          <w:rFonts w:ascii="宋体" w:eastAsia="宋体" w:hAnsi="宋体" w:cs="宋体" w:hint="eastAsia"/>
          <w:snapToGrid w:val="0"/>
          <w:color w:val="000000"/>
          <w:kern w:val="0"/>
          <w:sz w:val="28"/>
          <w:szCs w:val="28"/>
        </w:rPr>
        <w:t>本服务</w:t>
      </w:r>
      <w:proofErr w:type="gramEnd"/>
      <w:r>
        <w:rPr>
          <w:rFonts w:ascii="宋体" w:eastAsia="宋体" w:hAnsi="宋体" w:cs="宋体" w:hint="eastAsia"/>
          <w:snapToGrid w:val="0"/>
          <w:color w:val="000000"/>
          <w:kern w:val="0"/>
          <w:sz w:val="28"/>
          <w:szCs w:val="28"/>
        </w:rPr>
        <w:t>以《教育系统重大事故隐患判定指南》（教</w:t>
      </w:r>
      <w:proofErr w:type="gramStart"/>
      <w:r>
        <w:rPr>
          <w:rFonts w:ascii="宋体" w:eastAsia="宋体" w:hAnsi="宋体" w:cs="宋体" w:hint="eastAsia"/>
          <w:snapToGrid w:val="0"/>
          <w:color w:val="000000"/>
          <w:kern w:val="0"/>
          <w:sz w:val="28"/>
          <w:szCs w:val="28"/>
        </w:rPr>
        <w:t>发厅函〔</w:t>
      </w:r>
      <w:r>
        <w:rPr>
          <w:rFonts w:ascii="宋体" w:eastAsia="宋体" w:hAnsi="宋体" w:cs="宋体" w:hint="eastAsia"/>
          <w:snapToGrid w:val="0"/>
          <w:color w:val="000000"/>
          <w:kern w:val="0"/>
          <w:sz w:val="28"/>
          <w:szCs w:val="28"/>
        </w:rPr>
        <w:t>2024</w:t>
      </w:r>
      <w:r>
        <w:rPr>
          <w:rFonts w:ascii="宋体" w:eastAsia="宋体" w:hAnsi="宋体" w:cs="宋体" w:hint="eastAsia"/>
          <w:snapToGrid w:val="0"/>
          <w:color w:val="000000"/>
          <w:kern w:val="0"/>
          <w:sz w:val="28"/>
          <w:szCs w:val="28"/>
        </w:rPr>
        <w:t>〕</w:t>
      </w:r>
      <w:proofErr w:type="gramEnd"/>
      <w:r>
        <w:rPr>
          <w:rFonts w:ascii="宋体" w:eastAsia="宋体" w:hAnsi="宋体" w:cs="宋体" w:hint="eastAsia"/>
          <w:snapToGrid w:val="0"/>
          <w:color w:val="000000"/>
          <w:kern w:val="0"/>
          <w:sz w:val="28"/>
          <w:szCs w:val="28"/>
        </w:rPr>
        <w:t>20</w:t>
      </w:r>
      <w:r>
        <w:rPr>
          <w:rFonts w:ascii="宋体" w:eastAsia="宋体" w:hAnsi="宋体" w:cs="宋体" w:hint="eastAsia"/>
          <w:snapToGrid w:val="0"/>
          <w:color w:val="000000"/>
          <w:kern w:val="0"/>
          <w:sz w:val="28"/>
          <w:szCs w:val="28"/>
        </w:rPr>
        <w:t>号）为核心依据，通过购买第三</w:t>
      </w:r>
      <w:proofErr w:type="gramStart"/>
      <w:r>
        <w:rPr>
          <w:rFonts w:ascii="宋体" w:eastAsia="宋体" w:hAnsi="宋体" w:cs="宋体" w:hint="eastAsia"/>
          <w:snapToGrid w:val="0"/>
          <w:color w:val="000000"/>
          <w:kern w:val="0"/>
          <w:sz w:val="28"/>
          <w:szCs w:val="28"/>
        </w:rPr>
        <w:t>方专业</w:t>
      </w:r>
      <w:proofErr w:type="gramEnd"/>
      <w:r>
        <w:rPr>
          <w:rFonts w:ascii="宋体" w:eastAsia="宋体" w:hAnsi="宋体" w:cs="宋体" w:hint="eastAsia"/>
          <w:snapToGrid w:val="0"/>
          <w:color w:val="000000"/>
          <w:kern w:val="0"/>
          <w:sz w:val="28"/>
          <w:szCs w:val="28"/>
        </w:rPr>
        <w:t>安全评估服务，对辖区内部分中小学、幼儿园开展全覆盖、专业化的重大事故隐患排查与风险评估，建立“</w:t>
      </w:r>
      <w:r>
        <w:rPr>
          <w:rFonts w:ascii="宋体" w:eastAsia="宋体" w:hAnsi="宋体" w:cs="宋体" w:hint="eastAsia"/>
          <w:snapToGrid w:val="0"/>
          <w:color w:val="000000"/>
          <w:kern w:val="0"/>
          <w:sz w:val="28"/>
          <w:szCs w:val="28"/>
        </w:rPr>
        <w:lastRenderedPageBreak/>
        <w:t>检查—判定—反馈—整改—复查—销号”全流程闭环管理机制，切实防范和遏制</w:t>
      </w:r>
      <w:r>
        <w:rPr>
          <w:rFonts w:ascii="宋体" w:eastAsia="宋体" w:hAnsi="宋体" w:cs="宋体" w:hint="eastAsia"/>
          <w:snapToGrid w:val="0"/>
          <w:color w:val="000000"/>
          <w:kern w:val="0"/>
          <w:sz w:val="28"/>
          <w:szCs w:val="28"/>
        </w:rPr>
        <w:t>校园重特大安全事故发生。</w:t>
      </w:r>
    </w:p>
    <w:p w14:paraId="24D23425"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4.2</w:t>
      </w:r>
      <w:r>
        <w:rPr>
          <w:rFonts w:ascii="宋体" w:eastAsia="宋体" w:hAnsi="宋体" w:cs="宋体" w:hint="eastAsia"/>
          <w:snapToGrid w:val="0"/>
          <w:color w:val="000000"/>
          <w:kern w:val="0"/>
          <w:sz w:val="28"/>
          <w:szCs w:val="28"/>
        </w:rPr>
        <w:t>服务范围</w:t>
      </w:r>
    </w:p>
    <w:p w14:paraId="2A0B7531"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服务覆盖辖区内部分中小学、幼儿园等教育机构，涵盖以下重点领域：</w:t>
      </w:r>
    </w:p>
    <w:p w14:paraId="36D85804"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消防管理：消防安全责任体系、消防设施设备、疏散通道、施工动火管理等</w:t>
      </w:r>
    </w:p>
    <w:p w14:paraId="57B3311F"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校舍安全：建筑结构安全、临边防护、危房使用、屋顶荷载、大跨度钢结构等</w:t>
      </w:r>
    </w:p>
    <w:p w14:paraId="53390AC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食品安全：食品经营许可、从业人员健康证、食品采购溯源、加工操作规范等</w:t>
      </w:r>
    </w:p>
    <w:p w14:paraId="31E879B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实验实训安全：实验室安全责任体系、危险源管控、实验人员准入、危化品管理等</w:t>
      </w:r>
    </w:p>
    <w:p w14:paraId="7B42DA4B"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校车及交通安全：校车标牌及驾驶资格、随车照管、校内人车分离、</w:t>
      </w:r>
      <w:proofErr w:type="gramStart"/>
      <w:r>
        <w:rPr>
          <w:rFonts w:ascii="宋体" w:eastAsia="宋体" w:hAnsi="宋体" w:cs="宋体" w:hint="eastAsia"/>
          <w:snapToGrid w:val="0"/>
          <w:color w:val="000000"/>
          <w:kern w:val="0"/>
          <w:sz w:val="28"/>
          <w:szCs w:val="28"/>
        </w:rPr>
        <w:t>校门口防冲撞</w:t>
      </w:r>
      <w:proofErr w:type="gramEnd"/>
      <w:r>
        <w:rPr>
          <w:rFonts w:ascii="宋体" w:eastAsia="宋体" w:hAnsi="宋体" w:cs="宋体" w:hint="eastAsia"/>
          <w:snapToGrid w:val="0"/>
          <w:color w:val="000000"/>
          <w:kern w:val="0"/>
          <w:sz w:val="28"/>
          <w:szCs w:val="28"/>
        </w:rPr>
        <w:t>设施等</w:t>
      </w:r>
    </w:p>
    <w:p w14:paraId="6791DF1B"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危险化学品管理：购买、存储、使用、运输、转让、处置全流程合</w:t>
      </w:r>
      <w:proofErr w:type="gramStart"/>
      <w:r>
        <w:rPr>
          <w:rFonts w:ascii="宋体" w:eastAsia="宋体" w:hAnsi="宋体" w:cs="宋体" w:hint="eastAsia"/>
          <w:snapToGrid w:val="0"/>
          <w:color w:val="000000"/>
          <w:kern w:val="0"/>
          <w:sz w:val="28"/>
          <w:szCs w:val="28"/>
        </w:rPr>
        <w:t>规</w:t>
      </w:r>
      <w:proofErr w:type="gramEnd"/>
      <w:r>
        <w:rPr>
          <w:rFonts w:ascii="宋体" w:eastAsia="宋体" w:hAnsi="宋体" w:cs="宋体" w:hint="eastAsia"/>
          <w:snapToGrid w:val="0"/>
          <w:color w:val="000000"/>
          <w:kern w:val="0"/>
          <w:sz w:val="28"/>
          <w:szCs w:val="28"/>
        </w:rPr>
        <w:t>性</w:t>
      </w:r>
    </w:p>
    <w:p w14:paraId="08CC80FE"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燃气安全：燃气设施设备、管道维护、泄漏报警等</w:t>
      </w:r>
    </w:p>
    <w:p w14:paraId="0679638C"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特种设备安全：锅炉、压力容器、电梯等特种设备的定期检测与维护保养</w:t>
      </w:r>
    </w:p>
    <w:p w14:paraId="5BE879A8"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4.3</w:t>
      </w:r>
      <w:r>
        <w:rPr>
          <w:rFonts w:ascii="宋体" w:eastAsia="宋体" w:hAnsi="宋体" w:cs="宋体" w:hint="eastAsia"/>
          <w:snapToGrid w:val="0"/>
          <w:color w:val="000000"/>
          <w:kern w:val="0"/>
          <w:sz w:val="28"/>
          <w:szCs w:val="28"/>
        </w:rPr>
        <w:t>、核心服务内容</w:t>
      </w:r>
    </w:p>
    <w:p w14:paraId="7DD84D8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）全覆盖隐患排查</w:t>
      </w:r>
    </w:p>
    <w:p w14:paraId="34985FFB"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全面“体检式”排查</w:t>
      </w:r>
    </w:p>
    <w:p w14:paraId="698BD5F5"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每学期至少开展</w:t>
      </w: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次全覆盖隐患排查，严格对照《教育系统重大事故隐患判定指南》各条款逐项检查，不漏一校、不漏一处。</w:t>
      </w:r>
    </w:p>
    <w:p w14:paraId="5B09E74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直接判定项重点核查</w:t>
      </w:r>
    </w:p>
    <w:p w14:paraId="44CFE1CC"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对以下直接判定为重大事故隐患的情形实施重点核查，一经发现</w:t>
      </w:r>
      <w:r>
        <w:rPr>
          <w:rFonts w:ascii="宋体" w:eastAsia="宋体" w:hAnsi="宋体" w:cs="宋体" w:hint="eastAsia"/>
          <w:snapToGrid w:val="0"/>
          <w:color w:val="000000"/>
          <w:kern w:val="0"/>
          <w:sz w:val="28"/>
          <w:szCs w:val="28"/>
        </w:rPr>
        <w:t>24</w:t>
      </w:r>
      <w:r>
        <w:rPr>
          <w:rFonts w:ascii="宋体" w:eastAsia="宋体" w:hAnsi="宋体" w:cs="宋体" w:hint="eastAsia"/>
          <w:snapToGrid w:val="0"/>
          <w:color w:val="000000"/>
          <w:kern w:val="0"/>
          <w:sz w:val="28"/>
          <w:szCs w:val="28"/>
        </w:rPr>
        <w:t>小时内上报：</w:t>
      </w:r>
    </w:p>
    <w:p w14:paraId="49DC96A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消防类：学生宿舍设置在地下室、未设置火灾自动报警系统、明火</w:t>
      </w:r>
      <w:r>
        <w:rPr>
          <w:rFonts w:ascii="宋体" w:eastAsia="宋体" w:hAnsi="宋体" w:cs="宋体" w:hint="eastAsia"/>
          <w:snapToGrid w:val="0"/>
          <w:color w:val="000000"/>
          <w:kern w:val="0"/>
          <w:sz w:val="28"/>
          <w:szCs w:val="28"/>
        </w:rPr>
        <w:t>作业未办理动火审批、电动自行车入楼充电、门窗设置铁栅栏影响逃生等</w:t>
      </w:r>
    </w:p>
    <w:p w14:paraId="64DED430"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lastRenderedPageBreak/>
        <w:t>校舍类：临边栏杆不牢固、使用</w:t>
      </w:r>
      <w:r>
        <w:rPr>
          <w:rFonts w:ascii="宋体" w:eastAsia="宋体" w:hAnsi="宋体" w:cs="宋体" w:hint="eastAsia"/>
          <w:snapToGrid w:val="0"/>
          <w:color w:val="000000"/>
          <w:kern w:val="0"/>
          <w:sz w:val="28"/>
          <w:szCs w:val="28"/>
        </w:rPr>
        <w:t>C/D</w:t>
      </w:r>
      <w:r>
        <w:rPr>
          <w:rFonts w:ascii="宋体" w:eastAsia="宋体" w:hAnsi="宋体" w:cs="宋体" w:hint="eastAsia"/>
          <w:snapToGrid w:val="0"/>
          <w:color w:val="000000"/>
          <w:kern w:val="0"/>
          <w:sz w:val="28"/>
          <w:szCs w:val="28"/>
        </w:rPr>
        <w:t>级危房、擅自改变使用功能、</w:t>
      </w:r>
      <w:proofErr w:type="gramStart"/>
      <w:r>
        <w:rPr>
          <w:rFonts w:ascii="宋体" w:eastAsia="宋体" w:hAnsi="宋体" w:cs="宋体" w:hint="eastAsia"/>
          <w:snapToGrid w:val="0"/>
          <w:color w:val="000000"/>
          <w:kern w:val="0"/>
          <w:sz w:val="28"/>
          <w:szCs w:val="28"/>
        </w:rPr>
        <w:t>屋顶超</w:t>
      </w:r>
      <w:proofErr w:type="gramEnd"/>
      <w:r>
        <w:rPr>
          <w:rFonts w:ascii="宋体" w:eastAsia="宋体" w:hAnsi="宋体" w:cs="宋体" w:hint="eastAsia"/>
          <w:snapToGrid w:val="0"/>
          <w:color w:val="000000"/>
          <w:kern w:val="0"/>
          <w:sz w:val="28"/>
          <w:szCs w:val="28"/>
        </w:rPr>
        <w:t>荷载堆放、大跨度钢结构未定期评估等</w:t>
      </w:r>
    </w:p>
    <w:p w14:paraId="48D08F9A"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食品类：食堂无食品经营许可证、从业人员无健康证明、进货来源不明、承包经营转包分包等</w:t>
      </w:r>
    </w:p>
    <w:p w14:paraId="1DE106D5"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校车类：使用无标牌校车、无驾驶资格人员驾车、未实施校内人车分离、未设置防冲撞设施等</w:t>
      </w:r>
    </w:p>
    <w:p w14:paraId="7404B8D7"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实验类：实验人员无安全准入、未建立危险源管控方案、违规购买存储危化品、实验室超量存放危险品等</w:t>
      </w:r>
    </w:p>
    <w:p w14:paraId="4936A707"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综合判定事项核查</w:t>
      </w:r>
    </w:p>
    <w:p w14:paraId="0F6DB0C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对存在任意</w:t>
      </w: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条及以上综合判定情形的，综合判定为重大事故隐患，</w:t>
      </w:r>
      <w:r>
        <w:rPr>
          <w:rFonts w:ascii="宋体" w:eastAsia="宋体" w:hAnsi="宋体" w:cs="宋体" w:hint="eastAsia"/>
          <w:snapToGrid w:val="0"/>
          <w:color w:val="000000"/>
          <w:kern w:val="0"/>
          <w:sz w:val="28"/>
          <w:szCs w:val="28"/>
        </w:rPr>
        <w:t>包括：消防车道堵塞、防火间距不足、消防设施不能正常使用、消防控制室无证值班、安全出口被封堵、防火门损坏严重、疏散指示标志缺失等。</w:t>
      </w:r>
    </w:p>
    <w:p w14:paraId="42F43031"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）隐患分级与风险管控</w:t>
      </w:r>
    </w:p>
    <w:p w14:paraId="445BD21C"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重大隐患判定</w:t>
      </w:r>
    </w:p>
    <w:p w14:paraId="41A1B772"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按照《判定指南》要求，成立不少于</w:t>
      </w: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人的专家工作组（由消防、建筑、电气等领域专家组成），结合现场证据讨论后，对事故隐患</w:t>
      </w:r>
      <w:proofErr w:type="gramStart"/>
      <w:r>
        <w:rPr>
          <w:rFonts w:ascii="宋体" w:eastAsia="宋体" w:hAnsi="宋体" w:cs="宋体" w:hint="eastAsia"/>
          <w:snapToGrid w:val="0"/>
          <w:color w:val="000000"/>
          <w:kern w:val="0"/>
          <w:sz w:val="28"/>
          <w:szCs w:val="28"/>
        </w:rPr>
        <w:t>作出</w:t>
      </w:r>
      <w:proofErr w:type="gramEnd"/>
      <w:r>
        <w:rPr>
          <w:rFonts w:ascii="宋体" w:eastAsia="宋体" w:hAnsi="宋体" w:cs="宋体" w:hint="eastAsia"/>
          <w:snapToGrid w:val="0"/>
          <w:color w:val="000000"/>
          <w:kern w:val="0"/>
          <w:sz w:val="28"/>
          <w:szCs w:val="28"/>
        </w:rPr>
        <w:t>结论性判定。</w:t>
      </w:r>
    </w:p>
    <w:p w14:paraId="415309CE"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隐患分级管理</w:t>
      </w:r>
    </w:p>
    <w:p w14:paraId="45605EE4"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重大隐患：直接判定类或综合判定类隐患，实行挂牌督办，</w:t>
      </w:r>
      <w:r>
        <w:rPr>
          <w:rFonts w:ascii="宋体" w:eastAsia="宋体" w:hAnsi="宋体" w:cs="宋体" w:hint="eastAsia"/>
          <w:snapToGrid w:val="0"/>
          <w:color w:val="000000"/>
          <w:kern w:val="0"/>
          <w:sz w:val="28"/>
          <w:szCs w:val="28"/>
        </w:rPr>
        <w:t>24</w:t>
      </w:r>
      <w:r>
        <w:rPr>
          <w:rFonts w:ascii="宋体" w:eastAsia="宋体" w:hAnsi="宋体" w:cs="宋体" w:hint="eastAsia"/>
          <w:snapToGrid w:val="0"/>
          <w:color w:val="000000"/>
          <w:kern w:val="0"/>
          <w:sz w:val="28"/>
          <w:szCs w:val="28"/>
        </w:rPr>
        <w:t>小时内上报</w:t>
      </w:r>
    </w:p>
    <w:p w14:paraId="15F7F28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一般隐患：其他安全隐患，纳入常规整改清单</w:t>
      </w:r>
    </w:p>
    <w:p w14:paraId="7980AD41"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双重预防机制建设</w:t>
      </w:r>
    </w:p>
    <w:p w14:paraId="25EAF754"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指导学校建立“安全风险分级管控”和“隐患排查治理”双重</w:t>
      </w:r>
      <w:r>
        <w:rPr>
          <w:rFonts w:ascii="宋体" w:eastAsia="宋体" w:hAnsi="宋体" w:cs="宋体" w:hint="eastAsia"/>
          <w:snapToGrid w:val="0"/>
          <w:color w:val="000000"/>
          <w:kern w:val="0"/>
          <w:sz w:val="28"/>
          <w:szCs w:val="28"/>
        </w:rPr>
        <w:t>预防机制：</w:t>
      </w:r>
    </w:p>
    <w:p w14:paraId="10A41FD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绘制“红橙黄蓝”四</w:t>
      </w:r>
      <w:proofErr w:type="gramStart"/>
      <w:r>
        <w:rPr>
          <w:rFonts w:ascii="宋体" w:eastAsia="宋体" w:hAnsi="宋体" w:cs="宋体" w:hint="eastAsia"/>
          <w:snapToGrid w:val="0"/>
          <w:color w:val="000000"/>
          <w:kern w:val="0"/>
          <w:sz w:val="28"/>
          <w:szCs w:val="28"/>
        </w:rPr>
        <w:t>色安全</w:t>
      </w:r>
      <w:proofErr w:type="gramEnd"/>
      <w:r>
        <w:rPr>
          <w:rFonts w:ascii="宋体" w:eastAsia="宋体" w:hAnsi="宋体" w:cs="宋体" w:hint="eastAsia"/>
          <w:snapToGrid w:val="0"/>
          <w:color w:val="000000"/>
          <w:kern w:val="0"/>
          <w:sz w:val="28"/>
          <w:szCs w:val="28"/>
        </w:rPr>
        <w:t>风险空间分布图</w:t>
      </w:r>
    </w:p>
    <w:p w14:paraId="508E8A6C"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建立风险点数据库和隐患排查</w:t>
      </w:r>
      <w:proofErr w:type="gramStart"/>
      <w:r>
        <w:rPr>
          <w:rFonts w:ascii="宋体" w:eastAsia="宋体" w:hAnsi="宋体" w:cs="宋体" w:hint="eastAsia"/>
          <w:snapToGrid w:val="0"/>
          <w:color w:val="000000"/>
          <w:kern w:val="0"/>
          <w:sz w:val="28"/>
          <w:szCs w:val="28"/>
        </w:rPr>
        <w:t>治理台</w:t>
      </w:r>
      <w:proofErr w:type="gramEnd"/>
      <w:r>
        <w:rPr>
          <w:rFonts w:ascii="宋体" w:eastAsia="宋体" w:hAnsi="宋体" w:cs="宋体" w:hint="eastAsia"/>
          <w:snapToGrid w:val="0"/>
          <w:color w:val="000000"/>
          <w:kern w:val="0"/>
          <w:sz w:val="28"/>
          <w:szCs w:val="28"/>
        </w:rPr>
        <w:t>账</w:t>
      </w:r>
    </w:p>
    <w:p w14:paraId="1662F60B"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制定“一校</w:t>
      </w:r>
      <w:proofErr w:type="gramStart"/>
      <w:r>
        <w:rPr>
          <w:rFonts w:ascii="宋体" w:eastAsia="宋体" w:hAnsi="宋体" w:cs="宋体" w:hint="eastAsia"/>
          <w:snapToGrid w:val="0"/>
          <w:color w:val="000000"/>
          <w:kern w:val="0"/>
          <w:sz w:val="28"/>
          <w:szCs w:val="28"/>
        </w:rPr>
        <w:t>一</w:t>
      </w:r>
      <w:proofErr w:type="gramEnd"/>
      <w:r>
        <w:rPr>
          <w:rFonts w:ascii="宋体" w:eastAsia="宋体" w:hAnsi="宋体" w:cs="宋体" w:hint="eastAsia"/>
          <w:snapToGrid w:val="0"/>
          <w:color w:val="000000"/>
          <w:kern w:val="0"/>
          <w:sz w:val="28"/>
          <w:szCs w:val="28"/>
        </w:rPr>
        <w:t>策”风险管控方案</w:t>
      </w:r>
    </w:p>
    <w:p w14:paraId="0A98440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）隐患整改跟踪闭环</w:t>
      </w:r>
    </w:p>
    <w:p w14:paraId="7AEDAA6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“五落实”整改要求</w:t>
      </w:r>
    </w:p>
    <w:p w14:paraId="1E77A89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对发现的重大事故隐患，按照“责任、措施、资金、时限、预案”五落实要求，督促学校限期整改。</w:t>
      </w:r>
    </w:p>
    <w:p w14:paraId="58E62521"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lastRenderedPageBreak/>
        <w:t>2.</w:t>
      </w:r>
      <w:r>
        <w:rPr>
          <w:rFonts w:ascii="宋体" w:eastAsia="宋体" w:hAnsi="宋体" w:cs="宋体" w:hint="eastAsia"/>
          <w:snapToGrid w:val="0"/>
          <w:color w:val="000000"/>
          <w:kern w:val="0"/>
          <w:sz w:val="28"/>
          <w:szCs w:val="28"/>
        </w:rPr>
        <w:t>飞行检查与“回头看”</w:t>
      </w:r>
    </w:p>
    <w:p w14:paraId="73DD86F5"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对已发现重大隐患进行不定期飞行检查和复查，确保整改到位、销号闭环。对未按规范标准要求整改的学校，纳入年度安全考核扣分处理。</w:t>
      </w:r>
    </w:p>
    <w:p w14:paraId="325DB70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整改技术支持</w:t>
      </w:r>
    </w:p>
    <w:p w14:paraId="5735ACDF"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为学校提供隐患整改技术咨询，指导制定科学、经济、可行的整改方案，避免“过度整改”或“整改不到位”。</w:t>
      </w:r>
    </w:p>
    <w:p w14:paraId="38E5FFB2"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4</w:t>
      </w:r>
      <w:r>
        <w:rPr>
          <w:rFonts w:ascii="宋体" w:eastAsia="宋体" w:hAnsi="宋体" w:cs="宋体" w:hint="eastAsia"/>
          <w:snapToGrid w:val="0"/>
          <w:color w:val="000000"/>
          <w:kern w:val="0"/>
          <w:sz w:val="28"/>
          <w:szCs w:val="28"/>
        </w:rPr>
        <w:t>）安全培训与能力提升</w:t>
      </w:r>
    </w:p>
    <w:p w14:paraId="648E5E75"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《判定指南》专项培训</w:t>
      </w:r>
    </w:p>
    <w:p w14:paraId="212D8DAF"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面向校长、分管安全副校长及安全专干，开展《教育系统重大事故隐患判定指南》专项解读培训，使管理人员：</w:t>
      </w:r>
    </w:p>
    <w:p w14:paraId="1ADF71D2"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熟悉判定标准，知道“查什么”</w:t>
      </w:r>
    </w:p>
    <w:p w14:paraId="454C863E"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掌握检查方法，知道“怎么查”</w:t>
      </w:r>
    </w:p>
    <w:p w14:paraId="137A9617"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明确整改要求，知道“怎么改”</w:t>
      </w:r>
    </w:p>
    <w:p w14:paraId="4F4F180C"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应急演练指导</w:t>
      </w:r>
    </w:p>
    <w:p w14:paraId="2229E9B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模拟火灾逃生、校车事故、建筑物坍塌等典型突发事件场景，指导学校开展实战化应急演练，提升师生应急避险能力。</w:t>
      </w:r>
    </w:p>
    <w:p w14:paraId="55F1DDE6"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w:t>
      </w:r>
      <w:r>
        <w:rPr>
          <w:rFonts w:ascii="宋体" w:eastAsia="宋体" w:hAnsi="宋体" w:cs="宋体" w:hint="eastAsia"/>
          <w:snapToGrid w:val="0"/>
          <w:color w:val="000000"/>
          <w:kern w:val="0"/>
          <w:sz w:val="28"/>
          <w:szCs w:val="28"/>
        </w:rPr>
        <w:t>5</w:t>
      </w:r>
      <w:r>
        <w:rPr>
          <w:rFonts w:ascii="宋体" w:eastAsia="宋体" w:hAnsi="宋体" w:cs="宋体" w:hint="eastAsia"/>
          <w:snapToGrid w:val="0"/>
          <w:color w:val="000000"/>
          <w:kern w:val="0"/>
          <w:sz w:val="28"/>
          <w:szCs w:val="28"/>
        </w:rPr>
        <w:t>）数字化档案管理</w:t>
      </w:r>
    </w:p>
    <w:p w14:paraId="705EA83F"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proofErr w:type="gramStart"/>
      <w:r>
        <w:rPr>
          <w:rFonts w:ascii="宋体" w:eastAsia="宋体" w:hAnsi="宋体" w:cs="宋体" w:hint="eastAsia"/>
          <w:snapToGrid w:val="0"/>
          <w:color w:val="000000"/>
          <w:kern w:val="0"/>
          <w:sz w:val="28"/>
          <w:szCs w:val="28"/>
        </w:rPr>
        <w:t>隐患台</w:t>
      </w:r>
      <w:proofErr w:type="gramEnd"/>
      <w:r>
        <w:rPr>
          <w:rFonts w:ascii="宋体" w:eastAsia="宋体" w:hAnsi="宋体" w:cs="宋体" w:hint="eastAsia"/>
          <w:snapToGrid w:val="0"/>
          <w:color w:val="000000"/>
          <w:kern w:val="0"/>
          <w:sz w:val="28"/>
          <w:szCs w:val="28"/>
        </w:rPr>
        <w:t>账管理</w:t>
      </w:r>
    </w:p>
    <w:p w14:paraId="20410452"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建立“排查—登记—整改—销号”全流程数字化管理系统，实现隐患信息动态更新、实时查询、自动预警。</w:t>
      </w:r>
    </w:p>
    <w:p w14:paraId="4E8A2BBA"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“一校一档”建设</w:t>
      </w:r>
    </w:p>
    <w:p w14:paraId="77639D12"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为每所学校建立重大事故隐患专项档案，包括：隐患检查记录、</w:t>
      </w:r>
    </w:p>
    <w:p w14:paraId="26E8305B" w14:textId="77777777" w:rsidR="00F730DE" w:rsidRDefault="008E3A84">
      <w:pPr>
        <w:widowControl/>
        <w:kinsoku w:val="0"/>
        <w:wordWrap w:val="0"/>
        <w:autoSpaceDE w:val="0"/>
        <w:autoSpaceDN w:val="0"/>
        <w:adjustRightInd w:val="0"/>
        <w:snapToGrid w:val="0"/>
        <w:spacing w:line="460" w:lineRule="exact"/>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隐患判定意见、整改通知书及整改报告、复查验收记录、风险分布图及风险</w:t>
      </w:r>
      <w:proofErr w:type="gramStart"/>
      <w:r>
        <w:rPr>
          <w:rFonts w:ascii="宋体" w:eastAsia="宋体" w:hAnsi="宋体" w:cs="宋体" w:hint="eastAsia"/>
          <w:snapToGrid w:val="0"/>
          <w:color w:val="000000"/>
          <w:kern w:val="0"/>
          <w:sz w:val="28"/>
          <w:szCs w:val="28"/>
        </w:rPr>
        <w:t>告知卡</w:t>
      </w:r>
      <w:proofErr w:type="gramEnd"/>
      <w:r>
        <w:rPr>
          <w:rFonts w:ascii="宋体" w:eastAsia="宋体" w:hAnsi="宋体" w:cs="宋体" w:hint="eastAsia"/>
          <w:snapToGrid w:val="0"/>
          <w:color w:val="000000"/>
          <w:kern w:val="0"/>
          <w:sz w:val="28"/>
          <w:szCs w:val="28"/>
        </w:rPr>
        <w:t>等。</w:t>
      </w:r>
    </w:p>
    <w:p w14:paraId="3397BA43"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安全形势分析</w:t>
      </w:r>
    </w:p>
    <w:p w14:paraId="5340C6E9"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每季度、每年度提交全区教育系统安全形势分析报告，分析隐患分布规律、共性问题、整改成效，为教育主管部门决策提供数据支撑。</w:t>
      </w:r>
    </w:p>
    <w:p w14:paraId="23BB14E2"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四、成果交付</w:t>
      </w:r>
    </w:p>
    <w:tbl>
      <w:tblPr>
        <w:tblW w:w="9138" w:type="dxa"/>
        <w:tblInd w:w="93" w:type="dxa"/>
        <w:tblLook w:val="04A0" w:firstRow="1" w:lastRow="0" w:firstColumn="1" w:lastColumn="0" w:noHBand="0" w:noVBand="1"/>
      </w:tblPr>
      <w:tblGrid>
        <w:gridCol w:w="1761"/>
        <w:gridCol w:w="2728"/>
        <w:gridCol w:w="4649"/>
      </w:tblGrid>
      <w:tr w:rsidR="00F730DE" w14:paraId="7215F30D" w14:textId="77777777">
        <w:trPr>
          <w:trHeight w:val="758"/>
        </w:trPr>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A1FD2" w14:textId="77777777" w:rsidR="00F730DE" w:rsidRDefault="008E3A84">
            <w:pPr>
              <w:widowControl/>
              <w:kinsoku w:val="0"/>
              <w:autoSpaceDE w:val="0"/>
              <w:autoSpaceDN w:val="0"/>
              <w:adjustRightInd w:val="0"/>
              <w:snapToGrid w:val="0"/>
              <w:jc w:val="center"/>
              <w:textAlignment w:val="center"/>
              <w:rPr>
                <w:rFonts w:ascii="宋体" w:eastAsia="宋体" w:hAnsi="宋体" w:cs="宋体"/>
                <w:b/>
                <w:bCs/>
                <w:snapToGrid w:val="0"/>
                <w:color w:val="000000"/>
                <w:kern w:val="0"/>
                <w:sz w:val="22"/>
                <w:szCs w:val="22"/>
                <w:lang w:eastAsia="en-US"/>
              </w:rPr>
            </w:pPr>
            <w:r>
              <w:rPr>
                <w:rFonts w:ascii="宋体" w:eastAsia="宋体" w:hAnsi="宋体" w:cs="宋体" w:hint="eastAsia"/>
                <w:b/>
                <w:bCs/>
                <w:snapToGrid w:val="0"/>
                <w:color w:val="000000"/>
                <w:kern w:val="0"/>
                <w:sz w:val="22"/>
                <w:szCs w:val="22"/>
                <w:lang w:bidi="ar"/>
              </w:rPr>
              <w:t xml:space="preserve"> </w:t>
            </w:r>
            <w:r>
              <w:rPr>
                <w:rFonts w:ascii="宋体" w:eastAsia="宋体" w:hAnsi="宋体" w:cs="宋体" w:hint="eastAsia"/>
                <w:b/>
                <w:bCs/>
                <w:snapToGrid w:val="0"/>
                <w:color w:val="000000"/>
                <w:kern w:val="0"/>
                <w:sz w:val="22"/>
                <w:szCs w:val="22"/>
                <w:lang w:bidi="ar"/>
              </w:rPr>
              <w:t>成果名称</w:t>
            </w:r>
          </w:p>
        </w:tc>
        <w:tc>
          <w:tcPr>
            <w:tcW w:w="2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E017D" w14:textId="77777777" w:rsidR="00F730DE" w:rsidRDefault="008E3A84">
            <w:pPr>
              <w:widowControl/>
              <w:kinsoku w:val="0"/>
              <w:autoSpaceDE w:val="0"/>
              <w:autoSpaceDN w:val="0"/>
              <w:adjustRightInd w:val="0"/>
              <w:snapToGrid w:val="0"/>
              <w:jc w:val="center"/>
              <w:textAlignment w:val="center"/>
              <w:rPr>
                <w:rFonts w:ascii="宋体" w:eastAsia="宋体" w:hAnsi="宋体" w:cs="宋体"/>
                <w:b/>
                <w:bCs/>
                <w:snapToGrid w:val="0"/>
                <w:color w:val="000000"/>
                <w:kern w:val="0"/>
                <w:sz w:val="22"/>
                <w:szCs w:val="22"/>
                <w:lang w:eastAsia="en-US"/>
              </w:rPr>
            </w:pPr>
            <w:r>
              <w:rPr>
                <w:rFonts w:ascii="宋体" w:eastAsia="宋体" w:hAnsi="宋体" w:cs="宋体" w:hint="eastAsia"/>
                <w:b/>
                <w:bCs/>
                <w:snapToGrid w:val="0"/>
                <w:color w:val="000000"/>
                <w:kern w:val="0"/>
                <w:sz w:val="22"/>
                <w:szCs w:val="22"/>
                <w:lang w:bidi="ar"/>
              </w:rPr>
              <w:t xml:space="preserve"> </w:t>
            </w:r>
            <w:r>
              <w:rPr>
                <w:rFonts w:ascii="宋体" w:eastAsia="宋体" w:hAnsi="宋体" w:cs="宋体" w:hint="eastAsia"/>
                <w:b/>
                <w:bCs/>
                <w:snapToGrid w:val="0"/>
                <w:color w:val="000000"/>
                <w:kern w:val="0"/>
                <w:sz w:val="22"/>
                <w:szCs w:val="22"/>
                <w:lang w:bidi="ar"/>
              </w:rPr>
              <w:t>交付时间</w:t>
            </w:r>
          </w:p>
        </w:tc>
        <w:tc>
          <w:tcPr>
            <w:tcW w:w="46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25A1C" w14:textId="77777777" w:rsidR="00F730DE" w:rsidRDefault="008E3A84">
            <w:pPr>
              <w:widowControl/>
              <w:kinsoku w:val="0"/>
              <w:autoSpaceDE w:val="0"/>
              <w:autoSpaceDN w:val="0"/>
              <w:adjustRightInd w:val="0"/>
              <w:snapToGrid w:val="0"/>
              <w:jc w:val="center"/>
              <w:textAlignment w:val="center"/>
              <w:rPr>
                <w:rFonts w:ascii="宋体" w:eastAsia="宋体" w:hAnsi="宋体" w:cs="宋体"/>
                <w:b/>
                <w:bCs/>
                <w:snapToGrid w:val="0"/>
                <w:color w:val="000000"/>
                <w:kern w:val="0"/>
                <w:sz w:val="22"/>
                <w:szCs w:val="22"/>
                <w:lang w:eastAsia="en-US"/>
              </w:rPr>
            </w:pPr>
            <w:r>
              <w:rPr>
                <w:rFonts w:ascii="宋体" w:eastAsia="宋体" w:hAnsi="宋体" w:cs="宋体" w:hint="eastAsia"/>
                <w:b/>
                <w:bCs/>
                <w:snapToGrid w:val="0"/>
                <w:color w:val="000000"/>
                <w:kern w:val="0"/>
                <w:sz w:val="22"/>
                <w:szCs w:val="22"/>
                <w:lang w:bidi="ar"/>
              </w:rPr>
              <w:t xml:space="preserve"> </w:t>
            </w:r>
            <w:r>
              <w:rPr>
                <w:rFonts w:ascii="宋体" w:eastAsia="宋体" w:hAnsi="宋体" w:cs="宋体" w:hint="eastAsia"/>
                <w:b/>
                <w:bCs/>
                <w:snapToGrid w:val="0"/>
                <w:color w:val="000000"/>
                <w:kern w:val="0"/>
                <w:sz w:val="22"/>
                <w:szCs w:val="22"/>
                <w:lang w:bidi="ar"/>
              </w:rPr>
              <w:t>核心内容</w:t>
            </w:r>
          </w:p>
        </w:tc>
      </w:tr>
      <w:tr w:rsidR="00F730DE" w14:paraId="3BA0AADB" w14:textId="77777777">
        <w:trPr>
          <w:trHeight w:val="690"/>
        </w:trPr>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3ECBA"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隐患排查报告</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7FD7D"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每次排查后</w:t>
            </w:r>
            <w:r>
              <w:rPr>
                <w:rFonts w:ascii="宋体" w:eastAsia="宋体" w:hAnsi="宋体" w:cs="宋体" w:hint="eastAsia"/>
                <w:snapToGrid w:val="0"/>
                <w:color w:val="000000"/>
                <w:kern w:val="0"/>
                <w:sz w:val="22"/>
                <w:szCs w:val="22"/>
                <w:lang w:bidi="ar"/>
              </w:rPr>
              <w:t>5</w:t>
            </w:r>
            <w:r>
              <w:rPr>
                <w:rFonts w:ascii="宋体" w:eastAsia="宋体" w:hAnsi="宋体" w:cs="宋体" w:hint="eastAsia"/>
                <w:snapToGrid w:val="0"/>
                <w:color w:val="000000"/>
                <w:kern w:val="0"/>
                <w:sz w:val="22"/>
                <w:szCs w:val="22"/>
                <w:lang w:bidi="ar"/>
              </w:rPr>
              <w:t>个工作日内</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F03F3"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逐条引用《判定指南》条款，</w:t>
            </w:r>
            <w:proofErr w:type="gramStart"/>
            <w:r>
              <w:rPr>
                <w:rFonts w:ascii="宋体" w:eastAsia="宋体" w:hAnsi="宋体" w:cs="宋体" w:hint="eastAsia"/>
                <w:snapToGrid w:val="0"/>
                <w:color w:val="000000"/>
                <w:kern w:val="0"/>
                <w:sz w:val="22"/>
                <w:szCs w:val="22"/>
                <w:lang w:bidi="ar"/>
              </w:rPr>
              <w:t>附现场</w:t>
            </w:r>
            <w:proofErr w:type="gramEnd"/>
            <w:r>
              <w:rPr>
                <w:rFonts w:ascii="宋体" w:eastAsia="宋体" w:hAnsi="宋体" w:cs="宋体" w:hint="eastAsia"/>
                <w:snapToGrid w:val="0"/>
                <w:color w:val="000000"/>
                <w:kern w:val="0"/>
                <w:sz w:val="22"/>
                <w:szCs w:val="22"/>
                <w:lang w:bidi="ar"/>
              </w:rPr>
              <w:t>照片佐证</w:t>
            </w:r>
          </w:p>
        </w:tc>
      </w:tr>
      <w:tr w:rsidR="00F730DE" w14:paraId="7E92AA88" w14:textId="77777777">
        <w:trPr>
          <w:trHeight w:val="690"/>
        </w:trPr>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C8CBE"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lastRenderedPageBreak/>
              <w:t>重大隐患专报</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B42EE"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发现重大隐患后</w:t>
            </w:r>
            <w:r>
              <w:rPr>
                <w:rFonts w:ascii="宋体" w:eastAsia="宋体" w:hAnsi="宋体" w:cs="宋体" w:hint="eastAsia"/>
                <w:snapToGrid w:val="0"/>
                <w:color w:val="000000"/>
                <w:kern w:val="0"/>
                <w:sz w:val="22"/>
                <w:szCs w:val="22"/>
                <w:lang w:bidi="ar"/>
              </w:rPr>
              <w:t>24</w:t>
            </w:r>
            <w:r>
              <w:rPr>
                <w:rFonts w:ascii="宋体" w:eastAsia="宋体" w:hAnsi="宋体" w:cs="宋体" w:hint="eastAsia"/>
                <w:snapToGrid w:val="0"/>
                <w:color w:val="000000"/>
                <w:kern w:val="0"/>
                <w:sz w:val="22"/>
                <w:szCs w:val="22"/>
                <w:lang w:bidi="ar"/>
              </w:rPr>
              <w:t>小时内</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DD88A"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隐患描述、判定依据、风险等级、整改建议</w:t>
            </w:r>
          </w:p>
        </w:tc>
      </w:tr>
      <w:tr w:rsidR="00F730DE" w14:paraId="582C5B07" w14:textId="77777777">
        <w:trPr>
          <w:trHeight w:val="690"/>
        </w:trPr>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674C"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季度分析报告</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CAB34"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每季度结束后</w:t>
            </w:r>
            <w:r>
              <w:rPr>
                <w:rFonts w:ascii="宋体" w:eastAsia="宋体" w:hAnsi="宋体" w:cs="宋体" w:hint="eastAsia"/>
                <w:snapToGrid w:val="0"/>
                <w:color w:val="000000"/>
                <w:kern w:val="0"/>
                <w:sz w:val="22"/>
                <w:szCs w:val="22"/>
                <w:lang w:bidi="ar"/>
              </w:rPr>
              <w:t>10</w:t>
            </w:r>
            <w:r>
              <w:rPr>
                <w:rFonts w:ascii="宋体" w:eastAsia="宋体" w:hAnsi="宋体" w:cs="宋体" w:hint="eastAsia"/>
                <w:snapToGrid w:val="0"/>
                <w:color w:val="000000"/>
                <w:kern w:val="0"/>
                <w:sz w:val="22"/>
                <w:szCs w:val="22"/>
                <w:lang w:bidi="ar"/>
              </w:rPr>
              <w:t>日内</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FA4CB"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隐患分布规律、整改率、重大隐患清零情况</w:t>
            </w:r>
          </w:p>
        </w:tc>
      </w:tr>
      <w:tr w:rsidR="00F730DE" w14:paraId="4EBC596D" w14:textId="77777777">
        <w:trPr>
          <w:trHeight w:val="690"/>
        </w:trPr>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3F334"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年度总报告</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9876F"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服务期结束后</w:t>
            </w:r>
            <w:r>
              <w:rPr>
                <w:rFonts w:ascii="宋体" w:eastAsia="宋体" w:hAnsi="宋体" w:cs="宋体" w:hint="eastAsia"/>
                <w:snapToGrid w:val="0"/>
                <w:color w:val="000000"/>
                <w:kern w:val="0"/>
                <w:sz w:val="22"/>
                <w:szCs w:val="22"/>
                <w:lang w:bidi="ar"/>
              </w:rPr>
              <w:t>15</w:t>
            </w:r>
            <w:r>
              <w:rPr>
                <w:rFonts w:ascii="宋体" w:eastAsia="宋体" w:hAnsi="宋体" w:cs="宋体" w:hint="eastAsia"/>
                <w:snapToGrid w:val="0"/>
                <w:color w:val="000000"/>
                <w:kern w:val="0"/>
                <w:sz w:val="22"/>
                <w:szCs w:val="22"/>
                <w:lang w:bidi="ar"/>
              </w:rPr>
              <w:t>日内</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839E5"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共性问题分析、长效机制建议、年度安全评估</w:t>
            </w:r>
          </w:p>
        </w:tc>
      </w:tr>
      <w:tr w:rsidR="00F730DE" w14:paraId="5395780B" w14:textId="77777777">
        <w:trPr>
          <w:trHeight w:val="701"/>
        </w:trPr>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36B00"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一校一档</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F6E5C"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lang w:eastAsia="en-US"/>
              </w:rPr>
            </w:pPr>
            <w:r>
              <w:rPr>
                <w:rFonts w:ascii="宋体" w:eastAsia="宋体" w:hAnsi="宋体" w:cs="宋体" w:hint="eastAsia"/>
                <w:snapToGrid w:val="0"/>
                <w:color w:val="000000"/>
                <w:kern w:val="0"/>
                <w:sz w:val="22"/>
                <w:szCs w:val="22"/>
                <w:lang w:bidi="ar"/>
              </w:rPr>
              <w:t xml:space="preserve"> </w:t>
            </w:r>
            <w:r>
              <w:rPr>
                <w:rFonts w:ascii="宋体" w:eastAsia="宋体" w:hAnsi="宋体" w:cs="宋体" w:hint="eastAsia"/>
                <w:snapToGrid w:val="0"/>
                <w:color w:val="000000"/>
                <w:kern w:val="0"/>
                <w:sz w:val="22"/>
                <w:szCs w:val="22"/>
                <w:lang w:bidi="ar"/>
              </w:rPr>
              <w:t>服务期结束后</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21AD5" w14:textId="77777777" w:rsidR="00F730DE" w:rsidRDefault="008E3A84">
            <w:pPr>
              <w:widowControl/>
              <w:kinsoku w:val="0"/>
              <w:autoSpaceDE w:val="0"/>
              <w:autoSpaceDN w:val="0"/>
              <w:adjustRightInd w:val="0"/>
              <w:snapToGrid w:val="0"/>
              <w:jc w:val="center"/>
              <w:textAlignment w:val="center"/>
              <w:rPr>
                <w:rFonts w:ascii="宋体" w:eastAsia="宋体" w:hAnsi="宋体" w:cs="宋体"/>
                <w:snapToGrid w:val="0"/>
                <w:color w:val="000000"/>
                <w:kern w:val="0"/>
                <w:sz w:val="22"/>
                <w:szCs w:val="22"/>
              </w:rPr>
            </w:pPr>
            <w:r>
              <w:rPr>
                <w:rFonts w:ascii="宋体" w:eastAsia="宋体" w:hAnsi="宋体" w:cs="宋体" w:hint="eastAsia"/>
                <w:snapToGrid w:val="0"/>
                <w:color w:val="000000"/>
                <w:kern w:val="0"/>
                <w:sz w:val="22"/>
                <w:szCs w:val="22"/>
                <w:lang w:bidi="ar"/>
              </w:rPr>
              <w:t>各校重大隐患专项档案、风险分布图</w:t>
            </w:r>
          </w:p>
        </w:tc>
      </w:tr>
    </w:tbl>
    <w:p w14:paraId="36253501" w14:textId="77777777" w:rsidR="00F730DE" w:rsidRDefault="00F730DE">
      <w:pPr>
        <w:widowControl/>
        <w:kinsoku w:val="0"/>
        <w:wordWrap w:val="0"/>
        <w:autoSpaceDE w:val="0"/>
        <w:autoSpaceDN w:val="0"/>
        <w:adjustRightInd w:val="0"/>
        <w:snapToGrid w:val="0"/>
        <w:spacing w:line="460" w:lineRule="exact"/>
        <w:textAlignment w:val="baseline"/>
        <w:rPr>
          <w:rFonts w:ascii="宋体" w:eastAsia="宋体" w:hAnsi="宋体" w:cs="宋体"/>
          <w:snapToGrid w:val="0"/>
          <w:color w:val="000000"/>
          <w:kern w:val="0"/>
          <w:sz w:val="28"/>
          <w:szCs w:val="28"/>
        </w:rPr>
      </w:pPr>
    </w:p>
    <w:p w14:paraId="31509346"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五、服务保障</w:t>
      </w:r>
    </w:p>
    <w:p w14:paraId="62E0CF06"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专家团队保障</w:t>
      </w:r>
    </w:p>
    <w:p w14:paraId="29CFC6D3"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组建不少于</w:t>
      </w: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人的专家工作组，成员涵盖消防工程、建筑结构、电气安全、食品安全等专业领域，持有注册安全工程师、消防工程师、安全评价师等资格证书。</w:t>
      </w:r>
    </w:p>
    <w:p w14:paraId="1699666E"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2.</w:t>
      </w:r>
      <w:r>
        <w:rPr>
          <w:rFonts w:ascii="宋体" w:eastAsia="宋体" w:hAnsi="宋体" w:cs="宋体" w:hint="eastAsia"/>
          <w:snapToGrid w:val="0"/>
          <w:color w:val="000000"/>
          <w:kern w:val="0"/>
          <w:sz w:val="28"/>
          <w:szCs w:val="28"/>
        </w:rPr>
        <w:t>应急响应保障</w:t>
      </w:r>
    </w:p>
    <w:p w14:paraId="2D8228E1"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承诺在接到紧急安全隐患报告时，</w:t>
      </w:r>
      <w:r>
        <w:rPr>
          <w:rFonts w:ascii="宋体" w:eastAsia="宋体" w:hAnsi="宋体" w:cs="宋体" w:hint="eastAsia"/>
          <w:snapToGrid w:val="0"/>
          <w:color w:val="000000"/>
          <w:kern w:val="0"/>
          <w:sz w:val="28"/>
          <w:szCs w:val="28"/>
        </w:rPr>
        <w:t>1</w:t>
      </w:r>
      <w:r>
        <w:rPr>
          <w:rFonts w:ascii="宋体" w:eastAsia="宋体" w:hAnsi="宋体" w:cs="宋体" w:hint="eastAsia"/>
          <w:snapToGrid w:val="0"/>
          <w:color w:val="000000"/>
          <w:kern w:val="0"/>
          <w:sz w:val="28"/>
          <w:szCs w:val="28"/>
        </w:rPr>
        <w:t>小时内响应，</w:t>
      </w:r>
      <w:r>
        <w:rPr>
          <w:rFonts w:ascii="宋体" w:eastAsia="宋体" w:hAnsi="宋体" w:cs="宋体" w:hint="eastAsia"/>
          <w:snapToGrid w:val="0"/>
          <w:color w:val="000000"/>
          <w:kern w:val="0"/>
          <w:sz w:val="28"/>
          <w:szCs w:val="28"/>
        </w:rPr>
        <w:t>4</w:t>
      </w:r>
      <w:r>
        <w:rPr>
          <w:rFonts w:ascii="宋体" w:eastAsia="宋体" w:hAnsi="宋体" w:cs="宋体" w:hint="eastAsia"/>
          <w:snapToGrid w:val="0"/>
          <w:color w:val="000000"/>
          <w:kern w:val="0"/>
          <w:sz w:val="28"/>
          <w:szCs w:val="28"/>
        </w:rPr>
        <w:t>小时内抵达现场提供技术支援。</w:t>
      </w:r>
    </w:p>
    <w:p w14:paraId="258F125D"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3.</w:t>
      </w:r>
      <w:r>
        <w:rPr>
          <w:rFonts w:ascii="宋体" w:eastAsia="宋体" w:hAnsi="宋体" w:cs="宋体" w:hint="eastAsia"/>
          <w:snapToGrid w:val="0"/>
          <w:color w:val="000000"/>
          <w:kern w:val="0"/>
          <w:sz w:val="28"/>
          <w:szCs w:val="28"/>
        </w:rPr>
        <w:t>独立性保障</w:t>
      </w:r>
    </w:p>
    <w:p w14:paraId="74F52095" w14:textId="77777777" w:rsidR="00F730DE" w:rsidRDefault="008E3A84">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rPr>
        <w:t>供应商不得同时为被评估学校提供隐患整改施工服务，确保评估工作的独立性、客观性、公正性。</w:t>
      </w:r>
    </w:p>
    <w:p w14:paraId="20CE04AE" w14:textId="77777777" w:rsidR="00F730DE" w:rsidRDefault="00F730DE">
      <w:pPr>
        <w:widowControl/>
        <w:kinsoku w:val="0"/>
        <w:wordWrap w:val="0"/>
        <w:autoSpaceDE w:val="0"/>
        <w:autoSpaceDN w:val="0"/>
        <w:adjustRightInd w:val="0"/>
        <w:snapToGrid w:val="0"/>
        <w:spacing w:line="460" w:lineRule="exact"/>
        <w:ind w:firstLineChars="300" w:firstLine="840"/>
        <w:textAlignment w:val="baseline"/>
        <w:rPr>
          <w:rFonts w:ascii="宋体" w:eastAsia="宋体" w:hAnsi="宋体" w:cs="宋体"/>
          <w:snapToGrid w:val="0"/>
          <w:color w:val="000000"/>
          <w:kern w:val="0"/>
          <w:sz w:val="28"/>
          <w:szCs w:val="28"/>
        </w:rPr>
        <w:sectPr w:rsidR="00F730DE">
          <w:pgSz w:w="11905" w:h="16839"/>
          <w:pgMar w:top="1131" w:right="1168" w:bottom="1206" w:left="1667" w:header="0" w:footer="928" w:gutter="0"/>
          <w:cols w:space="720"/>
        </w:sectPr>
      </w:pPr>
    </w:p>
    <w:p w14:paraId="1DDA6DDE" w14:textId="77777777" w:rsidR="00F730DE" w:rsidRDefault="008E3A84">
      <w:pPr>
        <w:widowControl/>
        <w:kinsoku w:val="0"/>
        <w:autoSpaceDE w:val="0"/>
        <w:autoSpaceDN w:val="0"/>
        <w:adjustRightInd w:val="0"/>
        <w:snapToGrid w:val="0"/>
        <w:spacing w:line="440" w:lineRule="exact"/>
        <w:jc w:val="left"/>
        <w:textAlignment w:val="baseline"/>
        <w:outlineLvl w:val="1"/>
        <w:rPr>
          <w:rFonts w:ascii="宋体" w:eastAsia="宋体" w:hAnsi="宋体" w:cs="宋体"/>
          <w:b/>
          <w:bCs/>
          <w:snapToGrid w:val="0"/>
          <w:color w:val="000000"/>
          <w:spacing w:val="-5"/>
          <w:kern w:val="0"/>
          <w:sz w:val="28"/>
          <w:szCs w:val="28"/>
        </w:rPr>
      </w:pPr>
      <w:r>
        <w:rPr>
          <w:rFonts w:ascii="宋体" w:eastAsia="宋体" w:hAnsi="宋体" w:cs="宋体" w:hint="eastAsia"/>
          <w:b/>
          <w:bCs/>
          <w:snapToGrid w:val="0"/>
          <w:color w:val="000000"/>
          <w:spacing w:val="-5"/>
          <w:kern w:val="0"/>
          <w:sz w:val="28"/>
          <w:szCs w:val="28"/>
        </w:rPr>
        <w:lastRenderedPageBreak/>
        <w:t>（二）</w:t>
      </w:r>
      <w:r>
        <w:rPr>
          <w:rFonts w:ascii="宋体" w:eastAsia="宋体" w:hAnsi="宋体" w:cs="宋体" w:hint="eastAsia"/>
          <w:b/>
          <w:bCs/>
          <w:snapToGrid w:val="0"/>
          <w:color w:val="000000"/>
          <w:spacing w:val="-5"/>
          <w:kern w:val="0"/>
          <w:sz w:val="28"/>
          <w:szCs w:val="28"/>
        </w:rPr>
        <w:t>采购项目技术规格、参数或服务要求</w:t>
      </w:r>
    </w:p>
    <w:p w14:paraId="014F1B94" w14:textId="77777777" w:rsidR="00F730DE" w:rsidRDefault="008E3A84">
      <w:pPr>
        <w:widowControl/>
        <w:kinsoku w:val="0"/>
        <w:autoSpaceDE w:val="0"/>
        <w:autoSpaceDN w:val="0"/>
        <w:jc w:val="center"/>
        <w:textAlignment w:val="baseline"/>
        <w:rPr>
          <w:rFonts w:ascii="方正小标宋简体" w:eastAsia="方正小标宋简体" w:hAnsi="方正小标宋简体" w:cs="方正小标宋简体"/>
          <w:color w:val="000000"/>
          <w:spacing w:val="-8"/>
          <w:sz w:val="40"/>
          <w:szCs w:val="40"/>
        </w:rPr>
      </w:pPr>
      <w:r>
        <w:rPr>
          <w:rFonts w:ascii="方正小标宋简体" w:eastAsia="方正小标宋简体" w:hAnsi="方正小标宋简体" w:cs="方正小标宋简体" w:hint="eastAsia"/>
          <w:color w:val="000000"/>
          <w:spacing w:val="-8"/>
          <w:sz w:val="32"/>
          <w:szCs w:val="32"/>
        </w:rPr>
        <w:t>东西湖区</w:t>
      </w:r>
      <w:r>
        <w:rPr>
          <w:rFonts w:ascii="方正小标宋简体" w:eastAsia="方正小标宋简体" w:hAnsi="方正小标宋简体" w:cs="方正小标宋简体" w:hint="eastAsia"/>
          <w:color w:val="000000"/>
          <w:spacing w:val="-8"/>
          <w:sz w:val="32"/>
          <w:szCs w:val="32"/>
        </w:rPr>
        <w:t>教育领域重大事故隐患重点检查事项清单</w:t>
      </w:r>
    </w:p>
    <w:p w14:paraId="66D8B4E8"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一、消防管理重大事故隐患</w:t>
      </w:r>
    </w:p>
    <w:p w14:paraId="65DC87EF" w14:textId="77777777" w:rsidR="00F730DE" w:rsidRDefault="008E3A84">
      <w:pPr>
        <w:widowControl/>
        <w:kinsoku w:val="0"/>
        <w:autoSpaceDE w:val="0"/>
        <w:autoSpaceDN w:val="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t>（一）直接判定（存在以下任意一条，应直接判定为重大事故隐患）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2CDE90C5" w14:textId="77777777">
        <w:trPr>
          <w:jc w:val="center"/>
        </w:trPr>
        <w:tc>
          <w:tcPr>
            <w:tcW w:w="459" w:type="dxa"/>
            <w:vAlign w:val="center"/>
          </w:tcPr>
          <w:p w14:paraId="788013EB"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74C5FE6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786E921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19C72BBF"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24CB048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6FFFF014"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7302DD00" w14:textId="77777777">
        <w:trPr>
          <w:jc w:val="center"/>
        </w:trPr>
        <w:tc>
          <w:tcPr>
            <w:tcW w:w="459" w:type="dxa"/>
            <w:vAlign w:val="center"/>
          </w:tcPr>
          <w:p w14:paraId="14B8323C"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6882" w:type="dxa"/>
            <w:vAlign w:val="center"/>
          </w:tcPr>
          <w:p w14:paraId="0A2F2537"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1</w:t>
            </w:r>
            <w:r>
              <w:rPr>
                <w:rFonts w:ascii="宋体" w:eastAsia="宋体" w:hAnsi="宋体" w:cs="宋体" w:hint="eastAsia"/>
                <w:color w:val="000000"/>
                <w:spacing w:val="2"/>
                <w:sz w:val="18"/>
                <w:szCs w:val="18"/>
              </w:rPr>
              <w:t>款：未建立健全消防</w:t>
            </w:r>
            <w:r>
              <w:rPr>
                <w:rFonts w:ascii="宋体" w:eastAsia="宋体" w:hAnsi="宋体" w:cs="宋体" w:hint="eastAsia"/>
                <w:color w:val="000000"/>
                <w:spacing w:val="-2"/>
                <w:sz w:val="18"/>
                <w:szCs w:val="18"/>
              </w:rPr>
              <w:t>安全工作责任体系，落实各级各岗位</w:t>
            </w:r>
            <w:r>
              <w:rPr>
                <w:rFonts w:ascii="宋体" w:eastAsia="宋体" w:hAnsi="宋体" w:cs="宋体" w:hint="eastAsia"/>
                <w:color w:val="000000"/>
                <w:sz w:val="18"/>
                <w:szCs w:val="18"/>
              </w:rPr>
              <w:t>人员消防安全责任的。</w:t>
            </w:r>
          </w:p>
        </w:tc>
        <w:tc>
          <w:tcPr>
            <w:tcW w:w="1437" w:type="dxa"/>
            <w:vAlign w:val="center"/>
          </w:tcPr>
          <w:p w14:paraId="388E9FFF"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2"/>
                <w:sz w:val="18"/>
                <w:szCs w:val="18"/>
              </w:rPr>
              <w:t>查阅</w:t>
            </w:r>
            <w:r>
              <w:rPr>
                <w:rFonts w:ascii="宋体" w:eastAsia="宋体" w:hAnsi="宋体" w:cs="宋体" w:hint="eastAsia"/>
                <w:color w:val="000000"/>
                <w:spacing w:val="2"/>
                <w:sz w:val="18"/>
                <w:szCs w:val="18"/>
              </w:rPr>
              <w:t>学校安全工作</w:t>
            </w:r>
            <w:r>
              <w:rPr>
                <w:rFonts w:ascii="宋体" w:eastAsia="宋体" w:hAnsi="宋体" w:cs="宋体" w:hint="eastAsia"/>
                <w:color w:val="000000"/>
                <w:spacing w:val="2"/>
                <w:sz w:val="18"/>
                <w:szCs w:val="18"/>
              </w:rPr>
              <w:t>台账</w:t>
            </w:r>
          </w:p>
        </w:tc>
        <w:tc>
          <w:tcPr>
            <w:tcW w:w="1013" w:type="dxa"/>
            <w:vAlign w:val="center"/>
          </w:tcPr>
          <w:p w14:paraId="1C0FC6D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244825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BE8C59E"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5E7D1CC8"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165D5A47" w14:textId="77777777">
        <w:trPr>
          <w:jc w:val="center"/>
        </w:trPr>
        <w:tc>
          <w:tcPr>
            <w:tcW w:w="459" w:type="dxa"/>
            <w:vAlign w:val="center"/>
          </w:tcPr>
          <w:p w14:paraId="6BAE0587"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2</w:t>
            </w:r>
          </w:p>
        </w:tc>
        <w:tc>
          <w:tcPr>
            <w:tcW w:w="6882" w:type="dxa"/>
            <w:vAlign w:val="center"/>
          </w:tcPr>
          <w:p w14:paraId="6CF84E3D"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2</w:t>
            </w:r>
            <w:r>
              <w:rPr>
                <w:rFonts w:ascii="宋体" w:eastAsia="宋体" w:hAnsi="宋体" w:cs="宋体" w:hint="eastAsia"/>
                <w:color w:val="000000"/>
                <w:spacing w:val="2"/>
                <w:sz w:val="18"/>
                <w:szCs w:val="18"/>
              </w:rPr>
              <w:t>款：</w:t>
            </w:r>
            <w:r>
              <w:rPr>
                <w:rFonts w:ascii="宋体" w:eastAsia="宋体" w:hAnsi="宋体" w:cs="宋体" w:hint="eastAsia"/>
                <w:color w:val="000000"/>
                <w:spacing w:val="2"/>
                <w:sz w:val="18"/>
                <w:szCs w:val="18"/>
              </w:rPr>
              <w:t>学生宿舍、幼儿园儿童用房设置在地下室或半地下室，幼儿园儿童用房设置在四层及以上的。</w:t>
            </w:r>
          </w:p>
        </w:tc>
        <w:tc>
          <w:tcPr>
            <w:tcW w:w="1437" w:type="dxa"/>
            <w:vAlign w:val="center"/>
          </w:tcPr>
          <w:p w14:paraId="291732A9"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27C8F36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708B35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A6E2348"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011D6A43"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152931A3" w14:textId="77777777">
        <w:trPr>
          <w:jc w:val="center"/>
        </w:trPr>
        <w:tc>
          <w:tcPr>
            <w:tcW w:w="459" w:type="dxa"/>
            <w:vAlign w:val="center"/>
          </w:tcPr>
          <w:p w14:paraId="0184FC7B"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3</w:t>
            </w:r>
          </w:p>
        </w:tc>
        <w:tc>
          <w:tcPr>
            <w:tcW w:w="6882" w:type="dxa"/>
            <w:vAlign w:val="center"/>
          </w:tcPr>
          <w:p w14:paraId="288D0623"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3</w:t>
            </w:r>
            <w:r>
              <w:rPr>
                <w:rFonts w:ascii="宋体" w:eastAsia="宋体" w:hAnsi="宋体" w:cs="宋体" w:hint="eastAsia"/>
                <w:color w:val="000000"/>
                <w:spacing w:val="2"/>
                <w:sz w:val="18"/>
                <w:szCs w:val="18"/>
              </w:rPr>
              <w:t>款：在教学楼、图书馆、食堂和集体宿舍等人员密集场所违规使用、储存易燃易爆危险品的，或采用彩钢夹芯板搭建，</w:t>
            </w:r>
            <w:proofErr w:type="gramStart"/>
            <w:r>
              <w:rPr>
                <w:rFonts w:ascii="宋体" w:eastAsia="宋体" w:hAnsi="宋体" w:cs="宋体" w:hint="eastAsia"/>
                <w:color w:val="000000"/>
                <w:spacing w:val="2"/>
                <w:sz w:val="18"/>
                <w:szCs w:val="18"/>
              </w:rPr>
              <w:t>且彩钢</w:t>
            </w:r>
            <w:proofErr w:type="gramEnd"/>
            <w:r>
              <w:rPr>
                <w:rFonts w:ascii="宋体" w:eastAsia="宋体" w:hAnsi="宋体" w:cs="宋体" w:hint="eastAsia"/>
                <w:color w:val="000000"/>
                <w:spacing w:val="2"/>
                <w:sz w:val="18"/>
                <w:szCs w:val="18"/>
              </w:rPr>
              <w:t>夹芯板芯材的燃烧性能等级低于</w:t>
            </w:r>
            <w:r>
              <w:rPr>
                <w:rFonts w:ascii="宋体" w:eastAsia="宋体" w:hAnsi="宋体" w:cs="宋体" w:hint="eastAsia"/>
                <w:color w:val="000000"/>
                <w:spacing w:val="2"/>
                <w:sz w:val="18"/>
                <w:szCs w:val="18"/>
              </w:rPr>
              <w:t>A</w:t>
            </w:r>
            <w:r>
              <w:rPr>
                <w:rFonts w:ascii="宋体" w:eastAsia="宋体" w:hAnsi="宋体" w:cs="宋体" w:hint="eastAsia"/>
                <w:color w:val="000000"/>
                <w:spacing w:val="2"/>
                <w:sz w:val="18"/>
                <w:szCs w:val="18"/>
              </w:rPr>
              <w:t>级</w:t>
            </w:r>
            <w:r>
              <w:rPr>
                <w:rFonts w:ascii="宋体" w:eastAsia="宋体" w:hAnsi="宋体" w:cs="宋体" w:hint="eastAsia"/>
                <w:color w:val="000000"/>
                <w:spacing w:val="2"/>
                <w:sz w:val="18"/>
                <w:szCs w:val="18"/>
              </w:rPr>
              <w:t>(GB8624)</w:t>
            </w:r>
            <w:r>
              <w:rPr>
                <w:rFonts w:ascii="宋体" w:eastAsia="宋体" w:hAnsi="宋体" w:cs="宋体" w:hint="eastAsia"/>
                <w:color w:val="000000"/>
                <w:spacing w:val="2"/>
                <w:sz w:val="18"/>
                <w:szCs w:val="18"/>
              </w:rPr>
              <w:t>的。</w:t>
            </w:r>
          </w:p>
        </w:tc>
        <w:tc>
          <w:tcPr>
            <w:tcW w:w="1437" w:type="dxa"/>
            <w:vAlign w:val="center"/>
          </w:tcPr>
          <w:p w14:paraId="3956A0DF"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36D9803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F2DD3A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A4FF19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1564FD98"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0611344A" w14:textId="77777777">
        <w:trPr>
          <w:jc w:val="center"/>
        </w:trPr>
        <w:tc>
          <w:tcPr>
            <w:tcW w:w="459" w:type="dxa"/>
            <w:vAlign w:val="center"/>
          </w:tcPr>
          <w:p w14:paraId="43464260"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4</w:t>
            </w:r>
          </w:p>
        </w:tc>
        <w:tc>
          <w:tcPr>
            <w:tcW w:w="6882" w:type="dxa"/>
            <w:vAlign w:val="center"/>
          </w:tcPr>
          <w:p w14:paraId="3B9CB459"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spacing w:val="-2"/>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2"/>
                <w:sz w:val="18"/>
                <w:szCs w:val="18"/>
              </w:rPr>
              <w:t xml:space="preserve"> </w:t>
            </w:r>
            <w:r>
              <w:rPr>
                <w:rFonts w:ascii="宋体" w:eastAsia="宋体" w:hAnsi="宋体" w:cs="宋体" w:hint="eastAsia"/>
                <w:color w:val="000000"/>
                <w:spacing w:val="-2"/>
                <w:sz w:val="18"/>
                <w:szCs w:val="18"/>
              </w:rPr>
              <w:t>第三条第一项，第</w:t>
            </w:r>
            <w:r>
              <w:rPr>
                <w:rFonts w:ascii="宋体" w:eastAsia="宋体" w:hAnsi="宋体" w:cs="宋体" w:hint="eastAsia"/>
                <w:color w:val="000000"/>
                <w:spacing w:val="-2"/>
                <w:sz w:val="18"/>
                <w:szCs w:val="18"/>
              </w:rPr>
              <w:t>4</w:t>
            </w:r>
            <w:r>
              <w:rPr>
                <w:rFonts w:ascii="宋体" w:eastAsia="宋体" w:hAnsi="宋体" w:cs="宋体" w:hint="eastAsia"/>
                <w:color w:val="000000"/>
                <w:spacing w:val="-2"/>
                <w:sz w:val="18"/>
                <w:szCs w:val="18"/>
              </w:rPr>
              <w:t>款：未按国家工程建设消防技术标准设置火灾自动报警系统、自动灭火系统、消火栓及防烟排烟系统等，或已设置但不符合标准或不能正常使用的；学生宿舍或</w:t>
            </w:r>
            <w:proofErr w:type="gramStart"/>
            <w:r>
              <w:rPr>
                <w:rFonts w:ascii="宋体" w:eastAsia="宋体" w:hAnsi="宋体" w:cs="宋体" w:hint="eastAsia"/>
                <w:color w:val="000000"/>
                <w:spacing w:val="-2"/>
                <w:sz w:val="18"/>
                <w:szCs w:val="18"/>
              </w:rPr>
              <w:t>午休室未安装</w:t>
            </w:r>
            <w:proofErr w:type="gramEnd"/>
            <w:r>
              <w:rPr>
                <w:rFonts w:ascii="宋体" w:eastAsia="宋体" w:hAnsi="宋体" w:cs="宋体" w:hint="eastAsia"/>
                <w:color w:val="000000"/>
                <w:spacing w:val="-2"/>
                <w:sz w:val="18"/>
                <w:szCs w:val="18"/>
              </w:rPr>
              <w:t>火灾自动报警系统或者具有联网功能的独立式火灾探测报警器的。</w:t>
            </w:r>
          </w:p>
        </w:tc>
        <w:tc>
          <w:tcPr>
            <w:tcW w:w="1437" w:type="dxa"/>
            <w:vAlign w:val="center"/>
          </w:tcPr>
          <w:p w14:paraId="06BFE4A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649DB304"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5F40ED4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F224E59"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758B1DE"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pacing w:val="-2"/>
                <w:sz w:val="18"/>
                <w:szCs w:val="18"/>
              </w:rPr>
            </w:pPr>
          </w:p>
        </w:tc>
      </w:tr>
      <w:tr w:rsidR="00F730DE" w14:paraId="0DEFF21F" w14:textId="77777777">
        <w:trPr>
          <w:jc w:val="center"/>
        </w:trPr>
        <w:tc>
          <w:tcPr>
            <w:tcW w:w="459" w:type="dxa"/>
            <w:vAlign w:val="center"/>
          </w:tcPr>
          <w:p w14:paraId="3E72909E"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w:t>
            </w:r>
          </w:p>
        </w:tc>
        <w:tc>
          <w:tcPr>
            <w:tcW w:w="6882" w:type="dxa"/>
            <w:vAlign w:val="center"/>
          </w:tcPr>
          <w:p w14:paraId="59324FC5"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5</w:t>
            </w:r>
            <w:r>
              <w:rPr>
                <w:rFonts w:ascii="宋体" w:eastAsia="宋体" w:hAnsi="宋体" w:cs="宋体" w:hint="eastAsia"/>
                <w:color w:val="000000"/>
                <w:spacing w:val="2"/>
                <w:sz w:val="18"/>
                <w:szCs w:val="18"/>
              </w:rPr>
              <w:t>款：</w:t>
            </w:r>
            <w:r>
              <w:rPr>
                <w:rFonts w:ascii="Times New Roman" w:eastAsia="宋体" w:hAnsi="Times New Roman" w:cs="Times New Roman" w:hint="eastAsia"/>
                <w:color w:val="000000"/>
                <w:sz w:val="18"/>
                <w:szCs w:val="18"/>
              </w:rPr>
              <w:t>校内施工实施电焊、气焊、切割、使用喷灯等明火作业未办理动火审批手续，未落实现场安全监管的。</w:t>
            </w:r>
          </w:p>
        </w:tc>
        <w:tc>
          <w:tcPr>
            <w:tcW w:w="1437" w:type="dxa"/>
            <w:vAlign w:val="center"/>
          </w:tcPr>
          <w:p w14:paraId="10408E2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7E4758B5"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DFAF58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6577F58"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2911953"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4BB03D7B" w14:textId="77777777">
        <w:trPr>
          <w:jc w:val="center"/>
        </w:trPr>
        <w:tc>
          <w:tcPr>
            <w:tcW w:w="459" w:type="dxa"/>
            <w:vAlign w:val="center"/>
          </w:tcPr>
          <w:p w14:paraId="1BB058C9"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w:t>
            </w:r>
          </w:p>
        </w:tc>
        <w:tc>
          <w:tcPr>
            <w:tcW w:w="6882" w:type="dxa"/>
            <w:vAlign w:val="center"/>
          </w:tcPr>
          <w:p w14:paraId="04BA88F1"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6</w:t>
            </w:r>
            <w:r>
              <w:rPr>
                <w:rFonts w:ascii="宋体" w:eastAsia="宋体" w:hAnsi="宋体" w:cs="宋体" w:hint="eastAsia"/>
                <w:color w:val="000000"/>
                <w:spacing w:val="2"/>
                <w:sz w:val="18"/>
                <w:szCs w:val="18"/>
              </w:rPr>
              <w:t>款，电动自行车</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含电池</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入楼或私拉乱接电线、飞线充电的。</w:t>
            </w:r>
          </w:p>
        </w:tc>
        <w:tc>
          <w:tcPr>
            <w:tcW w:w="1437" w:type="dxa"/>
            <w:vAlign w:val="center"/>
          </w:tcPr>
          <w:p w14:paraId="44B4F964"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1DBC0AC4"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5402B3F"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D969794"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8F3B842"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56AB2C5A" w14:textId="77777777">
        <w:trPr>
          <w:jc w:val="center"/>
        </w:trPr>
        <w:tc>
          <w:tcPr>
            <w:tcW w:w="459" w:type="dxa"/>
            <w:vAlign w:val="center"/>
          </w:tcPr>
          <w:p w14:paraId="3C54599D"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7</w:t>
            </w:r>
          </w:p>
        </w:tc>
        <w:tc>
          <w:tcPr>
            <w:tcW w:w="6882" w:type="dxa"/>
            <w:vAlign w:val="center"/>
          </w:tcPr>
          <w:p w14:paraId="2C2652B0"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7</w:t>
            </w:r>
            <w:r>
              <w:rPr>
                <w:rFonts w:ascii="宋体" w:eastAsia="宋体" w:hAnsi="宋体" w:cs="宋体" w:hint="eastAsia"/>
                <w:color w:val="000000"/>
                <w:spacing w:val="2"/>
                <w:sz w:val="18"/>
                <w:szCs w:val="18"/>
              </w:rPr>
              <w:t>款：校园内的教室、宿舍、图书馆、食堂等各类房屋建筑，在施工前未依法取得消防设计审查合格意见的，或在投入使用前未取得消防验收</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备案</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合格意见的。校园内的宾馆、饭店、商场</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含超市</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等公众聚集场所，未经消防救援机构许可擅自投入使用、营业的。</w:t>
            </w:r>
          </w:p>
        </w:tc>
        <w:tc>
          <w:tcPr>
            <w:tcW w:w="1437" w:type="dxa"/>
            <w:vAlign w:val="center"/>
          </w:tcPr>
          <w:p w14:paraId="7A77E5CA"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查阅建筑相关文件</w:t>
            </w:r>
          </w:p>
        </w:tc>
        <w:tc>
          <w:tcPr>
            <w:tcW w:w="1013" w:type="dxa"/>
            <w:vAlign w:val="center"/>
          </w:tcPr>
          <w:p w14:paraId="45C54632"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CDA842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5260F2C"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1E43507"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38BD0195" w14:textId="77777777">
        <w:trPr>
          <w:jc w:val="center"/>
        </w:trPr>
        <w:tc>
          <w:tcPr>
            <w:tcW w:w="459" w:type="dxa"/>
            <w:vAlign w:val="center"/>
          </w:tcPr>
          <w:p w14:paraId="45E4911E"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8</w:t>
            </w:r>
          </w:p>
        </w:tc>
        <w:tc>
          <w:tcPr>
            <w:tcW w:w="6882" w:type="dxa"/>
            <w:vAlign w:val="center"/>
          </w:tcPr>
          <w:p w14:paraId="384BE712"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8</w:t>
            </w:r>
            <w:r>
              <w:rPr>
                <w:rFonts w:ascii="宋体" w:eastAsia="宋体" w:hAnsi="宋体" w:cs="宋体" w:hint="eastAsia"/>
                <w:color w:val="000000"/>
                <w:spacing w:val="2"/>
                <w:sz w:val="18"/>
                <w:szCs w:val="18"/>
              </w:rPr>
              <w:t>款：校园内人员密集场所未按规定设置独立的安全出口、安全出口数量不足或其总净宽度小于国家工程建设消防技术标准规定值的</w:t>
            </w:r>
            <w:r>
              <w:rPr>
                <w:rFonts w:ascii="宋体" w:eastAsia="宋体" w:hAnsi="宋体" w:cs="宋体" w:hint="eastAsia"/>
                <w:color w:val="000000"/>
                <w:spacing w:val="2"/>
                <w:sz w:val="18"/>
                <w:szCs w:val="18"/>
              </w:rPr>
              <w:t>80%</w:t>
            </w:r>
            <w:r>
              <w:rPr>
                <w:rFonts w:ascii="宋体" w:eastAsia="宋体" w:hAnsi="宋体" w:cs="宋体" w:hint="eastAsia"/>
                <w:color w:val="000000"/>
                <w:spacing w:val="2"/>
                <w:sz w:val="18"/>
                <w:szCs w:val="18"/>
              </w:rPr>
              <w:t>。</w:t>
            </w:r>
          </w:p>
        </w:tc>
        <w:tc>
          <w:tcPr>
            <w:tcW w:w="1437" w:type="dxa"/>
            <w:vAlign w:val="center"/>
          </w:tcPr>
          <w:p w14:paraId="16E60D47"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0E46ED4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9C2E86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0BC884D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412BA28"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424EB5A3" w14:textId="77777777">
        <w:trPr>
          <w:jc w:val="center"/>
        </w:trPr>
        <w:tc>
          <w:tcPr>
            <w:tcW w:w="459" w:type="dxa"/>
            <w:vAlign w:val="center"/>
          </w:tcPr>
          <w:p w14:paraId="6B5DC910"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9</w:t>
            </w:r>
          </w:p>
        </w:tc>
        <w:tc>
          <w:tcPr>
            <w:tcW w:w="6882" w:type="dxa"/>
            <w:vAlign w:val="center"/>
          </w:tcPr>
          <w:p w14:paraId="2EB5AFC1"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9</w:t>
            </w:r>
            <w:r>
              <w:rPr>
                <w:rFonts w:ascii="宋体" w:eastAsia="宋体" w:hAnsi="宋体" w:cs="宋体" w:hint="eastAsia"/>
                <w:color w:val="000000"/>
                <w:spacing w:val="2"/>
                <w:sz w:val="18"/>
                <w:szCs w:val="18"/>
              </w:rPr>
              <w:t>款：校园内人员密集场所的门窗设置影响逃生和灭火救援的障碍物的</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包括但不限于外窗被铁栅栏、铁丝网等封堵或被广告</w:t>
            </w:r>
            <w:r>
              <w:rPr>
                <w:rFonts w:ascii="宋体" w:eastAsia="宋体" w:hAnsi="宋体" w:cs="宋体" w:hint="eastAsia"/>
                <w:color w:val="000000"/>
                <w:spacing w:val="2"/>
                <w:sz w:val="18"/>
                <w:szCs w:val="18"/>
              </w:rPr>
              <w:t>牌等遮挡等情形）。</w:t>
            </w:r>
          </w:p>
        </w:tc>
        <w:tc>
          <w:tcPr>
            <w:tcW w:w="1437" w:type="dxa"/>
            <w:vAlign w:val="center"/>
          </w:tcPr>
          <w:p w14:paraId="23730777"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0E87676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510993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283BE4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9AA6F9B"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2F3E56B1" w14:textId="77777777">
        <w:trPr>
          <w:jc w:val="center"/>
        </w:trPr>
        <w:tc>
          <w:tcPr>
            <w:tcW w:w="459" w:type="dxa"/>
            <w:vAlign w:val="center"/>
          </w:tcPr>
          <w:p w14:paraId="7A19AE4C"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10</w:t>
            </w:r>
          </w:p>
        </w:tc>
        <w:tc>
          <w:tcPr>
            <w:tcW w:w="6882" w:type="dxa"/>
            <w:vAlign w:val="center"/>
          </w:tcPr>
          <w:p w14:paraId="580EC19B"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第三条第一项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10</w:t>
            </w:r>
            <w:r>
              <w:rPr>
                <w:rFonts w:ascii="宋体" w:eastAsia="宋体" w:hAnsi="宋体" w:cs="宋体" w:hint="eastAsia"/>
                <w:color w:val="000000"/>
                <w:spacing w:val="2"/>
                <w:sz w:val="18"/>
                <w:szCs w:val="18"/>
              </w:rPr>
              <w:t>款：</w:t>
            </w:r>
            <w:r>
              <w:rPr>
                <w:rFonts w:ascii="宋体" w:eastAsia="宋体" w:hAnsi="宋体" w:cs="宋体" w:hint="eastAsia"/>
                <w:color w:val="000000"/>
                <w:spacing w:val="2"/>
                <w:sz w:val="18"/>
                <w:szCs w:val="18"/>
              </w:rPr>
              <w:t>实验室内违规存放、使用易燃易爆危险品；存放、使用易燃易爆危险品的实验室设置在建筑的地下室或半地下室。</w:t>
            </w:r>
          </w:p>
        </w:tc>
        <w:tc>
          <w:tcPr>
            <w:tcW w:w="1437" w:type="dxa"/>
            <w:vAlign w:val="center"/>
          </w:tcPr>
          <w:p w14:paraId="7162D226"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2768568F"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9C50C6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D41C336"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ED9F718"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bl>
    <w:p w14:paraId="66D4E466" w14:textId="77777777" w:rsidR="00F730DE" w:rsidRDefault="008E3A84" w:rsidP="008E3A84">
      <w:pPr>
        <w:widowControl/>
        <w:kinsoku w:val="0"/>
        <w:autoSpaceDE w:val="0"/>
        <w:autoSpaceDN w:val="0"/>
        <w:spacing w:beforeLines="50" w:before="12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lastRenderedPageBreak/>
        <w:t>（二）综合判定（存在以下任意</w:t>
      </w:r>
      <w:r>
        <w:rPr>
          <w:rFonts w:ascii="楷体" w:eastAsia="楷体" w:hAnsi="楷体" w:cs="楷体" w:hint="eastAsia"/>
          <w:color w:val="000000"/>
          <w:spacing w:val="-8"/>
          <w:sz w:val="24"/>
        </w:rPr>
        <w:t>3</w:t>
      </w:r>
      <w:r>
        <w:rPr>
          <w:rFonts w:ascii="楷体" w:eastAsia="楷体" w:hAnsi="楷体" w:cs="楷体" w:hint="eastAsia"/>
          <w:color w:val="000000"/>
          <w:spacing w:val="-8"/>
          <w:sz w:val="24"/>
        </w:rPr>
        <w:t>条及以上，应综合判定为重大事故隐患）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300F84DC" w14:textId="77777777">
        <w:trPr>
          <w:jc w:val="center"/>
        </w:trPr>
        <w:tc>
          <w:tcPr>
            <w:tcW w:w="459" w:type="dxa"/>
            <w:vAlign w:val="center"/>
          </w:tcPr>
          <w:p w14:paraId="159D966E"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0660164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054BE901"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31A3085B"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检查结果</w:t>
            </w:r>
          </w:p>
        </w:tc>
        <w:tc>
          <w:tcPr>
            <w:tcW w:w="2912" w:type="dxa"/>
            <w:vAlign w:val="center"/>
          </w:tcPr>
          <w:p w14:paraId="4D05DDEA"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6E15AEFB"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51A4998C" w14:textId="77777777">
        <w:trPr>
          <w:jc w:val="center"/>
        </w:trPr>
        <w:tc>
          <w:tcPr>
            <w:tcW w:w="459" w:type="dxa"/>
            <w:vAlign w:val="center"/>
          </w:tcPr>
          <w:p w14:paraId="1EF7703A"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11</w:t>
            </w:r>
          </w:p>
        </w:tc>
        <w:tc>
          <w:tcPr>
            <w:tcW w:w="6882" w:type="dxa"/>
            <w:vAlign w:val="center"/>
          </w:tcPr>
          <w:p w14:paraId="40F31A88"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1</w:t>
            </w:r>
            <w:r>
              <w:rPr>
                <w:rFonts w:ascii="宋体" w:eastAsia="宋体" w:hAnsi="宋体" w:cs="宋体" w:hint="eastAsia"/>
                <w:color w:val="000000"/>
                <w:spacing w:val="2"/>
                <w:sz w:val="18"/>
                <w:szCs w:val="18"/>
              </w:rPr>
              <w:t>款：未按国家工程建设消防技术标准的规定或城市消防规划的要求设置消防车道或消防车道被堵塞、占用的。</w:t>
            </w:r>
          </w:p>
        </w:tc>
        <w:tc>
          <w:tcPr>
            <w:tcW w:w="1437" w:type="dxa"/>
            <w:vAlign w:val="center"/>
          </w:tcPr>
          <w:p w14:paraId="36FF664F"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现场查看</w:t>
            </w:r>
          </w:p>
        </w:tc>
        <w:tc>
          <w:tcPr>
            <w:tcW w:w="1013" w:type="dxa"/>
            <w:vAlign w:val="center"/>
          </w:tcPr>
          <w:p w14:paraId="727AE56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4AE8DA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E5FED0E"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3343EEAD"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6358694D" w14:textId="77777777">
        <w:trPr>
          <w:jc w:val="center"/>
        </w:trPr>
        <w:tc>
          <w:tcPr>
            <w:tcW w:w="459" w:type="dxa"/>
            <w:vAlign w:val="center"/>
          </w:tcPr>
          <w:p w14:paraId="1B4C5E04"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12</w:t>
            </w:r>
          </w:p>
        </w:tc>
        <w:tc>
          <w:tcPr>
            <w:tcW w:w="6882" w:type="dxa"/>
            <w:vAlign w:val="center"/>
          </w:tcPr>
          <w:p w14:paraId="6E53BC96"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2</w:t>
            </w:r>
            <w:r>
              <w:rPr>
                <w:rFonts w:ascii="宋体" w:eastAsia="宋体" w:hAnsi="宋体" w:cs="宋体" w:hint="eastAsia"/>
                <w:color w:val="000000"/>
                <w:spacing w:val="2"/>
                <w:sz w:val="18"/>
                <w:szCs w:val="18"/>
              </w:rPr>
              <w:t>款：建筑之间的既有防火间距被占用或小于国家工程建设消防技术标准的规定值的</w:t>
            </w:r>
            <w:r>
              <w:rPr>
                <w:rFonts w:ascii="宋体" w:eastAsia="宋体" w:hAnsi="宋体" w:cs="宋体" w:hint="eastAsia"/>
                <w:color w:val="000000"/>
                <w:spacing w:val="2"/>
                <w:sz w:val="18"/>
                <w:szCs w:val="18"/>
              </w:rPr>
              <w:t>80%</w:t>
            </w:r>
            <w:r>
              <w:rPr>
                <w:rFonts w:ascii="宋体" w:eastAsia="宋体" w:hAnsi="宋体" w:cs="宋体" w:hint="eastAsia"/>
                <w:color w:val="000000"/>
                <w:spacing w:val="2"/>
                <w:sz w:val="18"/>
                <w:szCs w:val="18"/>
              </w:rPr>
              <w:t>。</w:t>
            </w:r>
          </w:p>
        </w:tc>
        <w:tc>
          <w:tcPr>
            <w:tcW w:w="1437" w:type="dxa"/>
            <w:vAlign w:val="center"/>
          </w:tcPr>
          <w:p w14:paraId="0E7B21B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1618472"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19823F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5EDF282B"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437271BA"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007E9F1F" w14:textId="77777777">
        <w:trPr>
          <w:jc w:val="center"/>
        </w:trPr>
        <w:tc>
          <w:tcPr>
            <w:tcW w:w="459" w:type="dxa"/>
            <w:vAlign w:val="center"/>
          </w:tcPr>
          <w:p w14:paraId="73113363"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13</w:t>
            </w:r>
          </w:p>
        </w:tc>
        <w:tc>
          <w:tcPr>
            <w:tcW w:w="6882" w:type="dxa"/>
            <w:vAlign w:val="center"/>
          </w:tcPr>
          <w:p w14:paraId="5E704F6D"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3</w:t>
            </w:r>
            <w:r>
              <w:rPr>
                <w:rFonts w:ascii="宋体" w:eastAsia="宋体" w:hAnsi="宋体" w:cs="宋体" w:hint="eastAsia"/>
                <w:color w:val="000000"/>
                <w:spacing w:val="2"/>
                <w:sz w:val="18"/>
                <w:szCs w:val="18"/>
              </w:rPr>
              <w:t>款：未按国家工程建设消防技术标准的规定设置除火灾自动报警系统、自动灭火系统、消火栓系统、防烟排烟系统外的其他固定消防设施，并定期维护保养检测，不能正常使用的。</w:t>
            </w:r>
          </w:p>
        </w:tc>
        <w:tc>
          <w:tcPr>
            <w:tcW w:w="1437" w:type="dxa"/>
            <w:vAlign w:val="center"/>
          </w:tcPr>
          <w:p w14:paraId="4D35ED82"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07FDFF2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57EA6ADD"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F4E2C7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40477B8C"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63E33166" w14:textId="77777777">
        <w:trPr>
          <w:jc w:val="center"/>
        </w:trPr>
        <w:tc>
          <w:tcPr>
            <w:tcW w:w="459" w:type="dxa"/>
            <w:vAlign w:val="center"/>
          </w:tcPr>
          <w:p w14:paraId="7B93C744"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14</w:t>
            </w:r>
          </w:p>
        </w:tc>
        <w:tc>
          <w:tcPr>
            <w:tcW w:w="6882" w:type="dxa"/>
            <w:vAlign w:val="center"/>
          </w:tcPr>
          <w:p w14:paraId="37EA5C96"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spacing w:val="-2"/>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4</w:t>
            </w:r>
            <w:r>
              <w:rPr>
                <w:rFonts w:ascii="宋体" w:eastAsia="宋体" w:hAnsi="宋体" w:cs="宋体" w:hint="eastAsia"/>
                <w:color w:val="000000"/>
                <w:spacing w:val="2"/>
                <w:sz w:val="18"/>
                <w:szCs w:val="18"/>
              </w:rPr>
              <w:t>款：消防控制室值班人员未取得消防设施操作员证书的；或按要求应设而未设专业消防管理人员的。</w:t>
            </w:r>
          </w:p>
        </w:tc>
        <w:tc>
          <w:tcPr>
            <w:tcW w:w="1437" w:type="dxa"/>
            <w:vAlign w:val="center"/>
          </w:tcPr>
          <w:p w14:paraId="72BE0C92"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color w:val="000000"/>
                <w:spacing w:val="3"/>
                <w:sz w:val="18"/>
                <w:szCs w:val="18"/>
              </w:rPr>
              <w:t>查阅消防</w:t>
            </w:r>
            <w:r>
              <w:rPr>
                <w:rFonts w:ascii="Times New Roman" w:eastAsia="宋体" w:hAnsi="Times New Roman" w:cs="Times New Roman"/>
                <w:color w:val="000000"/>
                <w:sz w:val="18"/>
                <w:szCs w:val="18"/>
              </w:rPr>
              <w:t>控制室值</w:t>
            </w:r>
            <w:r>
              <w:rPr>
                <w:rFonts w:ascii="Times New Roman" w:eastAsia="宋体" w:hAnsi="Times New Roman" w:cs="Times New Roman"/>
                <w:color w:val="000000"/>
                <w:spacing w:val="7"/>
                <w:sz w:val="18"/>
                <w:szCs w:val="18"/>
              </w:rPr>
              <w:t>班人员消</w:t>
            </w:r>
            <w:r>
              <w:rPr>
                <w:rFonts w:ascii="Times New Roman" w:eastAsia="宋体" w:hAnsi="Times New Roman" w:cs="Times New Roman"/>
                <w:color w:val="000000"/>
                <w:spacing w:val="4"/>
                <w:sz w:val="18"/>
                <w:szCs w:val="18"/>
              </w:rPr>
              <w:t>防专业证</w:t>
            </w:r>
            <w:r>
              <w:rPr>
                <w:rFonts w:ascii="Times New Roman" w:eastAsia="宋体" w:hAnsi="Times New Roman" w:cs="Times New Roman"/>
                <w:color w:val="000000"/>
                <w:sz w:val="18"/>
                <w:szCs w:val="18"/>
              </w:rPr>
              <w:t>书</w:t>
            </w:r>
          </w:p>
        </w:tc>
        <w:tc>
          <w:tcPr>
            <w:tcW w:w="1013" w:type="dxa"/>
            <w:vAlign w:val="center"/>
          </w:tcPr>
          <w:p w14:paraId="4A8D746D"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5A58881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31DD3C3"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7E6F8E2"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pacing w:val="-2"/>
                <w:sz w:val="18"/>
                <w:szCs w:val="18"/>
              </w:rPr>
            </w:pPr>
          </w:p>
        </w:tc>
      </w:tr>
      <w:tr w:rsidR="00F730DE" w14:paraId="3AE2CEF7" w14:textId="77777777">
        <w:trPr>
          <w:jc w:val="center"/>
        </w:trPr>
        <w:tc>
          <w:tcPr>
            <w:tcW w:w="459" w:type="dxa"/>
            <w:vAlign w:val="center"/>
          </w:tcPr>
          <w:p w14:paraId="6F7E43E3"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15</w:t>
            </w:r>
          </w:p>
        </w:tc>
        <w:tc>
          <w:tcPr>
            <w:tcW w:w="6882" w:type="dxa"/>
            <w:vAlign w:val="center"/>
          </w:tcPr>
          <w:p w14:paraId="3C20F653"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5</w:t>
            </w:r>
            <w:r>
              <w:rPr>
                <w:rFonts w:ascii="宋体" w:eastAsia="宋体" w:hAnsi="宋体" w:cs="宋体" w:hint="eastAsia"/>
                <w:color w:val="000000"/>
                <w:spacing w:val="2"/>
                <w:sz w:val="18"/>
                <w:szCs w:val="18"/>
              </w:rPr>
              <w:t>款：安全出口数量或宽度不符合国家工程建设消防技术标准的规定，或既有安全出口被封堵。</w:t>
            </w:r>
          </w:p>
        </w:tc>
        <w:tc>
          <w:tcPr>
            <w:tcW w:w="1437" w:type="dxa"/>
            <w:vAlign w:val="center"/>
          </w:tcPr>
          <w:p w14:paraId="28F7C0D2"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6D2693A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5CCD76F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CB56E7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0289F1BA"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498490AD" w14:textId="77777777">
        <w:trPr>
          <w:jc w:val="center"/>
        </w:trPr>
        <w:tc>
          <w:tcPr>
            <w:tcW w:w="459" w:type="dxa"/>
            <w:vAlign w:val="center"/>
          </w:tcPr>
          <w:p w14:paraId="0C6F4B1A"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16</w:t>
            </w:r>
          </w:p>
        </w:tc>
        <w:tc>
          <w:tcPr>
            <w:tcW w:w="6882" w:type="dxa"/>
            <w:vAlign w:val="center"/>
          </w:tcPr>
          <w:p w14:paraId="1FA1D58A"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6</w:t>
            </w:r>
            <w:r>
              <w:rPr>
                <w:rFonts w:ascii="宋体" w:eastAsia="宋体" w:hAnsi="宋体" w:cs="宋体" w:hint="eastAsia"/>
                <w:color w:val="000000"/>
                <w:spacing w:val="2"/>
                <w:sz w:val="18"/>
                <w:szCs w:val="18"/>
              </w:rPr>
              <w:t>款：按国家工程建设消防技术标准的规定，建筑物应设置独立的安全出口或疏散楼梯而未设置。</w:t>
            </w:r>
          </w:p>
        </w:tc>
        <w:tc>
          <w:tcPr>
            <w:tcW w:w="1437" w:type="dxa"/>
            <w:vAlign w:val="center"/>
          </w:tcPr>
          <w:p w14:paraId="5FDE4AA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5D35700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073EFCAD"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D87550C"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119F0A63"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59D5C313" w14:textId="77777777">
        <w:trPr>
          <w:jc w:val="center"/>
        </w:trPr>
        <w:tc>
          <w:tcPr>
            <w:tcW w:w="459" w:type="dxa"/>
            <w:vAlign w:val="center"/>
          </w:tcPr>
          <w:p w14:paraId="44183E69"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17</w:t>
            </w:r>
          </w:p>
        </w:tc>
        <w:tc>
          <w:tcPr>
            <w:tcW w:w="6882" w:type="dxa"/>
            <w:vAlign w:val="center"/>
          </w:tcPr>
          <w:p w14:paraId="26462737"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7</w:t>
            </w:r>
            <w:r>
              <w:rPr>
                <w:rFonts w:ascii="宋体" w:eastAsia="宋体" w:hAnsi="宋体" w:cs="宋体" w:hint="eastAsia"/>
                <w:color w:val="000000"/>
                <w:spacing w:val="2"/>
                <w:sz w:val="18"/>
                <w:szCs w:val="18"/>
              </w:rPr>
              <w:t>款：原有防火分区被改变并导致实际防火分区的建筑面积大于国家工程建设消防技术标准规定值的</w:t>
            </w:r>
            <w:r>
              <w:rPr>
                <w:rFonts w:ascii="宋体" w:eastAsia="宋体" w:hAnsi="宋体" w:cs="宋体" w:hint="eastAsia"/>
                <w:color w:val="000000"/>
                <w:spacing w:val="2"/>
                <w:sz w:val="18"/>
                <w:szCs w:val="18"/>
              </w:rPr>
              <w:t>50%</w:t>
            </w:r>
            <w:r>
              <w:rPr>
                <w:rFonts w:ascii="宋体" w:eastAsia="宋体" w:hAnsi="宋体" w:cs="宋体" w:hint="eastAsia"/>
                <w:color w:val="000000"/>
                <w:spacing w:val="2"/>
                <w:sz w:val="18"/>
                <w:szCs w:val="18"/>
              </w:rPr>
              <w:t>。</w:t>
            </w:r>
          </w:p>
        </w:tc>
        <w:tc>
          <w:tcPr>
            <w:tcW w:w="1437" w:type="dxa"/>
            <w:vAlign w:val="center"/>
          </w:tcPr>
          <w:p w14:paraId="75C173F5"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28A4FBB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5E35A5D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B0BF56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60BACC63"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2DDD5A55" w14:textId="77777777">
        <w:trPr>
          <w:jc w:val="center"/>
        </w:trPr>
        <w:tc>
          <w:tcPr>
            <w:tcW w:w="459" w:type="dxa"/>
            <w:vAlign w:val="center"/>
          </w:tcPr>
          <w:p w14:paraId="146C0672"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18</w:t>
            </w:r>
          </w:p>
        </w:tc>
        <w:tc>
          <w:tcPr>
            <w:tcW w:w="6882" w:type="dxa"/>
            <w:vAlign w:val="center"/>
          </w:tcPr>
          <w:p w14:paraId="20D6C664"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8</w:t>
            </w:r>
            <w:r>
              <w:rPr>
                <w:rFonts w:ascii="宋体" w:eastAsia="宋体" w:hAnsi="宋体" w:cs="宋体" w:hint="eastAsia"/>
                <w:color w:val="000000"/>
                <w:spacing w:val="2"/>
                <w:sz w:val="18"/>
                <w:szCs w:val="18"/>
              </w:rPr>
              <w:t>款：防火门、防火卷帘等防火分隔设施损坏的数量大于该防火分区相应防火分隔设施总数的</w:t>
            </w:r>
            <w:r>
              <w:rPr>
                <w:rFonts w:ascii="宋体" w:eastAsia="宋体" w:hAnsi="宋体" w:cs="宋体" w:hint="eastAsia"/>
                <w:color w:val="000000"/>
                <w:spacing w:val="2"/>
                <w:sz w:val="18"/>
                <w:szCs w:val="18"/>
              </w:rPr>
              <w:t>50%</w:t>
            </w:r>
            <w:r>
              <w:rPr>
                <w:rFonts w:ascii="宋体" w:eastAsia="宋体" w:hAnsi="宋体" w:cs="宋体" w:hint="eastAsia"/>
                <w:color w:val="000000"/>
                <w:spacing w:val="2"/>
                <w:sz w:val="18"/>
                <w:szCs w:val="18"/>
              </w:rPr>
              <w:t>。</w:t>
            </w:r>
          </w:p>
        </w:tc>
        <w:tc>
          <w:tcPr>
            <w:tcW w:w="1437" w:type="dxa"/>
            <w:vAlign w:val="center"/>
          </w:tcPr>
          <w:p w14:paraId="1D9F06E6"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7FE85E53"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11A4F1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215210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3D99ACD"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68C4945B" w14:textId="77777777">
        <w:trPr>
          <w:jc w:val="center"/>
        </w:trPr>
        <w:tc>
          <w:tcPr>
            <w:tcW w:w="459" w:type="dxa"/>
            <w:vAlign w:val="center"/>
          </w:tcPr>
          <w:p w14:paraId="74A3A58B"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19</w:t>
            </w:r>
          </w:p>
        </w:tc>
        <w:tc>
          <w:tcPr>
            <w:tcW w:w="6882" w:type="dxa"/>
            <w:vAlign w:val="center"/>
          </w:tcPr>
          <w:p w14:paraId="27B85415"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9</w:t>
            </w:r>
            <w:r>
              <w:rPr>
                <w:rFonts w:ascii="宋体" w:eastAsia="宋体" w:hAnsi="宋体" w:cs="宋体" w:hint="eastAsia"/>
                <w:color w:val="000000"/>
                <w:spacing w:val="2"/>
                <w:sz w:val="18"/>
                <w:szCs w:val="18"/>
              </w:rPr>
              <w:t>款：未按国家工程建设消防技术标准的规定设置疏散指示标志、应急照明，或所设置设施的损坏率大于标准规定要求设置数量的</w:t>
            </w:r>
            <w:r>
              <w:rPr>
                <w:rFonts w:ascii="宋体" w:eastAsia="宋体" w:hAnsi="宋体" w:cs="宋体" w:hint="eastAsia"/>
                <w:color w:val="000000"/>
                <w:spacing w:val="2"/>
                <w:sz w:val="18"/>
                <w:szCs w:val="18"/>
              </w:rPr>
              <w:t>50%</w:t>
            </w:r>
            <w:r>
              <w:rPr>
                <w:rFonts w:ascii="宋体" w:eastAsia="宋体" w:hAnsi="宋体" w:cs="宋体" w:hint="eastAsia"/>
                <w:color w:val="000000"/>
                <w:spacing w:val="2"/>
                <w:sz w:val="18"/>
                <w:szCs w:val="18"/>
              </w:rPr>
              <w:t>。</w:t>
            </w:r>
          </w:p>
        </w:tc>
        <w:tc>
          <w:tcPr>
            <w:tcW w:w="1437" w:type="dxa"/>
            <w:vAlign w:val="center"/>
          </w:tcPr>
          <w:p w14:paraId="52AA64F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14E18E7F"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0EE3D5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56276E9"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9FD319A"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27AE7786" w14:textId="77777777">
        <w:trPr>
          <w:jc w:val="center"/>
        </w:trPr>
        <w:tc>
          <w:tcPr>
            <w:tcW w:w="459" w:type="dxa"/>
            <w:vAlign w:val="center"/>
          </w:tcPr>
          <w:p w14:paraId="4E6096B7"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20</w:t>
            </w:r>
          </w:p>
        </w:tc>
        <w:tc>
          <w:tcPr>
            <w:tcW w:w="6882" w:type="dxa"/>
            <w:vAlign w:val="center"/>
          </w:tcPr>
          <w:p w14:paraId="39D3559F"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1</w:t>
            </w:r>
            <w:r>
              <w:rPr>
                <w:rFonts w:ascii="宋体" w:eastAsia="宋体" w:hAnsi="宋体" w:cs="宋体" w:hint="eastAsia"/>
                <w:color w:val="000000"/>
                <w:spacing w:val="2"/>
                <w:sz w:val="18"/>
                <w:szCs w:val="18"/>
              </w:rPr>
              <w:t>0</w:t>
            </w:r>
            <w:r>
              <w:rPr>
                <w:rFonts w:ascii="宋体" w:eastAsia="宋体" w:hAnsi="宋体" w:cs="宋体" w:hint="eastAsia"/>
                <w:color w:val="000000"/>
                <w:spacing w:val="2"/>
                <w:sz w:val="18"/>
                <w:szCs w:val="18"/>
              </w:rPr>
              <w:t>款：高层建筑封闭楼梯间或防烟楼梯间的门的损坏率大于其设置总数的</w:t>
            </w:r>
            <w:r>
              <w:rPr>
                <w:rFonts w:ascii="宋体" w:eastAsia="宋体" w:hAnsi="宋体" w:cs="宋体" w:hint="eastAsia"/>
                <w:color w:val="000000"/>
                <w:spacing w:val="2"/>
                <w:sz w:val="18"/>
                <w:szCs w:val="18"/>
              </w:rPr>
              <w:t>20%</w:t>
            </w:r>
            <w:r>
              <w:rPr>
                <w:rFonts w:ascii="宋体" w:eastAsia="宋体" w:hAnsi="宋体" w:cs="宋体" w:hint="eastAsia"/>
                <w:color w:val="000000"/>
                <w:spacing w:val="2"/>
                <w:sz w:val="18"/>
                <w:szCs w:val="18"/>
              </w:rPr>
              <w:t>。</w:t>
            </w:r>
          </w:p>
        </w:tc>
        <w:tc>
          <w:tcPr>
            <w:tcW w:w="1437" w:type="dxa"/>
            <w:vAlign w:val="center"/>
          </w:tcPr>
          <w:p w14:paraId="64E0336A"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2B9C874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896F20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5CCF350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630D1EE"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0EBED37A" w14:textId="77777777">
        <w:trPr>
          <w:jc w:val="center"/>
        </w:trPr>
        <w:tc>
          <w:tcPr>
            <w:tcW w:w="459" w:type="dxa"/>
            <w:vAlign w:val="center"/>
          </w:tcPr>
          <w:p w14:paraId="38A90335"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21</w:t>
            </w:r>
          </w:p>
        </w:tc>
        <w:tc>
          <w:tcPr>
            <w:tcW w:w="6882" w:type="dxa"/>
            <w:vAlign w:val="center"/>
          </w:tcPr>
          <w:p w14:paraId="5708C719"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第三条第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1</w:t>
            </w:r>
            <w:r>
              <w:rPr>
                <w:rFonts w:ascii="宋体" w:eastAsia="宋体" w:hAnsi="宋体" w:cs="宋体" w:hint="eastAsia"/>
                <w:color w:val="000000"/>
                <w:spacing w:val="2"/>
                <w:sz w:val="18"/>
                <w:szCs w:val="18"/>
              </w:rPr>
              <w:t>1</w:t>
            </w:r>
            <w:r>
              <w:rPr>
                <w:rFonts w:ascii="宋体" w:eastAsia="宋体" w:hAnsi="宋体" w:cs="宋体" w:hint="eastAsia"/>
                <w:color w:val="000000"/>
                <w:spacing w:val="2"/>
                <w:sz w:val="18"/>
                <w:szCs w:val="18"/>
              </w:rPr>
              <w:t>款：高层建筑的消防车道、救援场地设置不符合要求或被占用，影响火灾扑救。</w:t>
            </w:r>
          </w:p>
        </w:tc>
        <w:tc>
          <w:tcPr>
            <w:tcW w:w="1437" w:type="dxa"/>
            <w:vAlign w:val="center"/>
          </w:tcPr>
          <w:p w14:paraId="37BBB3E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2C72E9CF"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96B83B0" w14:textId="77777777" w:rsidR="00F730DE" w:rsidRDefault="008E3A84">
            <w:pPr>
              <w:widowControl/>
              <w:kinsoku w:val="0"/>
              <w:autoSpaceDE w:val="0"/>
              <w:autoSpaceDN w:val="0"/>
              <w:adjustRightInd w:val="0"/>
              <w:snapToGrid w:val="0"/>
              <w:jc w:val="left"/>
              <w:textAlignment w:val="baseline"/>
              <w:rPr>
                <w:rFonts w:ascii="宋体" w:eastAsia="宋体" w:hAnsi="宋体" w:cs="宋体"/>
                <w:snapToGrid w:val="0"/>
                <w:color w:val="000000"/>
                <w:kern w:val="0"/>
                <w:sz w:val="18"/>
                <w:szCs w:val="18"/>
                <w:lang w:eastAsia="en-US"/>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D5E50C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CA0E829"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bl>
    <w:p w14:paraId="09FE12BF"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二、校舍使用重大事故隐患</w:t>
      </w:r>
    </w:p>
    <w:p w14:paraId="61F9CEDD" w14:textId="77777777" w:rsidR="00F730DE" w:rsidRDefault="008E3A84">
      <w:pPr>
        <w:widowControl/>
        <w:kinsoku w:val="0"/>
        <w:autoSpaceDE w:val="0"/>
        <w:autoSpaceDN w:val="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59477A8E" w14:textId="77777777">
        <w:trPr>
          <w:jc w:val="center"/>
        </w:trPr>
        <w:tc>
          <w:tcPr>
            <w:tcW w:w="459" w:type="dxa"/>
            <w:vAlign w:val="center"/>
          </w:tcPr>
          <w:p w14:paraId="04D82F1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2E9C3B44"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576F8A21"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08B8E318"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036D378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748061F3"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0AAC0A0A" w14:textId="77777777">
        <w:trPr>
          <w:jc w:val="center"/>
        </w:trPr>
        <w:tc>
          <w:tcPr>
            <w:tcW w:w="459" w:type="dxa"/>
            <w:vAlign w:val="center"/>
          </w:tcPr>
          <w:p w14:paraId="0F799AA3"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22</w:t>
            </w:r>
          </w:p>
        </w:tc>
        <w:tc>
          <w:tcPr>
            <w:tcW w:w="6882" w:type="dxa"/>
            <w:vAlign w:val="center"/>
          </w:tcPr>
          <w:p w14:paraId="28E1211C"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1</w:t>
            </w:r>
            <w:r>
              <w:rPr>
                <w:rFonts w:ascii="宋体" w:eastAsia="宋体" w:hAnsi="宋体" w:cs="宋体" w:hint="eastAsia"/>
                <w:color w:val="000000"/>
                <w:spacing w:val="2"/>
                <w:sz w:val="18"/>
                <w:szCs w:val="18"/>
              </w:rPr>
              <w:t>款，建设在地震断裂带、低洼地、滑坡地段、泥石流地区、洪水沟口或泄洪区等自然灾害频发地段。</w:t>
            </w:r>
          </w:p>
        </w:tc>
        <w:tc>
          <w:tcPr>
            <w:tcW w:w="1437" w:type="dxa"/>
            <w:vAlign w:val="center"/>
          </w:tcPr>
          <w:p w14:paraId="517DF91C"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013" w:type="dxa"/>
            <w:vAlign w:val="center"/>
          </w:tcPr>
          <w:p w14:paraId="43D080F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761FE5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89A6104"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15330C51"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24F160C3" w14:textId="77777777">
        <w:trPr>
          <w:jc w:val="center"/>
        </w:trPr>
        <w:tc>
          <w:tcPr>
            <w:tcW w:w="459" w:type="dxa"/>
            <w:vAlign w:val="center"/>
          </w:tcPr>
          <w:p w14:paraId="1C5D604F"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23</w:t>
            </w:r>
          </w:p>
        </w:tc>
        <w:tc>
          <w:tcPr>
            <w:tcW w:w="6882" w:type="dxa"/>
            <w:vAlign w:val="center"/>
          </w:tcPr>
          <w:p w14:paraId="25661C9C"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2</w:t>
            </w:r>
            <w:r>
              <w:rPr>
                <w:rFonts w:ascii="宋体" w:eastAsia="宋体" w:hAnsi="宋体" w:cs="宋体" w:hint="eastAsia"/>
                <w:color w:val="000000"/>
                <w:spacing w:val="2"/>
                <w:sz w:val="18"/>
                <w:szCs w:val="18"/>
              </w:rPr>
              <w:t>款，毗邻集贸市场、娱乐场所、殡仪馆、医院太平间、传染病院或医院传染病房等不利于学生身心健康和危及</w:t>
            </w:r>
            <w:r>
              <w:rPr>
                <w:rFonts w:ascii="宋体" w:eastAsia="宋体" w:hAnsi="宋体" w:cs="宋体" w:hint="eastAsia"/>
                <w:color w:val="000000"/>
                <w:spacing w:val="2"/>
                <w:sz w:val="18"/>
                <w:szCs w:val="18"/>
              </w:rPr>
              <w:lastRenderedPageBreak/>
              <w:t>学生安全。</w:t>
            </w:r>
          </w:p>
        </w:tc>
        <w:tc>
          <w:tcPr>
            <w:tcW w:w="1437" w:type="dxa"/>
            <w:vAlign w:val="center"/>
          </w:tcPr>
          <w:p w14:paraId="5A081AA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1D07FDB2"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06CC2132"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FEB101B"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688DD374"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4E172940" w14:textId="77777777">
        <w:trPr>
          <w:jc w:val="center"/>
        </w:trPr>
        <w:tc>
          <w:tcPr>
            <w:tcW w:w="459" w:type="dxa"/>
            <w:vAlign w:val="center"/>
          </w:tcPr>
          <w:p w14:paraId="4444594E"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lastRenderedPageBreak/>
              <w:t>24</w:t>
            </w:r>
          </w:p>
        </w:tc>
        <w:tc>
          <w:tcPr>
            <w:tcW w:w="6882" w:type="dxa"/>
            <w:vAlign w:val="center"/>
          </w:tcPr>
          <w:p w14:paraId="1FDD01E2"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3</w:t>
            </w:r>
            <w:r>
              <w:rPr>
                <w:rFonts w:ascii="宋体" w:eastAsia="宋体" w:hAnsi="宋体" w:cs="宋体" w:hint="eastAsia"/>
                <w:color w:val="000000"/>
                <w:spacing w:val="2"/>
                <w:sz w:val="18"/>
                <w:szCs w:val="18"/>
              </w:rPr>
              <w:t>款，与地铁、轻轨、高速公路、城市干道、机场及飞机起降航线安全防护距离不符合有关规定。</w:t>
            </w:r>
          </w:p>
        </w:tc>
        <w:tc>
          <w:tcPr>
            <w:tcW w:w="1437" w:type="dxa"/>
            <w:vAlign w:val="center"/>
          </w:tcPr>
          <w:p w14:paraId="470AFD13"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91825E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D02C4B8"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9D3B7DE"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DB37AB0"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3D0256FF" w14:textId="77777777">
        <w:trPr>
          <w:jc w:val="center"/>
        </w:trPr>
        <w:tc>
          <w:tcPr>
            <w:tcW w:w="459" w:type="dxa"/>
            <w:vAlign w:val="center"/>
          </w:tcPr>
          <w:p w14:paraId="43236CBC"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25</w:t>
            </w:r>
          </w:p>
        </w:tc>
        <w:tc>
          <w:tcPr>
            <w:tcW w:w="6882" w:type="dxa"/>
            <w:vAlign w:val="center"/>
          </w:tcPr>
          <w:p w14:paraId="708AE213"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spacing w:val="-2"/>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4</w:t>
            </w:r>
            <w:r>
              <w:rPr>
                <w:rFonts w:ascii="宋体" w:eastAsia="宋体" w:hAnsi="宋体" w:cs="宋体" w:hint="eastAsia"/>
                <w:color w:val="000000"/>
                <w:spacing w:val="2"/>
                <w:sz w:val="18"/>
                <w:szCs w:val="18"/>
              </w:rPr>
              <w:t>款，周边设有输气输油管、各类污染源、高压电设施、生产经营储存有毒有害危险品。</w:t>
            </w:r>
          </w:p>
        </w:tc>
        <w:tc>
          <w:tcPr>
            <w:tcW w:w="1437" w:type="dxa"/>
            <w:vAlign w:val="center"/>
          </w:tcPr>
          <w:p w14:paraId="716F698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634EDD35"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08AB069C"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5B8E51D"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14132F25"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pacing w:val="-2"/>
                <w:sz w:val="18"/>
                <w:szCs w:val="18"/>
              </w:rPr>
            </w:pPr>
          </w:p>
        </w:tc>
      </w:tr>
      <w:tr w:rsidR="00F730DE" w14:paraId="653A1025" w14:textId="77777777">
        <w:trPr>
          <w:jc w:val="center"/>
        </w:trPr>
        <w:tc>
          <w:tcPr>
            <w:tcW w:w="459" w:type="dxa"/>
            <w:vAlign w:val="center"/>
          </w:tcPr>
          <w:p w14:paraId="628923A1"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26</w:t>
            </w:r>
          </w:p>
        </w:tc>
        <w:tc>
          <w:tcPr>
            <w:tcW w:w="6882" w:type="dxa"/>
            <w:vAlign w:val="center"/>
          </w:tcPr>
          <w:p w14:paraId="448891BD"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：地基基础经鉴定出现不均匀沉降，或部分承重构件存在损伤、裂缝或变形的。</w:t>
            </w:r>
          </w:p>
        </w:tc>
        <w:tc>
          <w:tcPr>
            <w:tcW w:w="1437" w:type="dxa"/>
            <w:vAlign w:val="center"/>
          </w:tcPr>
          <w:p w14:paraId="0E0B0A1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31733CC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D8177AC"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5CE5E6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5F2A189"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19BB20E8" w14:textId="77777777">
        <w:trPr>
          <w:jc w:val="center"/>
        </w:trPr>
        <w:tc>
          <w:tcPr>
            <w:tcW w:w="459" w:type="dxa"/>
            <w:vAlign w:val="center"/>
          </w:tcPr>
          <w:p w14:paraId="0F620CD1"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27</w:t>
            </w:r>
          </w:p>
        </w:tc>
        <w:tc>
          <w:tcPr>
            <w:tcW w:w="6882" w:type="dxa"/>
            <w:vAlign w:val="center"/>
          </w:tcPr>
          <w:p w14:paraId="2DFAC52A"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三</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：存在未经竣工验收或验收不合格即交付使用的。</w:t>
            </w:r>
          </w:p>
        </w:tc>
        <w:tc>
          <w:tcPr>
            <w:tcW w:w="1437" w:type="dxa"/>
            <w:vAlign w:val="center"/>
          </w:tcPr>
          <w:p w14:paraId="4815895A"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查阅建筑相关文件资料</w:t>
            </w:r>
          </w:p>
        </w:tc>
        <w:tc>
          <w:tcPr>
            <w:tcW w:w="1013" w:type="dxa"/>
            <w:vAlign w:val="center"/>
          </w:tcPr>
          <w:p w14:paraId="5CAAB5F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6D5F7C9"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B478E2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7BC7AE1"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03D09DFA" w14:textId="77777777">
        <w:trPr>
          <w:jc w:val="center"/>
        </w:trPr>
        <w:tc>
          <w:tcPr>
            <w:tcW w:w="459" w:type="dxa"/>
            <w:vAlign w:val="center"/>
          </w:tcPr>
          <w:p w14:paraId="758DAC27"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28</w:t>
            </w:r>
          </w:p>
        </w:tc>
        <w:tc>
          <w:tcPr>
            <w:tcW w:w="6882" w:type="dxa"/>
            <w:vAlign w:val="center"/>
          </w:tcPr>
          <w:p w14:paraId="7F21F4B6"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：擅自改变学校用房使用功能及用途，违规搭建构筑物、分隔房间或临时增加宿舍房间、超原设计标准增设床</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铺</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位的。</w:t>
            </w:r>
          </w:p>
        </w:tc>
        <w:tc>
          <w:tcPr>
            <w:tcW w:w="1437" w:type="dxa"/>
            <w:vAlign w:val="center"/>
          </w:tcPr>
          <w:p w14:paraId="4DF2F0CA"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5674E0D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02BB73E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04370FB3"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59DB667"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78335D2D" w14:textId="77777777">
        <w:trPr>
          <w:jc w:val="center"/>
        </w:trPr>
        <w:tc>
          <w:tcPr>
            <w:tcW w:w="459" w:type="dxa"/>
            <w:vAlign w:val="center"/>
          </w:tcPr>
          <w:p w14:paraId="6A448F41"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29</w:t>
            </w:r>
          </w:p>
        </w:tc>
        <w:tc>
          <w:tcPr>
            <w:tcW w:w="6882" w:type="dxa"/>
            <w:vAlign w:val="center"/>
          </w:tcPr>
          <w:p w14:paraId="77F4E12C"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：使用</w:t>
            </w:r>
            <w:r>
              <w:rPr>
                <w:rFonts w:ascii="宋体" w:eastAsia="宋体" w:hAnsi="宋体" w:cs="宋体" w:hint="eastAsia"/>
                <w:color w:val="000000"/>
                <w:spacing w:val="2"/>
                <w:sz w:val="18"/>
                <w:szCs w:val="18"/>
              </w:rPr>
              <w:t>C</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D</w:t>
            </w:r>
            <w:r>
              <w:rPr>
                <w:rFonts w:ascii="宋体" w:eastAsia="宋体" w:hAnsi="宋体" w:cs="宋体" w:hint="eastAsia"/>
                <w:color w:val="000000"/>
                <w:spacing w:val="2"/>
                <w:sz w:val="18"/>
                <w:szCs w:val="18"/>
              </w:rPr>
              <w:t>级危房的。</w:t>
            </w:r>
          </w:p>
        </w:tc>
        <w:tc>
          <w:tcPr>
            <w:tcW w:w="1437" w:type="dxa"/>
            <w:vAlign w:val="center"/>
          </w:tcPr>
          <w:p w14:paraId="7D3517E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017FC7D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DD3D8D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0866B04"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FDCFF83"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74B4507B" w14:textId="77777777">
        <w:trPr>
          <w:jc w:val="center"/>
        </w:trPr>
        <w:tc>
          <w:tcPr>
            <w:tcW w:w="459" w:type="dxa"/>
            <w:vAlign w:val="center"/>
          </w:tcPr>
          <w:p w14:paraId="4D1B97F1"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30</w:t>
            </w:r>
          </w:p>
        </w:tc>
        <w:tc>
          <w:tcPr>
            <w:tcW w:w="6882" w:type="dxa"/>
            <w:vAlign w:val="center"/>
          </w:tcPr>
          <w:p w14:paraId="586F595F"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：在校舍</w:t>
            </w:r>
            <w:proofErr w:type="gramStart"/>
            <w:r>
              <w:rPr>
                <w:rFonts w:ascii="宋体" w:eastAsia="宋体" w:hAnsi="宋体" w:cs="宋体" w:hint="eastAsia"/>
                <w:color w:val="000000"/>
                <w:spacing w:val="2"/>
                <w:sz w:val="18"/>
                <w:szCs w:val="18"/>
              </w:rPr>
              <w:t>屋顶超</w:t>
            </w:r>
            <w:proofErr w:type="gramEnd"/>
            <w:r>
              <w:rPr>
                <w:rFonts w:ascii="宋体" w:eastAsia="宋体" w:hAnsi="宋体" w:cs="宋体" w:hint="eastAsia"/>
                <w:color w:val="000000"/>
                <w:spacing w:val="2"/>
                <w:sz w:val="18"/>
                <w:szCs w:val="18"/>
              </w:rPr>
              <w:t>设计荷载限值堆放物品或增加设备设施的，或在楼内放置超过楼面荷载重量物品的。</w:t>
            </w:r>
          </w:p>
        </w:tc>
        <w:tc>
          <w:tcPr>
            <w:tcW w:w="1437" w:type="dxa"/>
            <w:vAlign w:val="center"/>
          </w:tcPr>
          <w:p w14:paraId="5D2ED47C"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5E339E83"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4A8133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0350563"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7015E08"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68231A6E" w14:textId="77777777">
        <w:trPr>
          <w:jc w:val="center"/>
        </w:trPr>
        <w:tc>
          <w:tcPr>
            <w:tcW w:w="459" w:type="dxa"/>
            <w:vAlign w:val="center"/>
          </w:tcPr>
          <w:p w14:paraId="49701673"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31</w:t>
            </w:r>
          </w:p>
        </w:tc>
        <w:tc>
          <w:tcPr>
            <w:tcW w:w="6882" w:type="dxa"/>
            <w:vAlign w:val="center"/>
          </w:tcPr>
          <w:p w14:paraId="5F9F8F2E"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：建筑阳台、窗台、楼梯及公共通道等临边栏杆不牢固，以及防护高度未达到相关标准要求的。</w:t>
            </w:r>
          </w:p>
        </w:tc>
        <w:tc>
          <w:tcPr>
            <w:tcW w:w="1437" w:type="dxa"/>
            <w:vAlign w:val="center"/>
          </w:tcPr>
          <w:p w14:paraId="74A6106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现场查看</w:t>
            </w:r>
          </w:p>
        </w:tc>
        <w:tc>
          <w:tcPr>
            <w:tcW w:w="1013" w:type="dxa"/>
            <w:vAlign w:val="center"/>
          </w:tcPr>
          <w:p w14:paraId="03C607B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03ED54B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5E4041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427A7B8A"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5C19767E" w14:textId="77777777">
        <w:trPr>
          <w:jc w:val="center"/>
        </w:trPr>
        <w:tc>
          <w:tcPr>
            <w:tcW w:w="459" w:type="dxa"/>
            <w:vAlign w:val="center"/>
          </w:tcPr>
          <w:p w14:paraId="5D9BFC82"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32</w:t>
            </w:r>
          </w:p>
        </w:tc>
        <w:tc>
          <w:tcPr>
            <w:tcW w:w="6882" w:type="dxa"/>
            <w:vAlign w:val="center"/>
          </w:tcPr>
          <w:p w14:paraId="54F6966D"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八</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：体育馆、图书馆、活动中心、食堂、会议室、礼堂等大跨度钢结构建筑未按要求进行维护保养和安全评估，或未按照规范要求进行屋顶防水维修作业的。</w:t>
            </w:r>
          </w:p>
        </w:tc>
        <w:tc>
          <w:tcPr>
            <w:tcW w:w="1437" w:type="dxa"/>
            <w:vAlign w:val="center"/>
          </w:tcPr>
          <w:p w14:paraId="610BF96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3C85FE7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8A53243" w14:textId="77777777" w:rsidR="00F730DE" w:rsidRDefault="008E3A84">
            <w:pPr>
              <w:widowControl/>
              <w:kinsoku w:val="0"/>
              <w:autoSpaceDE w:val="0"/>
              <w:autoSpaceDN w:val="0"/>
              <w:adjustRightInd w:val="0"/>
              <w:snapToGrid w:val="0"/>
              <w:jc w:val="left"/>
              <w:textAlignment w:val="baseline"/>
              <w:rPr>
                <w:rFonts w:ascii="宋体" w:eastAsia="宋体" w:hAnsi="宋体" w:cs="宋体"/>
                <w:snapToGrid w:val="0"/>
                <w:color w:val="000000"/>
                <w:kern w:val="0"/>
                <w:sz w:val="18"/>
                <w:szCs w:val="18"/>
                <w:lang w:eastAsia="en-US"/>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A0B479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1B2014D"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bl>
    <w:p w14:paraId="13FDDA95" w14:textId="77777777" w:rsidR="00F730DE" w:rsidRDefault="00F730DE">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p>
    <w:p w14:paraId="39C06262"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三、食品安全管理重大事故隐患</w:t>
      </w:r>
    </w:p>
    <w:p w14:paraId="75CEF856" w14:textId="77777777" w:rsidR="00F730DE" w:rsidRDefault="008E3A84">
      <w:pPr>
        <w:widowControl/>
        <w:kinsoku w:val="0"/>
        <w:autoSpaceDE w:val="0"/>
        <w:autoSpaceDN w:val="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48B53739" w14:textId="77777777">
        <w:trPr>
          <w:jc w:val="center"/>
        </w:trPr>
        <w:tc>
          <w:tcPr>
            <w:tcW w:w="459" w:type="dxa"/>
            <w:vAlign w:val="center"/>
          </w:tcPr>
          <w:p w14:paraId="5A7E0982"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3EFF12EF"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1E72F6E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1CD43C1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61D8E91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5006520B"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2EA57572" w14:textId="77777777">
        <w:trPr>
          <w:jc w:val="center"/>
        </w:trPr>
        <w:tc>
          <w:tcPr>
            <w:tcW w:w="459" w:type="dxa"/>
            <w:vAlign w:val="center"/>
          </w:tcPr>
          <w:p w14:paraId="1A7050D8"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33</w:t>
            </w:r>
          </w:p>
        </w:tc>
        <w:tc>
          <w:tcPr>
            <w:tcW w:w="6882" w:type="dxa"/>
            <w:vAlign w:val="center"/>
          </w:tcPr>
          <w:p w14:paraId="61E6B72E"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：学校食堂、承包经营学校食堂的企业、校外供餐单位、</w:t>
            </w:r>
            <w:proofErr w:type="gramStart"/>
            <w:r>
              <w:rPr>
                <w:rFonts w:ascii="宋体" w:eastAsia="宋体" w:hAnsi="宋体" w:cs="宋体" w:hint="eastAsia"/>
                <w:color w:val="000000"/>
                <w:spacing w:val="2"/>
                <w:sz w:val="18"/>
                <w:szCs w:val="18"/>
              </w:rPr>
              <w:t>食材供应</w:t>
            </w:r>
            <w:proofErr w:type="gramEnd"/>
            <w:r>
              <w:rPr>
                <w:rFonts w:ascii="宋体" w:eastAsia="宋体" w:hAnsi="宋体" w:cs="宋体" w:hint="eastAsia"/>
                <w:color w:val="000000"/>
                <w:spacing w:val="2"/>
                <w:sz w:val="18"/>
                <w:szCs w:val="18"/>
              </w:rPr>
              <w:t>企业未取得食品经营许可证的。</w:t>
            </w:r>
          </w:p>
        </w:tc>
        <w:tc>
          <w:tcPr>
            <w:tcW w:w="1437" w:type="dxa"/>
            <w:vAlign w:val="center"/>
          </w:tcPr>
          <w:p w14:paraId="45D5FF5D"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查阅食品经营许可证</w:t>
            </w:r>
          </w:p>
        </w:tc>
        <w:tc>
          <w:tcPr>
            <w:tcW w:w="1013" w:type="dxa"/>
            <w:vAlign w:val="center"/>
          </w:tcPr>
          <w:p w14:paraId="46BAA69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82B2EF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38E44B0"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400499AC"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03C30AAC" w14:textId="77777777">
        <w:trPr>
          <w:jc w:val="center"/>
        </w:trPr>
        <w:tc>
          <w:tcPr>
            <w:tcW w:w="459" w:type="dxa"/>
            <w:vAlign w:val="center"/>
          </w:tcPr>
          <w:p w14:paraId="39C4D4F8"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34</w:t>
            </w:r>
          </w:p>
        </w:tc>
        <w:tc>
          <w:tcPr>
            <w:tcW w:w="6882" w:type="dxa"/>
            <w:vAlign w:val="center"/>
          </w:tcPr>
          <w:p w14:paraId="2635602F"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：从事接触直接入口食品工作的人员未取得有效健康证明的。</w:t>
            </w:r>
          </w:p>
        </w:tc>
        <w:tc>
          <w:tcPr>
            <w:tcW w:w="1437" w:type="dxa"/>
            <w:vAlign w:val="center"/>
          </w:tcPr>
          <w:p w14:paraId="21700548"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7AFC4BC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059B4F8"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03EAA35"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6D6A27F7"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6F5ED212" w14:textId="77777777">
        <w:trPr>
          <w:jc w:val="center"/>
        </w:trPr>
        <w:tc>
          <w:tcPr>
            <w:tcW w:w="459" w:type="dxa"/>
            <w:vAlign w:val="center"/>
          </w:tcPr>
          <w:p w14:paraId="2520CF62"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35</w:t>
            </w:r>
          </w:p>
        </w:tc>
        <w:tc>
          <w:tcPr>
            <w:tcW w:w="6882" w:type="dxa"/>
            <w:vAlign w:val="center"/>
          </w:tcPr>
          <w:p w14:paraId="48483867"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三</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：食品及原料进货来源不明，未落实可追溯机制的。</w:t>
            </w:r>
          </w:p>
        </w:tc>
        <w:tc>
          <w:tcPr>
            <w:tcW w:w="1437" w:type="dxa"/>
            <w:vAlign w:val="center"/>
          </w:tcPr>
          <w:p w14:paraId="7FE22F89"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查阅相关票据</w:t>
            </w:r>
          </w:p>
        </w:tc>
        <w:tc>
          <w:tcPr>
            <w:tcW w:w="1013" w:type="dxa"/>
            <w:vAlign w:val="center"/>
          </w:tcPr>
          <w:p w14:paraId="684FDCA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658AC87"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0550AEF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52B7D37"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54568B31" w14:textId="77777777">
        <w:trPr>
          <w:jc w:val="center"/>
        </w:trPr>
        <w:tc>
          <w:tcPr>
            <w:tcW w:w="459" w:type="dxa"/>
            <w:vAlign w:val="center"/>
          </w:tcPr>
          <w:p w14:paraId="35D373A2"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36</w:t>
            </w:r>
          </w:p>
        </w:tc>
        <w:tc>
          <w:tcPr>
            <w:tcW w:w="6882" w:type="dxa"/>
            <w:vAlign w:val="center"/>
          </w:tcPr>
          <w:p w14:paraId="07D969B0"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spacing w:val="-2"/>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：采购不符合食品安全要求的食品、食品原料和食品添加剂的。</w:t>
            </w:r>
          </w:p>
        </w:tc>
        <w:tc>
          <w:tcPr>
            <w:tcW w:w="1437" w:type="dxa"/>
            <w:vAlign w:val="center"/>
          </w:tcPr>
          <w:p w14:paraId="746C8C2F"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随机抽查</w:t>
            </w:r>
          </w:p>
        </w:tc>
        <w:tc>
          <w:tcPr>
            <w:tcW w:w="1013" w:type="dxa"/>
            <w:vAlign w:val="center"/>
          </w:tcPr>
          <w:p w14:paraId="73E1062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898EEF2"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694B95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1ACEAC16"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pacing w:val="-2"/>
                <w:sz w:val="18"/>
                <w:szCs w:val="18"/>
              </w:rPr>
            </w:pPr>
          </w:p>
        </w:tc>
      </w:tr>
      <w:tr w:rsidR="00F730DE" w14:paraId="289F177A" w14:textId="77777777">
        <w:trPr>
          <w:jc w:val="center"/>
        </w:trPr>
        <w:tc>
          <w:tcPr>
            <w:tcW w:w="459" w:type="dxa"/>
            <w:vAlign w:val="center"/>
          </w:tcPr>
          <w:p w14:paraId="5DD53545"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37</w:t>
            </w:r>
          </w:p>
        </w:tc>
        <w:tc>
          <w:tcPr>
            <w:tcW w:w="6882" w:type="dxa"/>
            <w:vAlign w:val="center"/>
          </w:tcPr>
          <w:p w14:paraId="4BEB789C"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：食品加工操作不规范、不卫生，可能造成食品污染的。</w:t>
            </w:r>
          </w:p>
        </w:tc>
        <w:tc>
          <w:tcPr>
            <w:tcW w:w="1437" w:type="dxa"/>
            <w:vAlign w:val="center"/>
          </w:tcPr>
          <w:p w14:paraId="7CA5EE8A"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现场检查</w:t>
            </w:r>
          </w:p>
        </w:tc>
        <w:tc>
          <w:tcPr>
            <w:tcW w:w="1013" w:type="dxa"/>
            <w:vAlign w:val="center"/>
          </w:tcPr>
          <w:p w14:paraId="19FFA01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5D76E63B"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05727DA3"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09C9592"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26976837" w14:textId="77777777">
        <w:trPr>
          <w:jc w:val="center"/>
        </w:trPr>
        <w:tc>
          <w:tcPr>
            <w:tcW w:w="459" w:type="dxa"/>
            <w:vAlign w:val="center"/>
          </w:tcPr>
          <w:p w14:paraId="21F7260A"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lastRenderedPageBreak/>
              <w:t>38</w:t>
            </w:r>
          </w:p>
        </w:tc>
        <w:tc>
          <w:tcPr>
            <w:tcW w:w="6882" w:type="dxa"/>
            <w:vAlign w:val="center"/>
          </w:tcPr>
          <w:p w14:paraId="241DFB8C"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：贮存环境不符合要求，导致食品、食品原料变质或受到污染的。</w:t>
            </w:r>
          </w:p>
        </w:tc>
        <w:tc>
          <w:tcPr>
            <w:tcW w:w="1437" w:type="dxa"/>
            <w:vAlign w:val="center"/>
          </w:tcPr>
          <w:p w14:paraId="6466434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现场检查</w:t>
            </w:r>
          </w:p>
        </w:tc>
        <w:tc>
          <w:tcPr>
            <w:tcW w:w="1013" w:type="dxa"/>
            <w:vAlign w:val="center"/>
          </w:tcPr>
          <w:p w14:paraId="485B862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AE1F3DC"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99840CB"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B997290"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2127F058" w14:textId="77777777">
        <w:trPr>
          <w:jc w:val="center"/>
        </w:trPr>
        <w:tc>
          <w:tcPr>
            <w:tcW w:w="459" w:type="dxa"/>
            <w:vAlign w:val="center"/>
          </w:tcPr>
          <w:p w14:paraId="6EEEAC89"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39</w:t>
            </w:r>
          </w:p>
        </w:tc>
        <w:tc>
          <w:tcPr>
            <w:tcW w:w="6882" w:type="dxa"/>
            <w:vAlign w:val="center"/>
          </w:tcPr>
          <w:p w14:paraId="175AAB49"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：未按规定贮存、使用食品添加剂的。</w:t>
            </w:r>
          </w:p>
        </w:tc>
        <w:tc>
          <w:tcPr>
            <w:tcW w:w="1437" w:type="dxa"/>
            <w:vAlign w:val="center"/>
          </w:tcPr>
          <w:p w14:paraId="176A61BC"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0FA7C05D"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870E35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899DB3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DE76227"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10CD0B5F" w14:textId="77777777">
        <w:trPr>
          <w:jc w:val="center"/>
        </w:trPr>
        <w:tc>
          <w:tcPr>
            <w:tcW w:w="459" w:type="dxa"/>
            <w:vAlign w:val="center"/>
          </w:tcPr>
          <w:p w14:paraId="2D035B16"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40</w:t>
            </w:r>
          </w:p>
        </w:tc>
        <w:tc>
          <w:tcPr>
            <w:tcW w:w="6882" w:type="dxa"/>
            <w:vAlign w:val="center"/>
          </w:tcPr>
          <w:p w14:paraId="363DBEB8"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八</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：餐用具不合格、未消毒或使用不合格洗涤剂的。</w:t>
            </w:r>
          </w:p>
        </w:tc>
        <w:tc>
          <w:tcPr>
            <w:tcW w:w="1437" w:type="dxa"/>
            <w:vAlign w:val="center"/>
          </w:tcPr>
          <w:p w14:paraId="668BC702"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随机抽查</w:t>
            </w:r>
          </w:p>
        </w:tc>
        <w:tc>
          <w:tcPr>
            <w:tcW w:w="1013" w:type="dxa"/>
            <w:vAlign w:val="center"/>
          </w:tcPr>
          <w:p w14:paraId="7E7F1655"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5F06435"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8EF2208"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52EB0BE"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18855BF0" w14:textId="77777777">
        <w:trPr>
          <w:jc w:val="center"/>
        </w:trPr>
        <w:tc>
          <w:tcPr>
            <w:tcW w:w="459" w:type="dxa"/>
            <w:vAlign w:val="center"/>
          </w:tcPr>
          <w:p w14:paraId="5FDB9E00"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41</w:t>
            </w:r>
          </w:p>
        </w:tc>
        <w:tc>
          <w:tcPr>
            <w:tcW w:w="6882" w:type="dxa"/>
            <w:vAlign w:val="center"/>
          </w:tcPr>
          <w:p w14:paraId="61B0F018"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九</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：非食堂从业人员未经允许进入食品处理区的。</w:t>
            </w:r>
          </w:p>
        </w:tc>
        <w:tc>
          <w:tcPr>
            <w:tcW w:w="1437" w:type="dxa"/>
            <w:vAlign w:val="center"/>
          </w:tcPr>
          <w:p w14:paraId="696A11F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A29BD5D"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CA288F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F28CC83"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99C5C38"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79129E7C" w14:textId="77777777">
        <w:trPr>
          <w:jc w:val="center"/>
        </w:trPr>
        <w:tc>
          <w:tcPr>
            <w:tcW w:w="459" w:type="dxa"/>
            <w:vAlign w:val="center"/>
          </w:tcPr>
          <w:p w14:paraId="1F11CB05"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42</w:t>
            </w:r>
          </w:p>
        </w:tc>
        <w:tc>
          <w:tcPr>
            <w:tcW w:w="6882" w:type="dxa"/>
            <w:vAlign w:val="center"/>
          </w:tcPr>
          <w:p w14:paraId="69B4E16E"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十</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承</w:t>
            </w:r>
            <w:r>
              <w:rPr>
                <w:rFonts w:ascii="宋体" w:eastAsia="宋体" w:hAnsi="宋体" w:cs="宋体" w:hint="eastAsia"/>
                <w:color w:val="000000"/>
                <w:spacing w:val="2"/>
                <w:sz w:val="18"/>
                <w:szCs w:val="18"/>
              </w:rPr>
              <w:t>包经营食堂转包、分包的。</w:t>
            </w:r>
          </w:p>
        </w:tc>
        <w:tc>
          <w:tcPr>
            <w:tcW w:w="1437" w:type="dxa"/>
            <w:vAlign w:val="center"/>
          </w:tcPr>
          <w:p w14:paraId="700B95A9"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98DCE3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BD2470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045211BA"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9B5B4A8"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bl>
    <w:p w14:paraId="2BBE71AC" w14:textId="77777777" w:rsidR="00F730DE" w:rsidRDefault="00F730DE">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p>
    <w:p w14:paraId="2DB54300" w14:textId="77777777" w:rsidR="00F730DE" w:rsidRDefault="00F730DE">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p>
    <w:p w14:paraId="1DAD22A8" w14:textId="77777777" w:rsidR="00F730DE" w:rsidRDefault="00F730DE">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p>
    <w:p w14:paraId="5A8E8EE4"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四、实验实</w:t>
      </w:r>
      <w:proofErr w:type="gramStart"/>
      <w:r>
        <w:rPr>
          <w:rFonts w:ascii="黑体" w:eastAsia="黑体" w:hAnsi="黑体" w:cs="黑体" w:hint="eastAsia"/>
          <w:color w:val="000000"/>
          <w:spacing w:val="-8"/>
          <w:sz w:val="28"/>
          <w:szCs w:val="28"/>
        </w:rPr>
        <w:t>训管理</w:t>
      </w:r>
      <w:proofErr w:type="gramEnd"/>
      <w:r>
        <w:rPr>
          <w:rFonts w:ascii="黑体" w:eastAsia="黑体" w:hAnsi="黑体" w:cs="黑体" w:hint="eastAsia"/>
          <w:color w:val="000000"/>
          <w:spacing w:val="-8"/>
          <w:sz w:val="28"/>
          <w:szCs w:val="28"/>
        </w:rPr>
        <w:t>重大事故隐患</w:t>
      </w:r>
    </w:p>
    <w:p w14:paraId="217D0B1C" w14:textId="77777777" w:rsidR="00F730DE" w:rsidRDefault="008E3A84">
      <w:pPr>
        <w:widowControl/>
        <w:kinsoku w:val="0"/>
        <w:autoSpaceDE w:val="0"/>
        <w:autoSpaceDN w:val="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0B055E58" w14:textId="77777777">
        <w:trPr>
          <w:jc w:val="center"/>
        </w:trPr>
        <w:tc>
          <w:tcPr>
            <w:tcW w:w="459" w:type="dxa"/>
            <w:vAlign w:val="center"/>
          </w:tcPr>
          <w:p w14:paraId="2D46BE41"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79586069"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3AF506E1"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38EA7AF4"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6B35B40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70895C6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365DC181" w14:textId="77777777">
        <w:trPr>
          <w:jc w:val="center"/>
        </w:trPr>
        <w:tc>
          <w:tcPr>
            <w:tcW w:w="459" w:type="dxa"/>
            <w:vAlign w:val="center"/>
          </w:tcPr>
          <w:p w14:paraId="7B70FF4B"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43</w:t>
            </w:r>
          </w:p>
        </w:tc>
        <w:tc>
          <w:tcPr>
            <w:tcW w:w="6882" w:type="dxa"/>
            <w:vAlign w:val="center"/>
          </w:tcPr>
          <w:p w14:paraId="19B6335B"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：未建立健全并落实学校、二级单位和实验室</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实训场所</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安全管理三级责任体系的。</w:t>
            </w:r>
          </w:p>
        </w:tc>
        <w:tc>
          <w:tcPr>
            <w:tcW w:w="1437" w:type="dxa"/>
            <w:vAlign w:val="center"/>
          </w:tcPr>
          <w:p w14:paraId="21712DD7"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查阅资料文件</w:t>
            </w:r>
          </w:p>
        </w:tc>
        <w:tc>
          <w:tcPr>
            <w:tcW w:w="1013" w:type="dxa"/>
            <w:vAlign w:val="center"/>
          </w:tcPr>
          <w:p w14:paraId="491B1B87"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97DC0C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58848889"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0A6BB007"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09DB692D" w14:textId="77777777">
        <w:trPr>
          <w:jc w:val="center"/>
        </w:trPr>
        <w:tc>
          <w:tcPr>
            <w:tcW w:w="459" w:type="dxa"/>
            <w:vAlign w:val="center"/>
          </w:tcPr>
          <w:p w14:paraId="167A35E4"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44</w:t>
            </w:r>
          </w:p>
        </w:tc>
        <w:tc>
          <w:tcPr>
            <w:tcW w:w="6882" w:type="dxa"/>
            <w:vAlign w:val="center"/>
          </w:tcPr>
          <w:p w14:paraId="0B4E2303"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：实验人员在未得到安全准入的条件下进入实验室</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实训场所</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开展实验活动的。</w:t>
            </w:r>
          </w:p>
        </w:tc>
        <w:tc>
          <w:tcPr>
            <w:tcW w:w="1437" w:type="dxa"/>
            <w:vAlign w:val="center"/>
          </w:tcPr>
          <w:p w14:paraId="241A434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A5897A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7EB52AD"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C25CFC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AC09254"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0D858AA4" w14:textId="77777777">
        <w:trPr>
          <w:jc w:val="center"/>
        </w:trPr>
        <w:tc>
          <w:tcPr>
            <w:tcW w:w="459" w:type="dxa"/>
            <w:vAlign w:val="center"/>
          </w:tcPr>
          <w:p w14:paraId="57572F33"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45</w:t>
            </w:r>
          </w:p>
        </w:tc>
        <w:tc>
          <w:tcPr>
            <w:tcW w:w="6882" w:type="dxa"/>
            <w:vAlign w:val="center"/>
          </w:tcPr>
          <w:p w14:paraId="76CB9443"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三</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：未建立实验室</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实训场所</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重要危险源</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包括各类剧毒、易制爆、易制毒、爆炸品等有毒有害化学品，各类易燃、易爆、有毒、窒息、高压等危险气体，动物及病原微生物，辐射源及射线装置，同位素及核材料，危险性机械加工装置，强电强磁与激光设备，特种设备等</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风险管</w:t>
            </w:r>
            <w:proofErr w:type="gramStart"/>
            <w:r>
              <w:rPr>
                <w:rFonts w:ascii="宋体" w:eastAsia="宋体" w:hAnsi="宋体" w:cs="宋体" w:hint="eastAsia"/>
                <w:color w:val="000000"/>
                <w:spacing w:val="2"/>
                <w:sz w:val="18"/>
                <w:szCs w:val="18"/>
              </w:rPr>
              <w:t>控方案</w:t>
            </w:r>
            <w:proofErr w:type="gramEnd"/>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包括但不限于实验室分级分类；高风险等级实验室的备案与监督；制定应急预案并定期演练；按等级实施安全检查、安全培训、安全评估、条件保障等管理</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的。</w:t>
            </w:r>
          </w:p>
        </w:tc>
        <w:tc>
          <w:tcPr>
            <w:tcW w:w="1437" w:type="dxa"/>
            <w:vAlign w:val="center"/>
          </w:tcPr>
          <w:p w14:paraId="66A77366"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t>查阅资料文件</w:t>
            </w:r>
          </w:p>
        </w:tc>
        <w:tc>
          <w:tcPr>
            <w:tcW w:w="1013" w:type="dxa"/>
            <w:vAlign w:val="center"/>
          </w:tcPr>
          <w:p w14:paraId="766EE9E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26F6295"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9FA0D3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E2F432E"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729C323D" w14:textId="77777777">
        <w:trPr>
          <w:jc w:val="center"/>
        </w:trPr>
        <w:tc>
          <w:tcPr>
            <w:tcW w:w="459" w:type="dxa"/>
            <w:vAlign w:val="center"/>
          </w:tcPr>
          <w:p w14:paraId="7E9C61AE"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46</w:t>
            </w:r>
          </w:p>
        </w:tc>
        <w:tc>
          <w:tcPr>
            <w:tcW w:w="6882" w:type="dxa"/>
            <w:vAlign w:val="center"/>
          </w:tcPr>
          <w:p w14:paraId="36B8934D"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spacing w:val="-2"/>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：涉及重要危险源的实验时，未进行安全风险分析及制定相应防护措施的。</w:t>
            </w:r>
          </w:p>
        </w:tc>
        <w:tc>
          <w:tcPr>
            <w:tcW w:w="1437" w:type="dxa"/>
            <w:vAlign w:val="center"/>
          </w:tcPr>
          <w:p w14:paraId="03257DC5"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38EEBC52"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32C2222"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3518D7AB"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7B893B77"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pacing w:val="-2"/>
                <w:sz w:val="18"/>
                <w:szCs w:val="18"/>
              </w:rPr>
            </w:pPr>
          </w:p>
        </w:tc>
      </w:tr>
      <w:tr w:rsidR="00F730DE" w14:paraId="7A609342" w14:textId="77777777">
        <w:trPr>
          <w:jc w:val="center"/>
        </w:trPr>
        <w:tc>
          <w:tcPr>
            <w:tcW w:w="459" w:type="dxa"/>
            <w:vAlign w:val="center"/>
          </w:tcPr>
          <w:p w14:paraId="26A71D03"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47</w:t>
            </w:r>
          </w:p>
        </w:tc>
        <w:tc>
          <w:tcPr>
            <w:tcW w:w="6882" w:type="dxa"/>
            <w:vAlign w:val="center"/>
          </w:tcPr>
          <w:p w14:paraId="419A1A73"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：未经主管部门许可擅自建设、使用、转让涉及重要危险源实验室</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实训场所</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或设备的。</w:t>
            </w:r>
          </w:p>
        </w:tc>
        <w:tc>
          <w:tcPr>
            <w:tcW w:w="1437" w:type="dxa"/>
            <w:vAlign w:val="center"/>
          </w:tcPr>
          <w:p w14:paraId="371E447E"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63E5AA3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F26BD1A"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8AE30FE"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0A2F576E"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6B08AF54" w14:textId="77777777">
        <w:trPr>
          <w:jc w:val="center"/>
        </w:trPr>
        <w:tc>
          <w:tcPr>
            <w:tcW w:w="459" w:type="dxa"/>
            <w:vAlign w:val="center"/>
          </w:tcPr>
          <w:p w14:paraId="7F0D3291"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48</w:t>
            </w:r>
          </w:p>
        </w:tc>
        <w:tc>
          <w:tcPr>
            <w:tcW w:w="6882" w:type="dxa"/>
            <w:vAlign w:val="center"/>
          </w:tcPr>
          <w:p w14:paraId="33ECAD77"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：违规购买、存储、使用、运输、转让或处置重要危险</w:t>
            </w:r>
            <w:r>
              <w:rPr>
                <w:rFonts w:ascii="宋体" w:eastAsia="宋体" w:hAnsi="宋体" w:cs="宋体" w:hint="eastAsia"/>
                <w:color w:val="000000"/>
                <w:spacing w:val="2"/>
                <w:sz w:val="18"/>
                <w:szCs w:val="18"/>
              </w:rPr>
              <w:t>源的。</w:t>
            </w:r>
          </w:p>
        </w:tc>
        <w:tc>
          <w:tcPr>
            <w:tcW w:w="1437" w:type="dxa"/>
            <w:vAlign w:val="center"/>
          </w:tcPr>
          <w:p w14:paraId="38AA553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查阅资料文件</w:t>
            </w:r>
          </w:p>
          <w:p w14:paraId="42F83178"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现场检查</w:t>
            </w:r>
          </w:p>
        </w:tc>
        <w:tc>
          <w:tcPr>
            <w:tcW w:w="1013" w:type="dxa"/>
            <w:vAlign w:val="center"/>
          </w:tcPr>
          <w:p w14:paraId="79D042E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B0FA692"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77BAE5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DEE8784"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67BB253E" w14:textId="77777777">
        <w:trPr>
          <w:jc w:val="center"/>
        </w:trPr>
        <w:tc>
          <w:tcPr>
            <w:tcW w:w="459" w:type="dxa"/>
            <w:vAlign w:val="center"/>
          </w:tcPr>
          <w:p w14:paraId="21986FD9"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49</w:t>
            </w:r>
          </w:p>
        </w:tc>
        <w:tc>
          <w:tcPr>
            <w:tcW w:w="6882" w:type="dxa"/>
            <w:vAlign w:val="center"/>
          </w:tcPr>
          <w:p w14:paraId="725CDED3"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：在实验室</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实训场所</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内使用超出其安全许可范围的实验材料、设备或进行超出其安全等级的实验活动的。</w:t>
            </w:r>
          </w:p>
        </w:tc>
        <w:tc>
          <w:tcPr>
            <w:tcW w:w="1437" w:type="dxa"/>
            <w:vAlign w:val="center"/>
          </w:tcPr>
          <w:p w14:paraId="5C7C74F6"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51CD42BF"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A151ED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79D298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9F53226"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78E792E1" w14:textId="77777777">
        <w:trPr>
          <w:jc w:val="center"/>
        </w:trPr>
        <w:tc>
          <w:tcPr>
            <w:tcW w:w="459" w:type="dxa"/>
            <w:vAlign w:val="center"/>
          </w:tcPr>
          <w:p w14:paraId="71653237"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lastRenderedPageBreak/>
              <w:t>50</w:t>
            </w:r>
          </w:p>
        </w:tc>
        <w:tc>
          <w:tcPr>
            <w:tcW w:w="6882" w:type="dxa"/>
            <w:vAlign w:val="center"/>
          </w:tcPr>
          <w:p w14:paraId="2A50FE99"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八</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：未按法律法规以及行业标准、安全技术规范等规定要求落实重大设施设备</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包括存储剧毒、易制</w:t>
            </w:r>
            <w:proofErr w:type="gramStart"/>
            <w:r>
              <w:rPr>
                <w:rFonts w:ascii="宋体" w:eastAsia="宋体" w:hAnsi="宋体" w:cs="宋体" w:hint="eastAsia"/>
                <w:color w:val="000000"/>
                <w:spacing w:val="2"/>
                <w:sz w:val="18"/>
                <w:szCs w:val="18"/>
              </w:rPr>
              <w:t>爆</w:t>
            </w:r>
            <w:proofErr w:type="gramEnd"/>
            <w:r>
              <w:rPr>
                <w:rFonts w:ascii="宋体" w:eastAsia="宋体" w:hAnsi="宋体" w:cs="宋体" w:hint="eastAsia"/>
                <w:color w:val="000000"/>
                <w:spacing w:val="2"/>
                <w:sz w:val="18"/>
                <w:szCs w:val="18"/>
              </w:rPr>
              <w:t>化学品，</w:t>
            </w:r>
            <w:proofErr w:type="gramStart"/>
            <w:r>
              <w:rPr>
                <w:rFonts w:ascii="宋体" w:eastAsia="宋体" w:hAnsi="宋体" w:cs="宋体" w:hint="eastAsia"/>
                <w:color w:val="000000"/>
                <w:spacing w:val="2"/>
                <w:sz w:val="18"/>
                <w:szCs w:val="18"/>
              </w:rPr>
              <w:t>危废贮存</w:t>
            </w:r>
            <w:proofErr w:type="gramEnd"/>
            <w:r>
              <w:rPr>
                <w:rFonts w:ascii="宋体" w:eastAsia="宋体" w:hAnsi="宋体" w:cs="宋体" w:hint="eastAsia"/>
                <w:color w:val="000000"/>
                <w:spacing w:val="2"/>
                <w:sz w:val="18"/>
                <w:szCs w:val="18"/>
              </w:rPr>
              <w:t>站，备案生物实验室，</w:t>
            </w:r>
            <w:proofErr w:type="gramStart"/>
            <w:r>
              <w:rPr>
                <w:rFonts w:ascii="宋体" w:eastAsia="宋体" w:hAnsi="宋体" w:cs="宋体" w:hint="eastAsia"/>
                <w:color w:val="000000"/>
                <w:spacing w:val="2"/>
                <w:sz w:val="18"/>
                <w:szCs w:val="18"/>
              </w:rPr>
              <w:t>涉源场所</w:t>
            </w:r>
            <w:proofErr w:type="gramEnd"/>
            <w:r>
              <w:rPr>
                <w:rFonts w:ascii="宋体" w:eastAsia="宋体" w:hAnsi="宋体" w:cs="宋体" w:hint="eastAsia"/>
                <w:color w:val="000000"/>
                <w:spacing w:val="2"/>
                <w:sz w:val="18"/>
                <w:szCs w:val="18"/>
              </w:rPr>
              <w:t>，特种设备等设施设备</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定期环评、检测、监测、</w:t>
            </w:r>
            <w:proofErr w:type="gramStart"/>
            <w:r>
              <w:rPr>
                <w:rFonts w:ascii="宋体" w:eastAsia="宋体" w:hAnsi="宋体" w:cs="宋体" w:hint="eastAsia"/>
                <w:color w:val="000000"/>
                <w:spacing w:val="2"/>
                <w:sz w:val="18"/>
                <w:szCs w:val="18"/>
              </w:rPr>
              <w:t>维保的</w:t>
            </w:r>
            <w:proofErr w:type="gramEnd"/>
            <w:r>
              <w:rPr>
                <w:rFonts w:ascii="宋体" w:eastAsia="宋体" w:hAnsi="宋体" w:cs="宋体" w:hint="eastAsia"/>
                <w:color w:val="000000"/>
                <w:spacing w:val="2"/>
                <w:sz w:val="18"/>
                <w:szCs w:val="18"/>
              </w:rPr>
              <w:t>。</w:t>
            </w:r>
          </w:p>
        </w:tc>
        <w:tc>
          <w:tcPr>
            <w:tcW w:w="1437" w:type="dxa"/>
            <w:vAlign w:val="center"/>
          </w:tcPr>
          <w:p w14:paraId="37B6C1E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查阅资料文件</w:t>
            </w:r>
          </w:p>
          <w:p w14:paraId="3C6A14F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现场检查</w:t>
            </w:r>
          </w:p>
        </w:tc>
        <w:tc>
          <w:tcPr>
            <w:tcW w:w="1013" w:type="dxa"/>
            <w:vAlign w:val="center"/>
          </w:tcPr>
          <w:p w14:paraId="78185CB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0619E75"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96F4BDB"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2C00926C"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2A4D5CB6" w14:textId="77777777">
        <w:trPr>
          <w:jc w:val="center"/>
        </w:trPr>
        <w:tc>
          <w:tcPr>
            <w:tcW w:w="459" w:type="dxa"/>
            <w:vAlign w:val="center"/>
          </w:tcPr>
          <w:p w14:paraId="400A2BA3"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51</w:t>
            </w:r>
          </w:p>
        </w:tc>
        <w:tc>
          <w:tcPr>
            <w:tcW w:w="6882" w:type="dxa"/>
            <w:vAlign w:val="center"/>
          </w:tcPr>
          <w:p w14:paraId="2CEF7963"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九</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：实验室</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实训场所</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内超量存放危险化学品；或大量使用危险气体且无气体浓度报警措施或通风设施不合格；或超</w:t>
            </w:r>
            <w:proofErr w:type="gramStart"/>
            <w:r>
              <w:rPr>
                <w:rFonts w:ascii="宋体" w:eastAsia="宋体" w:hAnsi="宋体" w:cs="宋体" w:hint="eastAsia"/>
                <w:color w:val="000000"/>
                <w:spacing w:val="2"/>
                <w:sz w:val="18"/>
                <w:szCs w:val="18"/>
              </w:rPr>
              <w:t>规</w:t>
            </w:r>
            <w:proofErr w:type="gramEnd"/>
            <w:r>
              <w:rPr>
                <w:rFonts w:ascii="宋体" w:eastAsia="宋体" w:hAnsi="宋体" w:cs="宋体" w:hint="eastAsia"/>
                <w:color w:val="000000"/>
                <w:spacing w:val="2"/>
                <w:sz w:val="18"/>
                <w:szCs w:val="18"/>
              </w:rPr>
              <w:t>使用危险设备尤其是大型设备的。</w:t>
            </w:r>
          </w:p>
        </w:tc>
        <w:tc>
          <w:tcPr>
            <w:tcW w:w="1437" w:type="dxa"/>
            <w:vAlign w:val="center"/>
          </w:tcPr>
          <w:p w14:paraId="21310FBB"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现场检查</w:t>
            </w:r>
          </w:p>
        </w:tc>
        <w:tc>
          <w:tcPr>
            <w:tcW w:w="1013" w:type="dxa"/>
            <w:vAlign w:val="center"/>
          </w:tcPr>
          <w:p w14:paraId="23C69B3A"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3517FC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B9AD091"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E94954A"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07386499" w14:textId="77777777">
        <w:trPr>
          <w:jc w:val="center"/>
        </w:trPr>
        <w:tc>
          <w:tcPr>
            <w:tcW w:w="459" w:type="dxa"/>
            <w:vAlign w:val="center"/>
          </w:tcPr>
          <w:p w14:paraId="2D38D762" w14:textId="77777777" w:rsidR="00F730DE" w:rsidRDefault="008E3A84">
            <w:pPr>
              <w:widowControl/>
              <w:kinsoku w:val="0"/>
              <w:autoSpaceDE w:val="0"/>
              <w:autoSpaceDN w:val="0"/>
              <w:adjustRightInd w:val="0"/>
              <w:snapToGrid w:val="0"/>
              <w:jc w:val="center"/>
              <w:textAlignment w:val="baseline"/>
              <w:rPr>
                <w:rFonts w:ascii="宋体" w:eastAsia="宋体" w:hAnsi="宋体" w:cs="宋体"/>
                <w:snapToGrid w:val="0"/>
                <w:color w:val="000000"/>
                <w:kern w:val="0"/>
                <w:sz w:val="18"/>
                <w:szCs w:val="18"/>
              </w:rPr>
            </w:pPr>
            <w:r>
              <w:rPr>
                <w:rFonts w:ascii="宋体" w:eastAsia="宋体" w:hAnsi="宋体" w:cs="宋体" w:hint="eastAsia"/>
                <w:color w:val="000000"/>
                <w:sz w:val="18"/>
                <w:szCs w:val="18"/>
              </w:rPr>
              <w:t>52</w:t>
            </w:r>
          </w:p>
        </w:tc>
        <w:tc>
          <w:tcPr>
            <w:tcW w:w="6882" w:type="dxa"/>
            <w:vAlign w:val="center"/>
          </w:tcPr>
          <w:p w14:paraId="13B398EE"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六</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十</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：实验室未按照行业标准落实应急与急救设施设备的，未配置安全防护用品的。</w:t>
            </w:r>
          </w:p>
        </w:tc>
        <w:tc>
          <w:tcPr>
            <w:tcW w:w="1437" w:type="dxa"/>
            <w:vAlign w:val="center"/>
          </w:tcPr>
          <w:p w14:paraId="78B6E9A7"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0EF42E8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996F6F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55DFC212"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360B51F9"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bl>
    <w:p w14:paraId="113B3CBE"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五、校车及校园交通安全管理重大事故隐患</w:t>
      </w:r>
    </w:p>
    <w:p w14:paraId="0359E3B3" w14:textId="77777777" w:rsidR="00F730DE" w:rsidRDefault="008E3A84">
      <w:pPr>
        <w:widowControl/>
        <w:kinsoku w:val="0"/>
        <w:autoSpaceDE w:val="0"/>
        <w:autoSpaceDN w:val="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103DC411" w14:textId="77777777">
        <w:trPr>
          <w:jc w:val="center"/>
        </w:trPr>
        <w:tc>
          <w:tcPr>
            <w:tcW w:w="459" w:type="dxa"/>
            <w:vAlign w:val="center"/>
          </w:tcPr>
          <w:p w14:paraId="0F9E7B5E"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68F7C0D8"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6B09E4D4"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21AC8488"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7D881ABB"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483AE22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1142F170" w14:textId="77777777">
        <w:trPr>
          <w:jc w:val="center"/>
        </w:trPr>
        <w:tc>
          <w:tcPr>
            <w:tcW w:w="459" w:type="dxa"/>
            <w:vAlign w:val="center"/>
          </w:tcPr>
          <w:p w14:paraId="0F5FF260"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53</w:t>
            </w:r>
          </w:p>
        </w:tc>
        <w:tc>
          <w:tcPr>
            <w:tcW w:w="6882" w:type="dxa"/>
            <w:vAlign w:val="center"/>
          </w:tcPr>
          <w:p w14:paraId="4B21DD39"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一</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：使用未取得校车标牌的车辆提供校车服务，或者使用未取得校车驾驶资格的人员驾驶校车的。</w:t>
            </w:r>
          </w:p>
        </w:tc>
        <w:tc>
          <w:tcPr>
            <w:tcW w:w="1437" w:type="dxa"/>
            <w:vAlign w:val="center"/>
          </w:tcPr>
          <w:p w14:paraId="47429DE5"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查阅相关标牌、证件</w:t>
            </w:r>
          </w:p>
        </w:tc>
        <w:tc>
          <w:tcPr>
            <w:tcW w:w="1013" w:type="dxa"/>
            <w:vAlign w:val="center"/>
          </w:tcPr>
          <w:p w14:paraId="354A0E3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E50728E"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8F1F70B"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686E2B6F"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6278CBB3" w14:textId="77777777">
        <w:trPr>
          <w:jc w:val="center"/>
        </w:trPr>
        <w:tc>
          <w:tcPr>
            <w:tcW w:w="459" w:type="dxa"/>
            <w:vAlign w:val="center"/>
          </w:tcPr>
          <w:p w14:paraId="324E4401"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54</w:t>
            </w:r>
          </w:p>
        </w:tc>
        <w:tc>
          <w:tcPr>
            <w:tcW w:w="6882" w:type="dxa"/>
            <w:vAlign w:val="center"/>
          </w:tcPr>
          <w:p w14:paraId="723F9B35" w14:textId="77777777" w:rsidR="00F730DE" w:rsidRDefault="008E3A84">
            <w:pPr>
              <w:widowControl/>
              <w:kinsoku w:val="0"/>
              <w:autoSpaceDE w:val="0"/>
              <w:autoSpaceDN w:val="0"/>
              <w:adjustRightInd w:val="0"/>
              <w:snapToGrid w:val="0"/>
              <w:textAlignment w:val="baseline"/>
              <w:rPr>
                <w:rFonts w:ascii="Arial" w:eastAsia="宋体"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二</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：配备校车的学校、校车服务提供者未指派照管人员随校车全程照管乘车学生的。</w:t>
            </w:r>
          </w:p>
        </w:tc>
        <w:tc>
          <w:tcPr>
            <w:tcW w:w="1437" w:type="dxa"/>
            <w:vAlign w:val="center"/>
          </w:tcPr>
          <w:p w14:paraId="447C338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随机抽查</w:t>
            </w:r>
          </w:p>
        </w:tc>
        <w:tc>
          <w:tcPr>
            <w:tcW w:w="1013" w:type="dxa"/>
            <w:vAlign w:val="center"/>
          </w:tcPr>
          <w:p w14:paraId="3F6AF9C6"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E0CC80C"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06590C0"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11C48D4C"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495E96E9" w14:textId="77777777">
        <w:trPr>
          <w:jc w:val="center"/>
        </w:trPr>
        <w:tc>
          <w:tcPr>
            <w:tcW w:w="459" w:type="dxa"/>
            <w:vAlign w:val="center"/>
          </w:tcPr>
          <w:p w14:paraId="4101C73C"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55</w:t>
            </w:r>
          </w:p>
        </w:tc>
        <w:tc>
          <w:tcPr>
            <w:tcW w:w="6882" w:type="dxa"/>
            <w:vAlign w:val="center"/>
          </w:tcPr>
          <w:p w14:paraId="33C3A78E"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三</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：未建立完善学校交通安全管理制度，或由校车服务提供者提供校车服务，学校未与校车服务提供者签订校车安全管理责任书，明确各自安全管理责任的。</w:t>
            </w:r>
          </w:p>
        </w:tc>
        <w:tc>
          <w:tcPr>
            <w:tcW w:w="1437" w:type="dxa"/>
            <w:vAlign w:val="center"/>
          </w:tcPr>
          <w:p w14:paraId="4A74116F"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查阅相关资料</w:t>
            </w:r>
          </w:p>
        </w:tc>
        <w:tc>
          <w:tcPr>
            <w:tcW w:w="1013" w:type="dxa"/>
            <w:vAlign w:val="center"/>
          </w:tcPr>
          <w:p w14:paraId="0E5A389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6E98ECD"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BEADBE8"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6389A859"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r w:rsidR="00F730DE" w14:paraId="35FB90E4" w14:textId="77777777">
        <w:trPr>
          <w:jc w:val="center"/>
        </w:trPr>
        <w:tc>
          <w:tcPr>
            <w:tcW w:w="459" w:type="dxa"/>
            <w:vAlign w:val="center"/>
          </w:tcPr>
          <w:p w14:paraId="06708FA4"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56</w:t>
            </w:r>
          </w:p>
        </w:tc>
        <w:tc>
          <w:tcPr>
            <w:tcW w:w="6882" w:type="dxa"/>
            <w:vAlign w:val="center"/>
          </w:tcPr>
          <w:p w14:paraId="7099C9E7"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spacing w:val="-2"/>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四</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：未按照校内功能分区及校内车辆通行需求，分类实施车辆禁行、限行管理的；未实施校内人车分离管理，且学生步行出入口与机动车出入口未在空间或时间上分开设置的。</w:t>
            </w:r>
          </w:p>
        </w:tc>
        <w:tc>
          <w:tcPr>
            <w:tcW w:w="1437" w:type="dxa"/>
            <w:vAlign w:val="center"/>
          </w:tcPr>
          <w:p w14:paraId="4826FB32"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2084013"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0E0C2CC"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C7535CA"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0008E468"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pacing w:val="-2"/>
                <w:sz w:val="18"/>
                <w:szCs w:val="18"/>
              </w:rPr>
            </w:pPr>
          </w:p>
        </w:tc>
      </w:tr>
      <w:tr w:rsidR="00F730DE" w14:paraId="4E83BF1D" w14:textId="77777777">
        <w:trPr>
          <w:jc w:val="center"/>
        </w:trPr>
        <w:tc>
          <w:tcPr>
            <w:tcW w:w="459" w:type="dxa"/>
            <w:vAlign w:val="center"/>
          </w:tcPr>
          <w:p w14:paraId="65E6E611"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57</w:t>
            </w:r>
          </w:p>
        </w:tc>
        <w:tc>
          <w:tcPr>
            <w:tcW w:w="6882" w:type="dxa"/>
            <w:vAlign w:val="center"/>
          </w:tcPr>
          <w:p w14:paraId="4674EE0F" w14:textId="77777777" w:rsidR="00F730DE" w:rsidRDefault="008E3A84">
            <w:pPr>
              <w:widowControl/>
              <w:kinsoku w:val="0"/>
              <w:autoSpaceDE w:val="0"/>
              <w:autoSpaceDN w:val="0"/>
              <w:adjustRightInd w:val="0"/>
              <w:snapToGrid w:val="0"/>
              <w:textAlignment w:val="baseline"/>
              <w:rPr>
                <w:rFonts w:ascii="Arial" w:eastAsia="Arial" w:hAnsi="Arial" w:cs="Arial"/>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
                <w:sz w:val="18"/>
                <w:szCs w:val="18"/>
              </w:rPr>
              <w:t xml:space="preserve"> </w:t>
            </w:r>
            <w:r>
              <w:rPr>
                <w:rFonts w:ascii="宋体" w:eastAsia="宋体" w:hAnsi="宋体" w:cs="宋体" w:hint="eastAsia"/>
                <w:color w:val="000000"/>
                <w:spacing w:val="-2"/>
                <w:sz w:val="18"/>
                <w:szCs w:val="18"/>
              </w:rPr>
              <w:t>第</w:t>
            </w:r>
            <w:r>
              <w:rPr>
                <w:rFonts w:ascii="宋体" w:eastAsia="宋体" w:hAnsi="宋体" w:cs="宋体" w:hint="eastAsia"/>
                <w:color w:val="000000"/>
                <w:spacing w:val="-2"/>
                <w:sz w:val="18"/>
                <w:szCs w:val="18"/>
              </w:rPr>
              <w:t>七</w:t>
            </w:r>
            <w:r>
              <w:rPr>
                <w:rFonts w:ascii="宋体" w:eastAsia="宋体" w:hAnsi="宋体" w:cs="宋体" w:hint="eastAsia"/>
                <w:color w:val="000000"/>
                <w:spacing w:val="-2"/>
                <w:sz w:val="18"/>
                <w:szCs w:val="18"/>
              </w:rPr>
              <w:t>条第</w:t>
            </w:r>
            <w:r>
              <w:rPr>
                <w:rFonts w:ascii="宋体" w:eastAsia="宋体" w:hAnsi="宋体" w:cs="宋体" w:hint="eastAsia"/>
                <w:color w:val="000000"/>
                <w:spacing w:val="-2"/>
                <w:sz w:val="18"/>
                <w:szCs w:val="18"/>
              </w:rPr>
              <w:t>五</w:t>
            </w:r>
            <w:r>
              <w:rPr>
                <w:rFonts w:ascii="宋体" w:eastAsia="宋体" w:hAnsi="宋体" w:cs="宋体" w:hint="eastAsia"/>
                <w:color w:val="000000"/>
                <w:spacing w:val="-2"/>
                <w:sz w:val="18"/>
                <w:szCs w:val="18"/>
              </w:rPr>
              <w:t>项</w:t>
            </w:r>
            <w:r>
              <w:rPr>
                <w:rFonts w:ascii="宋体" w:eastAsia="宋体" w:hAnsi="宋体" w:cs="宋体" w:hint="eastAsia"/>
                <w:color w:val="000000"/>
                <w:spacing w:val="2"/>
                <w:sz w:val="18"/>
                <w:szCs w:val="18"/>
              </w:rPr>
              <w:t>：未设置校门口车辆缓冲区及防冲撞设施</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阻车桩、拒马桩等</w:t>
            </w:r>
            <w:r>
              <w:rPr>
                <w:rFonts w:ascii="宋体" w:eastAsia="宋体" w:hAnsi="宋体" w:cs="宋体" w:hint="eastAsia"/>
                <w:color w:val="000000"/>
                <w:spacing w:val="2"/>
                <w:sz w:val="18"/>
                <w:szCs w:val="18"/>
              </w:rPr>
              <w:t>)</w:t>
            </w:r>
            <w:r>
              <w:rPr>
                <w:rFonts w:ascii="宋体" w:eastAsia="宋体" w:hAnsi="宋体" w:cs="宋体" w:hint="eastAsia"/>
                <w:color w:val="000000"/>
                <w:spacing w:val="2"/>
                <w:sz w:val="18"/>
                <w:szCs w:val="18"/>
              </w:rPr>
              <w:t>的。</w:t>
            </w:r>
          </w:p>
        </w:tc>
        <w:tc>
          <w:tcPr>
            <w:tcW w:w="1437" w:type="dxa"/>
            <w:vAlign w:val="center"/>
          </w:tcPr>
          <w:p w14:paraId="713B7E2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013" w:type="dxa"/>
            <w:vAlign w:val="center"/>
          </w:tcPr>
          <w:p w14:paraId="45A3706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476A2D8D" w14:textId="77777777" w:rsidR="00F730DE" w:rsidRDefault="008E3A84">
            <w:pPr>
              <w:widowControl/>
              <w:kinsoku w:val="0"/>
              <w:autoSpaceDE w:val="0"/>
              <w:autoSpaceDN w:val="0"/>
              <w:adjustRightInd w:val="0"/>
              <w:snapToGrid w:val="0"/>
              <w:jc w:val="left"/>
              <w:textAlignment w:val="baseline"/>
              <w:rPr>
                <w:rFonts w:ascii="Times New Roman" w:eastAsia="宋体" w:hAnsi="Times New Roman" w:cs="Times New Roman"/>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610AC53F" w14:textId="77777777" w:rsidR="00F730DE" w:rsidRDefault="00F730DE">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p>
        </w:tc>
        <w:tc>
          <w:tcPr>
            <w:tcW w:w="1315" w:type="dxa"/>
            <w:vAlign w:val="center"/>
          </w:tcPr>
          <w:p w14:paraId="5DF7C596" w14:textId="77777777" w:rsidR="00F730DE" w:rsidRDefault="00F730DE">
            <w:pPr>
              <w:widowControl/>
              <w:kinsoku w:val="0"/>
              <w:autoSpaceDE w:val="0"/>
              <w:autoSpaceDN w:val="0"/>
              <w:adjustRightInd w:val="0"/>
              <w:snapToGrid w:val="0"/>
              <w:textAlignment w:val="baseline"/>
              <w:rPr>
                <w:rFonts w:ascii="Times New Roman" w:eastAsia="宋体" w:hAnsi="Times New Roman" w:cs="Times New Roman"/>
                <w:color w:val="000000"/>
                <w:sz w:val="18"/>
                <w:szCs w:val="18"/>
              </w:rPr>
            </w:pPr>
          </w:p>
        </w:tc>
      </w:tr>
    </w:tbl>
    <w:p w14:paraId="5A26F23B" w14:textId="77777777" w:rsidR="00F730DE" w:rsidRDefault="00F730DE">
      <w:pPr>
        <w:widowControl/>
        <w:kinsoku w:val="0"/>
        <w:autoSpaceDE w:val="0"/>
        <w:autoSpaceDN w:val="0"/>
        <w:jc w:val="left"/>
        <w:textAlignment w:val="baseline"/>
        <w:rPr>
          <w:rFonts w:ascii="黑体" w:eastAsia="黑体" w:hAnsi="黑体" w:cs="黑体"/>
          <w:color w:val="000000"/>
          <w:spacing w:val="-8"/>
          <w:sz w:val="28"/>
          <w:szCs w:val="28"/>
        </w:rPr>
      </w:pPr>
    </w:p>
    <w:p w14:paraId="4EB6CBD8"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六、危险化学品管理重大事故隐患</w:t>
      </w:r>
    </w:p>
    <w:p w14:paraId="31B8D84B" w14:textId="77777777" w:rsidR="00F730DE" w:rsidRDefault="008E3A84">
      <w:pPr>
        <w:widowControl/>
        <w:kinsoku w:val="0"/>
        <w:autoSpaceDE w:val="0"/>
        <w:autoSpaceDN w:val="0"/>
        <w:ind w:firstLineChars="200" w:firstLine="448"/>
        <w:jc w:val="left"/>
        <w:textAlignment w:val="baseline"/>
        <w:rPr>
          <w:rFonts w:ascii="黑体" w:eastAsia="黑体" w:hAnsi="黑体" w:cs="黑体"/>
          <w:color w:val="000000"/>
          <w:spacing w:val="-8"/>
          <w:sz w:val="28"/>
          <w:szCs w:val="28"/>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1B160432" w14:textId="77777777">
        <w:trPr>
          <w:jc w:val="center"/>
        </w:trPr>
        <w:tc>
          <w:tcPr>
            <w:tcW w:w="459" w:type="dxa"/>
            <w:vAlign w:val="center"/>
          </w:tcPr>
          <w:p w14:paraId="14C43BDA"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64D316A2"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33C4CDC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13B85186"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375AC4F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1DB10648"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7EBE511A" w14:textId="77777777">
        <w:trPr>
          <w:jc w:val="center"/>
        </w:trPr>
        <w:tc>
          <w:tcPr>
            <w:tcW w:w="459" w:type="dxa"/>
            <w:vAlign w:val="center"/>
          </w:tcPr>
          <w:p w14:paraId="13E5D391"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58</w:t>
            </w:r>
          </w:p>
        </w:tc>
        <w:tc>
          <w:tcPr>
            <w:tcW w:w="6882" w:type="dxa"/>
            <w:vAlign w:val="center"/>
          </w:tcPr>
          <w:p w14:paraId="45387D6E"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2"/>
                <w:sz w:val="18"/>
                <w:szCs w:val="18"/>
              </w:rPr>
              <w:t xml:space="preserve"> </w:t>
            </w:r>
            <w:r>
              <w:rPr>
                <w:rFonts w:ascii="宋体" w:eastAsia="宋体" w:hAnsi="宋体" w:cs="宋体" w:hint="eastAsia"/>
                <w:color w:val="000000"/>
                <w:sz w:val="18"/>
                <w:szCs w:val="18"/>
              </w:rPr>
              <w:t>第六条第三项，直接判定为重大事故</w:t>
            </w:r>
            <w:r>
              <w:rPr>
                <w:rFonts w:ascii="宋体" w:eastAsia="宋体" w:hAnsi="宋体" w:cs="宋体" w:hint="eastAsia"/>
                <w:color w:val="000000"/>
                <w:spacing w:val="10"/>
                <w:sz w:val="18"/>
                <w:szCs w:val="18"/>
              </w:rPr>
              <w:t xml:space="preserve"> </w:t>
            </w:r>
            <w:r>
              <w:rPr>
                <w:rFonts w:ascii="宋体" w:eastAsia="宋体" w:hAnsi="宋体" w:cs="宋体" w:hint="eastAsia"/>
                <w:color w:val="000000"/>
                <w:spacing w:val="5"/>
                <w:sz w:val="18"/>
                <w:szCs w:val="18"/>
              </w:rPr>
              <w:t>隐患的情形：未建立实验室</w:t>
            </w:r>
            <w:r>
              <w:rPr>
                <w:rFonts w:ascii="宋体" w:eastAsia="宋体" w:hAnsi="宋体" w:cs="宋体" w:hint="eastAsia"/>
                <w:color w:val="000000"/>
                <w:spacing w:val="5"/>
                <w:sz w:val="18"/>
                <w:szCs w:val="18"/>
              </w:rPr>
              <w:t>(</w:t>
            </w:r>
            <w:proofErr w:type="gramStart"/>
            <w:r>
              <w:rPr>
                <w:rFonts w:ascii="宋体" w:eastAsia="宋体" w:hAnsi="宋体" w:cs="宋体" w:hint="eastAsia"/>
                <w:color w:val="000000"/>
                <w:spacing w:val="5"/>
                <w:sz w:val="18"/>
                <w:szCs w:val="18"/>
              </w:rPr>
              <w:t>实训场</w:t>
            </w:r>
            <w:proofErr w:type="gramEnd"/>
            <w:r>
              <w:rPr>
                <w:rFonts w:ascii="宋体" w:eastAsia="宋体" w:hAnsi="宋体" w:cs="宋体" w:hint="eastAsia"/>
                <w:color w:val="000000"/>
                <w:spacing w:val="12"/>
                <w:sz w:val="18"/>
                <w:szCs w:val="18"/>
              </w:rPr>
              <w:t xml:space="preserve"> </w:t>
            </w:r>
            <w:r>
              <w:rPr>
                <w:rFonts w:ascii="宋体" w:eastAsia="宋体" w:hAnsi="宋体" w:cs="宋体" w:hint="eastAsia"/>
                <w:color w:val="000000"/>
                <w:sz w:val="18"/>
                <w:szCs w:val="18"/>
              </w:rPr>
              <w:t>所</w:t>
            </w:r>
            <w:r>
              <w:rPr>
                <w:rFonts w:ascii="宋体" w:eastAsia="宋体" w:hAnsi="宋体" w:cs="宋体" w:hint="eastAsia"/>
                <w:color w:val="000000"/>
                <w:sz w:val="18"/>
                <w:szCs w:val="18"/>
              </w:rPr>
              <w:t>)</w:t>
            </w:r>
            <w:r>
              <w:rPr>
                <w:rFonts w:ascii="宋体" w:eastAsia="宋体" w:hAnsi="宋体" w:cs="宋体" w:hint="eastAsia"/>
                <w:color w:val="000000"/>
                <w:sz w:val="18"/>
                <w:szCs w:val="18"/>
              </w:rPr>
              <w:t>重要危险</w:t>
            </w:r>
            <w:proofErr w:type="gramStart"/>
            <w:r>
              <w:rPr>
                <w:rFonts w:ascii="宋体" w:eastAsia="宋体" w:hAnsi="宋体" w:cs="宋体" w:hint="eastAsia"/>
                <w:color w:val="000000"/>
                <w:sz w:val="18"/>
                <w:szCs w:val="18"/>
              </w:rPr>
              <w:t>源风险管控方案</w:t>
            </w:r>
            <w:proofErr w:type="gramEnd"/>
            <w:r>
              <w:rPr>
                <w:rFonts w:ascii="宋体" w:eastAsia="宋体" w:hAnsi="宋体" w:cs="宋体" w:hint="eastAsia"/>
                <w:color w:val="000000"/>
                <w:sz w:val="18"/>
                <w:szCs w:val="18"/>
              </w:rPr>
              <w:t>的。</w:t>
            </w:r>
          </w:p>
        </w:tc>
        <w:tc>
          <w:tcPr>
            <w:tcW w:w="1437" w:type="dxa"/>
            <w:vAlign w:val="center"/>
          </w:tcPr>
          <w:p w14:paraId="3F9EEA0A"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t>查阅资料文件</w:t>
            </w:r>
          </w:p>
        </w:tc>
        <w:tc>
          <w:tcPr>
            <w:tcW w:w="1013" w:type="dxa"/>
            <w:vAlign w:val="center"/>
          </w:tcPr>
          <w:p w14:paraId="6F3AAF22"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66E0EE0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563749E1"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655BF0CD"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6119BF7A" w14:textId="77777777">
        <w:trPr>
          <w:jc w:val="center"/>
        </w:trPr>
        <w:tc>
          <w:tcPr>
            <w:tcW w:w="459" w:type="dxa"/>
            <w:vAlign w:val="center"/>
          </w:tcPr>
          <w:p w14:paraId="6DD12191"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59</w:t>
            </w:r>
          </w:p>
        </w:tc>
        <w:tc>
          <w:tcPr>
            <w:tcW w:w="6882" w:type="dxa"/>
            <w:vAlign w:val="center"/>
          </w:tcPr>
          <w:p w14:paraId="47E607B9" w14:textId="77777777" w:rsidR="00F730DE" w:rsidRDefault="008E3A84">
            <w:pPr>
              <w:widowControl/>
              <w:kinsoku w:val="0"/>
              <w:autoSpaceDE w:val="0"/>
              <w:autoSpaceDN w:val="0"/>
              <w:adjustRightInd w:val="0"/>
              <w:snapToGrid w:val="0"/>
              <w:textAlignment w:val="baseline"/>
              <w:rPr>
                <w:rFonts w:ascii="宋体" w:eastAsia="宋体" w:hAnsi="宋体" w:cs="宋体"/>
                <w:color w:val="000000"/>
                <w:spacing w:val="-2"/>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2"/>
                <w:sz w:val="18"/>
                <w:szCs w:val="18"/>
              </w:rPr>
              <w:t xml:space="preserve"> </w:t>
            </w:r>
            <w:r>
              <w:rPr>
                <w:rFonts w:ascii="宋体" w:eastAsia="宋体" w:hAnsi="宋体" w:cs="宋体" w:hint="eastAsia"/>
                <w:color w:val="000000"/>
                <w:spacing w:val="-1"/>
                <w:sz w:val="18"/>
                <w:szCs w:val="18"/>
              </w:rPr>
              <w:t>第六条第六项，直接判定为重大事故</w:t>
            </w:r>
            <w:r>
              <w:rPr>
                <w:rFonts w:ascii="宋体" w:eastAsia="宋体" w:hAnsi="宋体" w:cs="宋体" w:hint="eastAsia"/>
                <w:color w:val="000000"/>
                <w:spacing w:val="6"/>
                <w:sz w:val="18"/>
                <w:szCs w:val="18"/>
              </w:rPr>
              <w:t xml:space="preserve"> </w:t>
            </w:r>
            <w:r>
              <w:rPr>
                <w:rFonts w:ascii="宋体" w:eastAsia="宋体" w:hAnsi="宋体" w:cs="宋体" w:hint="eastAsia"/>
                <w:color w:val="000000"/>
                <w:spacing w:val="1"/>
                <w:sz w:val="18"/>
                <w:szCs w:val="18"/>
              </w:rPr>
              <w:t>隐患的情形：违规购买、存储、使用</w:t>
            </w:r>
            <w:r>
              <w:rPr>
                <w:rFonts w:ascii="宋体" w:eastAsia="宋体" w:hAnsi="宋体" w:cs="宋体" w:hint="eastAsia"/>
                <w:color w:val="000000"/>
                <w:spacing w:val="9"/>
                <w:sz w:val="18"/>
                <w:szCs w:val="18"/>
              </w:rPr>
              <w:t xml:space="preserve"> </w:t>
            </w:r>
            <w:r>
              <w:rPr>
                <w:rFonts w:ascii="宋体" w:eastAsia="宋体" w:hAnsi="宋体" w:cs="宋体" w:hint="eastAsia"/>
                <w:color w:val="000000"/>
                <w:spacing w:val="3"/>
                <w:sz w:val="18"/>
                <w:szCs w:val="18"/>
              </w:rPr>
              <w:t>、运输、转让或处置重要危险源的。</w:t>
            </w:r>
          </w:p>
        </w:tc>
        <w:tc>
          <w:tcPr>
            <w:tcW w:w="1437" w:type="dxa"/>
            <w:vAlign w:val="center"/>
          </w:tcPr>
          <w:p w14:paraId="2D90277B"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t>查阅资料</w:t>
            </w:r>
            <w:r>
              <w:rPr>
                <w:rFonts w:ascii="宋体" w:eastAsia="宋体" w:hAnsi="宋体" w:cs="宋体" w:hint="eastAsia"/>
                <w:color w:val="000000"/>
                <w:spacing w:val="4"/>
                <w:sz w:val="18"/>
                <w:szCs w:val="18"/>
              </w:rPr>
              <w:t>文件、现</w:t>
            </w:r>
            <w:r>
              <w:rPr>
                <w:rFonts w:ascii="宋体" w:eastAsia="宋体" w:hAnsi="宋体" w:cs="宋体" w:hint="eastAsia"/>
                <w:color w:val="000000"/>
                <w:spacing w:val="-2"/>
                <w:sz w:val="18"/>
                <w:szCs w:val="18"/>
              </w:rPr>
              <w:t>场检查</w:t>
            </w:r>
          </w:p>
        </w:tc>
        <w:tc>
          <w:tcPr>
            <w:tcW w:w="1013" w:type="dxa"/>
            <w:vAlign w:val="center"/>
          </w:tcPr>
          <w:p w14:paraId="77AB35E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26B702BB"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1CFDF3A7"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53F253FE"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3B053066" w14:textId="77777777">
        <w:trPr>
          <w:jc w:val="center"/>
        </w:trPr>
        <w:tc>
          <w:tcPr>
            <w:tcW w:w="459" w:type="dxa"/>
            <w:vAlign w:val="center"/>
          </w:tcPr>
          <w:p w14:paraId="40FD89CF"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60</w:t>
            </w:r>
          </w:p>
        </w:tc>
        <w:tc>
          <w:tcPr>
            <w:tcW w:w="6882" w:type="dxa"/>
            <w:vAlign w:val="center"/>
          </w:tcPr>
          <w:p w14:paraId="339AE206" w14:textId="77777777" w:rsidR="00F730DE" w:rsidRDefault="008E3A84">
            <w:pPr>
              <w:widowControl/>
              <w:kinsoku w:val="0"/>
              <w:autoSpaceDE w:val="0"/>
              <w:autoSpaceDN w:val="0"/>
              <w:adjustRightInd w:val="0"/>
              <w:snapToGrid w:val="0"/>
              <w:textAlignment w:val="baseline"/>
              <w:rPr>
                <w:rFonts w:ascii="宋体" w:eastAsia="宋体" w:hAnsi="宋体" w:cs="宋体"/>
                <w:color w:val="000000"/>
                <w:spacing w:val="-2"/>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2"/>
                <w:sz w:val="18"/>
                <w:szCs w:val="18"/>
              </w:rPr>
              <w:t xml:space="preserve"> </w:t>
            </w:r>
            <w:r>
              <w:rPr>
                <w:rFonts w:ascii="宋体" w:eastAsia="宋体" w:hAnsi="宋体" w:cs="宋体" w:hint="eastAsia"/>
                <w:color w:val="000000"/>
                <w:sz w:val="18"/>
                <w:szCs w:val="18"/>
              </w:rPr>
              <w:t>第六条第八项，直接判定为重大事故</w:t>
            </w:r>
            <w:r>
              <w:rPr>
                <w:rFonts w:ascii="宋体" w:eastAsia="宋体" w:hAnsi="宋体" w:cs="宋体" w:hint="eastAsia"/>
                <w:color w:val="000000"/>
                <w:spacing w:val="10"/>
                <w:sz w:val="18"/>
                <w:szCs w:val="18"/>
              </w:rPr>
              <w:t xml:space="preserve"> </w:t>
            </w:r>
            <w:r>
              <w:rPr>
                <w:rFonts w:ascii="宋体" w:eastAsia="宋体" w:hAnsi="宋体" w:cs="宋体" w:hint="eastAsia"/>
                <w:color w:val="000000"/>
                <w:spacing w:val="1"/>
                <w:sz w:val="18"/>
                <w:szCs w:val="18"/>
              </w:rPr>
              <w:t>隐患的情</w:t>
            </w:r>
            <w:r>
              <w:rPr>
                <w:rFonts w:ascii="宋体" w:eastAsia="宋体" w:hAnsi="宋体" w:cs="宋体" w:hint="eastAsia"/>
                <w:color w:val="000000"/>
                <w:spacing w:val="1"/>
                <w:sz w:val="18"/>
                <w:szCs w:val="18"/>
              </w:rPr>
              <w:lastRenderedPageBreak/>
              <w:t>形：未按法律法规以及行业</w:t>
            </w:r>
            <w:r>
              <w:rPr>
                <w:rFonts w:ascii="宋体" w:eastAsia="宋体" w:hAnsi="宋体" w:cs="宋体" w:hint="eastAsia"/>
                <w:color w:val="000000"/>
                <w:spacing w:val="10"/>
                <w:sz w:val="18"/>
                <w:szCs w:val="18"/>
              </w:rPr>
              <w:t xml:space="preserve"> </w:t>
            </w:r>
            <w:r>
              <w:rPr>
                <w:rFonts w:ascii="宋体" w:eastAsia="宋体" w:hAnsi="宋体" w:cs="宋体" w:hint="eastAsia"/>
                <w:color w:val="000000"/>
                <w:spacing w:val="1"/>
                <w:sz w:val="18"/>
                <w:szCs w:val="18"/>
              </w:rPr>
              <w:t>标准、安全技术规范等规定要求落实</w:t>
            </w:r>
            <w:r>
              <w:rPr>
                <w:rFonts w:ascii="宋体" w:eastAsia="宋体" w:hAnsi="宋体" w:cs="宋体" w:hint="eastAsia"/>
                <w:color w:val="000000"/>
                <w:spacing w:val="14"/>
                <w:sz w:val="18"/>
                <w:szCs w:val="18"/>
              </w:rPr>
              <w:t xml:space="preserve"> </w:t>
            </w:r>
            <w:r>
              <w:rPr>
                <w:rFonts w:ascii="宋体" w:eastAsia="宋体" w:hAnsi="宋体" w:cs="宋体" w:hint="eastAsia"/>
                <w:color w:val="000000"/>
                <w:spacing w:val="2"/>
                <w:sz w:val="18"/>
                <w:szCs w:val="18"/>
              </w:rPr>
              <w:t>重大设施设备定期环评、检测、监测</w:t>
            </w:r>
            <w:r>
              <w:rPr>
                <w:rFonts w:ascii="宋体" w:eastAsia="宋体" w:hAnsi="宋体" w:cs="宋体" w:hint="eastAsia"/>
                <w:color w:val="000000"/>
                <w:spacing w:val="4"/>
                <w:sz w:val="18"/>
                <w:szCs w:val="18"/>
              </w:rPr>
              <w:t xml:space="preserve"> </w:t>
            </w:r>
            <w:r>
              <w:rPr>
                <w:rFonts w:ascii="宋体" w:eastAsia="宋体" w:hAnsi="宋体" w:cs="宋体" w:hint="eastAsia"/>
                <w:color w:val="000000"/>
                <w:sz w:val="18"/>
                <w:szCs w:val="18"/>
              </w:rPr>
              <w:t>、</w:t>
            </w:r>
            <w:proofErr w:type="gramStart"/>
            <w:r>
              <w:rPr>
                <w:rFonts w:ascii="宋体" w:eastAsia="宋体" w:hAnsi="宋体" w:cs="宋体" w:hint="eastAsia"/>
                <w:color w:val="000000"/>
                <w:sz w:val="18"/>
                <w:szCs w:val="18"/>
              </w:rPr>
              <w:t>维保的</w:t>
            </w:r>
            <w:proofErr w:type="gramEnd"/>
            <w:r>
              <w:rPr>
                <w:rFonts w:ascii="宋体" w:eastAsia="宋体" w:hAnsi="宋体" w:cs="宋体" w:hint="eastAsia"/>
                <w:color w:val="000000"/>
                <w:sz w:val="18"/>
                <w:szCs w:val="18"/>
              </w:rPr>
              <w:t>。</w:t>
            </w:r>
          </w:p>
        </w:tc>
        <w:tc>
          <w:tcPr>
            <w:tcW w:w="1437" w:type="dxa"/>
            <w:vAlign w:val="center"/>
          </w:tcPr>
          <w:p w14:paraId="4E1568FD"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lastRenderedPageBreak/>
              <w:t>查阅资料</w:t>
            </w:r>
            <w:r>
              <w:rPr>
                <w:rFonts w:ascii="宋体" w:eastAsia="宋体" w:hAnsi="宋体" w:cs="宋体" w:hint="eastAsia"/>
                <w:color w:val="000000"/>
                <w:spacing w:val="2"/>
                <w:sz w:val="18"/>
                <w:szCs w:val="18"/>
              </w:rPr>
              <w:t>文件、</w:t>
            </w:r>
            <w:r>
              <w:rPr>
                <w:rFonts w:ascii="宋体" w:eastAsia="宋体" w:hAnsi="宋体" w:cs="宋体" w:hint="eastAsia"/>
                <w:color w:val="000000"/>
                <w:spacing w:val="2"/>
                <w:sz w:val="18"/>
                <w:szCs w:val="18"/>
              </w:rPr>
              <w:lastRenderedPageBreak/>
              <w:t>现</w:t>
            </w:r>
            <w:r>
              <w:rPr>
                <w:rFonts w:ascii="宋体" w:eastAsia="宋体" w:hAnsi="宋体" w:cs="宋体" w:hint="eastAsia"/>
                <w:color w:val="000000"/>
                <w:spacing w:val="-2"/>
                <w:sz w:val="18"/>
                <w:szCs w:val="18"/>
              </w:rPr>
              <w:t>场检查</w:t>
            </w:r>
          </w:p>
        </w:tc>
        <w:tc>
          <w:tcPr>
            <w:tcW w:w="1013" w:type="dxa"/>
            <w:vAlign w:val="center"/>
          </w:tcPr>
          <w:p w14:paraId="7E90BD0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lastRenderedPageBreak/>
              <w:sym w:font="Wingdings 2" w:char="00A3"/>
            </w:r>
            <w:r>
              <w:rPr>
                <w:rFonts w:ascii="宋体" w:eastAsia="宋体" w:hAnsi="宋体" w:cs="宋体" w:hint="eastAsia"/>
                <w:color w:val="000000"/>
                <w:sz w:val="18"/>
                <w:szCs w:val="18"/>
              </w:rPr>
              <w:t>符合</w:t>
            </w:r>
          </w:p>
          <w:p w14:paraId="1940C2F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lastRenderedPageBreak/>
              <w:sym w:font="Wingdings 2" w:char="00A3"/>
            </w:r>
            <w:r>
              <w:rPr>
                <w:rFonts w:ascii="宋体" w:eastAsia="宋体" w:hAnsi="宋体" w:cs="宋体" w:hint="eastAsia"/>
                <w:color w:val="000000"/>
                <w:sz w:val="18"/>
                <w:szCs w:val="18"/>
              </w:rPr>
              <w:t>不符合</w:t>
            </w:r>
          </w:p>
        </w:tc>
        <w:tc>
          <w:tcPr>
            <w:tcW w:w="2912" w:type="dxa"/>
            <w:vAlign w:val="center"/>
          </w:tcPr>
          <w:p w14:paraId="46222B5A"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50B06314"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305873EB" w14:textId="77777777">
        <w:trPr>
          <w:jc w:val="center"/>
        </w:trPr>
        <w:tc>
          <w:tcPr>
            <w:tcW w:w="459" w:type="dxa"/>
            <w:vAlign w:val="center"/>
          </w:tcPr>
          <w:p w14:paraId="42AE92F4"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lastRenderedPageBreak/>
              <w:t>61</w:t>
            </w:r>
          </w:p>
        </w:tc>
        <w:tc>
          <w:tcPr>
            <w:tcW w:w="6882" w:type="dxa"/>
            <w:vAlign w:val="center"/>
          </w:tcPr>
          <w:p w14:paraId="193B19F6" w14:textId="77777777" w:rsidR="00F730DE" w:rsidRDefault="008E3A84">
            <w:pPr>
              <w:kinsoku w:val="0"/>
              <w:autoSpaceDE w:val="0"/>
              <w:autoSpaceDN w:val="0"/>
              <w:adjustRightInd w:val="0"/>
              <w:snapToGrid w:val="0"/>
              <w:spacing w:before="205" w:line="227" w:lineRule="auto"/>
              <w:ind w:right="88"/>
              <w:textAlignment w:val="baseline"/>
              <w:rPr>
                <w:rFonts w:ascii="宋体" w:eastAsia="宋体" w:hAnsi="宋体" w:cs="宋体"/>
                <w:snapToGrid w:val="0"/>
                <w:color w:val="000000"/>
                <w:spacing w:val="-2"/>
                <w:sz w:val="18"/>
                <w:szCs w:val="18"/>
              </w:rPr>
            </w:pPr>
            <w:r>
              <w:rPr>
                <w:rFonts w:ascii="宋体" w:eastAsia="宋体" w:hAnsi="宋体" w:cs="宋体" w:hint="eastAsia"/>
                <w:snapToGrid w:val="0"/>
                <w:color w:val="000000"/>
                <w:spacing w:val="-2"/>
                <w:sz w:val="18"/>
                <w:szCs w:val="18"/>
              </w:rPr>
              <w:t>《教育系统重大事故隐患判定指南》</w:t>
            </w:r>
            <w:r>
              <w:rPr>
                <w:rFonts w:ascii="宋体" w:eastAsia="宋体" w:hAnsi="宋体" w:cs="宋体" w:hint="eastAsia"/>
                <w:snapToGrid w:val="0"/>
                <w:color w:val="000000"/>
                <w:spacing w:val="12"/>
                <w:sz w:val="18"/>
                <w:szCs w:val="18"/>
              </w:rPr>
              <w:t xml:space="preserve"> </w:t>
            </w:r>
            <w:r>
              <w:rPr>
                <w:rFonts w:ascii="宋体" w:eastAsia="宋体" w:hAnsi="宋体" w:cs="宋体" w:hint="eastAsia"/>
                <w:snapToGrid w:val="0"/>
                <w:color w:val="000000"/>
                <w:sz w:val="18"/>
                <w:szCs w:val="18"/>
              </w:rPr>
              <w:t>第六条第九项，直接判定为重大事故</w:t>
            </w:r>
            <w:r>
              <w:rPr>
                <w:rFonts w:ascii="宋体" w:eastAsia="宋体" w:hAnsi="宋体" w:cs="宋体" w:hint="eastAsia"/>
                <w:snapToGrid w:val="0"/>
                <w:color w:val="000000"/>
                <w:spacing w:val="1"/>
                <w:sz w:val="18"/>
                <w:szCs w:val="18"/>
              </w:rPr>
              <w:t>隐患的情形：实验室</w:t>
            </w:r>
            <w:r>
              <w:rPr>
                <w:rFonts w:ascii="宋体" w:eastAsia="宋体" w:hAnsi="宋体" w:cs="宋体" w:hint="eastAsia"/>
                <w:snapToGrid w:val="0"/>
                <w:color w:val="000000"/>
                <w:spacing w:val="1"/>
                <w:sz w:val="18"/>
                <w:szCs w:val="18"/>
              </w:rPr>
              <w:t>(</w:t>
            </w:r>
            <w:r>
              <w:rPr>
                <w:rFonts w:ascii="宋体" w:eastAsia="宋体" w:hAnsi="宋体" w:cs="宋体" w:hint="eastAsia"/>
                <w:snapToGrid w:val="0"/>
                <w:color w:val="000000"/>
                <w:spacing w:val="1"/>
                <w:sz w:val="18"/>
                <w:szCs w:val="18"/>
              </w:rPr>
              <w:t>实训场所</w:t>
            </w:r>
            <w:r>
              <w:rPr>
                <w:rFonts w:ascii="宋体" w:eastAsia="宋体" w:hAnsi="宋体" w:cs="宋体" w:hint="eastAsia"/>
                <w:snapToGrid w:val="0"/>
                <w:color w:val="000000"/>
                <w:spacing w:val="1"/>
                <w:sz w:val="18"/>
                <w:szCs w:val="18"/>
              </w:rPr>
              <w:t>)</w:t>
            </w:r>
            <w:r>
              <w:rPr>
                <w:rFonts w:ascii="宋体" w:eastAsia="宋体" w:hAnsi="宋体" w:cs="宋体" w:hint="eastAsia"/>
                <w:snapToGrid w:val="0"/>
                <w:color w:val="000000"/>
                <w:spacing w:val="1"/>
                <w:sz w:val="18"/>
                <w:szCs w:val="18"/>
              </w:rPr>
              <w:t>内</w:t>
            </w:r>
            <w:r>
              <w:rPr>
                <w:rFonts w:ascii="宋体" w:eastAsia="宋体" w:hAnsi="宋体" w:cs="宋体" w:hint="eastAsia"/>
                <w:snapToGrid w:val="0"/>
                <w:color w:val="000000"/>
                <w:spacing w:val="-1"/>
                <w:sz w:val="18"/>
                <w:szCs w:val="18"/>
              </w:rPr>
              <w:t>超量存放危险化学品；或大量使用危</w:t>
            </w:r>
            <w:r>
              <w:rPr>
                <w:rFonts w:ascii="宋体" w:eastAsia="宋体" w:hAnsi="宋体" w:cs="宋体" w:hint="eastAsia"/>
                <w:snapToGrid w:val="0"/>
                <w:color w:val="000000"/>
                <w:spacing w:val="7"/>
                <w:sz w:val="18"/>
                <w:szCs w:val="18"/>
              </w:rPr>
              <w:t xml:space="preserve"> </w:t>
            </w:r>
            <w:r>
              <w:rPr>
                <w:rFonts w:ascii="宋体" w:eastAsia="宋体" w:hAnsi="宋体" w:cs="宋体" w:hint="eastAsia"/>
                <w:snapToGrid w:val="0"/>
                <w:color w:val="000000"/>
                <w:spacing w:val="3"/>
                <w:sz w:val="18"/>
                <w:szCs w:val="18"/>
              </w:rPr>
              <w:t>险气体且无气体浓度报警措施或通风</w:t>
            </w:r>
            <w:r>
              <w:rPr>
                <w:rFonts w:ascii="宋体" w:eastAsia="宋体" w:hAnsi="宋体" w:cs="宋体" w:hint="eastAsia"/>
                <w:snapToGrid w:val="0"/>
                <w:color w:val="000000"/>
                <w:spacing w:val="1"/>
                <w:sz w:val="18"/>
                <w:szCs w:val="18"/>
              </w:rPr>
              <w:t xml:space="preserve"> </w:t>
            </w:r>
            <w:r>
              <w:rPr>
                <w:rFonts w:ascii="宋体" w:eastAsia="宋体" w:hAnsi="宋体" w:cs="宋体" w:hint="eastAsia"/>
                <w:snapToGrid w:val="0"/>
                <w:color w:val="000000"/>
                <w:spacing w:val="3"/>
                <w:sz w:val="18"/>
                <w:szCs w:val="18"/>
              </w:rPr>
              <w:t>设施不合格；或超</w:t>
            </w:r>
            <w:proofErr w:type="gramStart"/>
            <w:r>
              <w:rPr>
                <w:rFonts w:ascii="宋体" w:eastAsia="宋体" w:hAnsi="宋体" w:cs="宋体" w:hint="eastAsia"/>
                <w:snapToGrid w:val="0"/>
                <w:color w:val="000000"/>
                <w:spacing w:val="3"/>
                <w:sz w:val="18"/>
                <w:szCs w:val="18"/>
              </w:rPr>
              <w:t>规</w:t>
            </w:r>
            <w:proofErr w:type="gramEnd"/>
            <w:r>
              <w:rPr>
                <w:rFonts w:ascii="宋体" w:eastAsia="宋体" w:hAnsi="宋体" w:cs="宋体" w:hint="eastAsia"/>
                <w:snapToGrid w:val="0"/>
                <w:color w:val="000000"/>
                <w:spacing w:val="3"/>
                <w:sz w:val="18"/>
                <w:szCs w:val="18"/>
              </w:rPr>
              <w:t>使用危险设备尤</w:t>
            </w:r>
            <w:r>
              <w:rPr>
                <w:rFonts w:ascii="宋体" w:eastAsia="宋体" w:hAnsi="宋体" w:cs="宋体" w:hint="eastAsia"/>
                <w:snapToGrid w:val="0"/>
                <w:color w:val="000000"/>
                <w:sz w:val="18"/>
                <w:szCs w:val="18"/>
              </w:rPr>
              <w:t xml:space="preserve"> </w:t>
            </w:r>
            <w:r>
              <w:rPr>
                <w:rFonts w:ascii="宋体" w:eastAsia="宋体" w:hAnsi="宋体" w:cs="宋体" w:hint="eastAsia"/>
                <w:snapToGrid w:val="0"/>
                <w:color w:val="000000"/>
                <w:sz w:val="18"/>
                <w:szCs w:val="18"/>
              </w:rPr>
              <w:t>其大型设备的。</w:t>
            </w:r>
          </w:p>
        </w:tc>
        <w:tc>
          <w:tcPr>
            <w:tcW w:w="1437" w:type="dxa"/>
            <w:vAlign w:val="center"/>
          </w:tcPr>
          <w:p w14:paraId="01917CF9"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2"/>
                <w:sz w:val="18"/>
                <w:szCs w:val="18"/>
              </w:rPr>
              <w:t>现场检查</w:t>
            </w:r>
          </w:p>
        </w:tc>
        <w:tc>
          <w:tcPr>
            <w:tcW w:w="1013" w:type="dxa"/>
            <w:vAlign w:val="center"/>
          </w:tcPr>
          <w:p w14:paraId="4C4C7EA9"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EE596A4"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D69F41F"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665366F2"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bl>
    <w:p w14:paraId="61F39AF3"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七、燃气管理重大事故隐患</w:t>
      </w:r>
    </w:p>
    <w:p w14:paraId="23428C55" w14:textId="77777777" w:rsidR="00F730DE" w:rsidRDefault="008E3A84">
      <w:pPr>
        <w:widowControl/>
        <w:kinsoku w:val="0"/>
        <w:autoSpaceDE w:val="0"/>
        <w:autoSpaceDN w:val="0"/>
        <w:ind w:firstLineChars="200" w:firstLine="448"/>
        <w:jc w:val="left"/>
        <w:textAlignment w:val="baseline"/>
        <w:rPr>
          <w:rFonts w:ascii="楷体" w:eastAsia="楷体" w:hAnsi="楷体" w:cs="楷体"/>
          <w:color w:val="000000"/>
          <w:spacing w:val="-8"/>
          <w:sz w:val="24"/>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1ED23117" w14:textId="77777777">
        <w:trPr>
          <w:jc w:val="center"/>
        </w:trPr>
        <w:tc>
          <w:tcPr>
            <w:tcW w:w="459" w:type="dxa"/>
            <w:vAlign w:val="center"/>
          </w:tcPr>
          <w:p w14:paraId="28410F59"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36D1607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1BBE548D"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0977AA96"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0A40E7A3"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7398C035"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09FC8219" w14:textId="77777777">
        <w:trPr>
          <w:jc w:val="center"/>
        </w:trPr>
        <w:tc>
          <w:tcPr>
            <w:tcW w:w="459" w:type="dxa"/>
            <w:vAlign w:val="center"/>
          </w:tcPr>
          <w:p w14:paraId="3BF0E0DE"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62</w:t>
            </w:r>
          </w:p>
        </w:tc>
        <w:tc>
          <w:tcPr>
            <w:tcW w:w="6882" w:type="dxa"/>
            <w:vAlign w:val="center"/>
          </w:tcPr>
          <w:p w14:paraId="62B287C6"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2"/>
                <w:sz w:val="18"/>
                <w:szCs w:val="18"/>
              </w:rPr>
              <w:t xml:space="preserve"> </w:t>
            </w:r>
            <w:r>
              <w:rPr>
                <w:rFonts w:ascii="宋体" w:eastAsia="宋体" w:hAnsi="宋体" w:cs="宋体" w:hint="eastAsia"/>
                <w:color w:val="000000"/>
                <w:sz w:val="18"/>
                <w:szCs w:val="18"/>
              </w:rPr>
              <w:t>第六条第三项，直接判定为重大事故</w:t>
            </w:r>
            <w:r>
              <w:rPr>
                <w:rFonts w:ascii="宋体" w:eastAsia="宋体" w:hAnsi="宋体" w:cs="宋体" w:hint="eastAsia"/>
                <w:color w:val="000000"/>
                <w:spacing w:val="10"/>
                <w:sz w:val="18"/>
                <w:szCs w:val="18"/>
              </w:rPr>
              <w:t xml:space="preserve"> </w:t>
            </w:r>
            <w:r>
              <w:rPr>
                <w:rFonts w:ascii="宋体" w:eastAsia="宋体" w:hAnsi="宋体" w:cs="宋体" w:hint="eastAsia"/>
                <w:color w:val="000000"/>
                <w:spacing w:val="5"/>
                <w:sz w:val="18"/>
                <w:szCs w:val="18"/>
              </w:rPr>
              <w:t>隐患的情形：未建立实验室</w:t>
            </w:r>
            <w:r>
              <w:rPr>
                <w:rFonts w:ascii="宋体" w:eastAsia="宋体" w:hAnsi="宋体" w:cs="宋体" w:hint="eastAsia"/>
                <w:color w:val="000000"/>
                <w:spacing w:val="5"/>
                <w:sz w:val="18"/>
                <w:szCs w:val="18"/>
              </w:rPr>
              <w:t>(</w:t>
            </w:r>
            <w:proofErr w:type="gramStart"/>
            <w:r>
              <w:rPr>
                <w:rFonts w:ascii="宋体" w:eastAsia="宋体" w:hAnsi="宋体" w:cs="宋体" w:hint="eastAsia"/>
                <w:color w:val="000000"/>
                <w:spacing w:val="5"/>
                <w:sz w:val="18"/>
                <w:szCs w:val="18"/>
              </w:rPr>
              <w:t>实训场</w:t>
            </w:r>
            <w:proofErr w:type="gramEnd"/>
            <w:r>
              <w:rPr>
                <w:rFonts w:ascii="宋体" w:eastAsia="宋体" w:hAnsi="宋体" w:cs="宋体" w:hint="eastAsia"/>
                <w:color w:val="000000"/>
                <w:spacing w:val="12"/>
                <w:sz w:val="18"/>
                <w:szCs w:val="18"/>
              </w:rPr>
              <w:t xml:space="preserve"> </w:t>
            </w:r>
            <w:r>
              <w:rPr>
                <w:rFonts w:ascii="宋体" w:eastAsia="宋体" w:hAnsi="宋体" w:cs="宋体" w:hint="eastAsia"/>
                <w:color w:val="000000"/>
                <w:sz w:val="18"/>
                <w:szCs w:val="18"/>
              </w:rPr>
              <w:t>所</w:t>
            </w:r>
            <w:r>
              <w:rPr>
                <w:rFonts w:ascii="宋体" w:eastAsia="宋体" w:hAnsi="宋体" w:cs="宋体" w:hint="eastAsia"/>
                <w:color w:val="000000"/>
                <w:sz w:val="18"/>
                <w:szCs w:val="18"/>
              </w:rPr>
              <w:t>)</w:t>
            </w:r>
            <w:r>
              <w:rPr>
                <w:rFonts w:ascii="宋体" w:eastAsia="宋体" w:hAnsi="宋体" w:cs="宋体" w:hint="eastAsia"/>
                <w:color w:val="000000"/>
                <w:sz w:val="18"/>
                <w:szCs w:val="18"/>
              </w:rPr>
              <w:t>重要危险</w:t>
            </w:r>
            <w:proofErr w:type="gramStart"/>
            <w:r>
              <w:rPr>
                <w:rFonts w:ascii="宋体" w:eastAsia="宋体" w:hAnsi="宋体" w:cs="宋体" w:hint="eastAsia"/>
                <w:color w:val="000000"/>
                <w:sz w:val="18"/>
                <w:szCs w:val="18"/>
              </w:rPr>
              <w:t>源风险管控方案</w:t>
            </w:r>
            <w:proofErr w:type="gramEnd"/>
            <w:r>
              <w:rPr>
                <w:rFonts w:ascii="宋体" w:eastAsia="宋体" w:hAnsi="宋体" w:cs="宋体" w:hint="eastAsia"/>
                <w:color w:val="000000"/>
                <w:sz w:val="18"/>
                <w:szCs w:val="18"/>
              </w:rPr>
              <w:t>的。</w:t>
            </w:r>
          </w:p>
        </w:tc>
        <w:tc>
          <w:tcPr>
            <w:tcW w:w="1437" w:type="dxa"/>
            <w:vAlign w:val="center"/>
          </w:tcPr>
          <w:p w14:paraId="23FD1B7A"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t>查阅资料文件</w:t>
            </w:r>
          </w:p>
        </w:tc>
        <w:tc>
          <w:tcPr>
            <w:tcW w:w="1013" w:type="dxa"/>
            <w:vAlign w:val="center"/>
          </w:tcPr>
          <w:p w14:paraId="263134E4"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7969BF0"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005E681C"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393B4046"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7890BB27" w14:textId="77777777">
        <w:trPr>
          <w:jc w:val="center"/>
        </w:trPr>
        <w:tc>
          <w:tcPr>
            <w:tcW w:w="459" w:type="dxa"/>
            <w:vAlign w:val="center"/>
          </w:tcPr>
          <w:p w14:paraId="0ACF949E"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63</w:t>
            </w:r>
          </w:p>
        </w:tc>
        <w:tc>
          <w:tcPr>
            <w:tcW w:w="6882" w:type="dxa"/>
            <w:vAlign w:val="center"/>
          </w:tcPr>
          <w:p w14:paraId="357022F7" w14:textId="77777777" w:rsidR="00F730DE" w:rsidRDefault="008E3A84">
            <w:pPr>
              <w:widowControl/>
              <w:kinsoku w:val="0"/>
              <w:autoSpaceDE w:val="0"/>
              <w:autoSpaceDN w:val="0"/>
              <w:adjustRightInd w:val="0"/>
              <w:snapToGrid w:val="0"/>
              <w:textAlignment w:val="baseline"/>
              <w:rPr>
                <w:rFonts w:ascii="宋体" w:eastAsia="宋体" w:hAnsi="宋体" w:cs="宋体"/>
                <w:color w:val="000000"/>
                <w:spacing w:val="-2"/>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2"/>
                <w:sz w:val="18"/>
                <w:szCs w:val="18"/>
              </w:rPr>
              <w:t xml:space="preserve"> </w:t>
            </w:r>
            <w:r>
              <w:rPr>
                <w:rFonts w:ascii="宋体" w:eastAsia="宋体" w:hAnsi="宋体" w:cs="宋体" w:hint="eastAsia"/>
                <w:color w:val="000000"/>
                <w:spacing w:val="-1"/>
                <w:sz w:val="18"/>
                <w:szCs w:val="18"/>
              </w:rPr>
              <w:t>第六条第六项，直接判定为重大事故</w:t>
            </w:r>
            <w:r>
              <w:rPr>
                <w:rFonts w:ascii="宋体" w:eastAsia="宋体" w:hAnsi="宋体" w:cs="宋体" w:hint="eastAsia"/>
                <w:color w:val="000000"/>
                <w:spacing w:val="6"/>
                <w:sz w:val="18"/>
                <w:szCs w:val="18"/>
              </w:rPr>
              <w:t xml:space="preserve"> </w:t>
            </w:r>
            <w:r>
              <w:rPr>
                <w:rFonts w:ascii="宋体" w:eastAsia="宋体" w:hAnsi="宋体" w:cs="宋体" w:hint="eastAsia"/>
                <w:color w:val="000000"/>
                <w:spacing w:val="1"/>
                <w:sz w:val="18"/>
                <w:szCs w:val="18"/>
              </w:rPr>
              <w:t>隐患的情形：违规购买、存储、使用</w:t>
            </w:r>
            <w:r>
              <w:rPr>
                <w:rFonts w:ascii="宋体" w:eastAsia="宋体" w:hAnsi="宋体" w:cs="宋体" w:hint="eastAsia"/>
                <w:color w:val="000000"/>
                <w:spacing w:val="9"/>
                <w:sz w:val="18"/>
                <w:szCs w:val="18"/>
              </w:rPr>
              <w:t xml:space="preserve"> </w:t>
            </w:r>
            <w:r>
              <w:rPr>
                <w:rFonts w:ascii="宋体" w:eastAsia="宋体" w:hAnsi="宋体" w:cs="宋体" w:hint="eastAsia"/>
                <w:color w:val="000000"/>
                <w:spacing w:val="3"/>
                <w:sz w:val="18"/>
                <w:szCs w:val="18"/>
              </w:rPr>
              <w:t>、运输、转让或处置重要危险源的。</w:t>
            </w:r>
          </w:p>
        </w:tc>
        <w:tc>
          <w:tcPr>
            <w:tcW w:w="1437" w:type="dxa"/>
            <w:vAlign w:val="center"/>
          </w:tcPr>
          <w:p w14:paraId="181CF6AD"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t>查阅资料</w:t>
            </w:r>
            <w:r>
              <w:rPr>
                <w:rFonts w:ascii="宋体" w:eastAsia="宋体" w:hAnsi="宋体" w:cs="宋体" w:hint="eastAsia"/>
                <w:color w:val="000000"/>
                <w:spacing w:val="4"/>
                <w:sz w:val="18"/>
                <w:szCs w:val="18"/>
              </w:rPr>
              <w:t>文件、现</w:t>
            </w:r>
            <w:r>
              <w:rPr>
                <w:rFonts w:ascii="宋体" w:eastAsia="宋体" w:hAnsi="宋体" w:cs="宋体" w:hint="eastAsia"/>
                <w:color w:val="000000"/>
                <w:spacing w:val="-2"/>
                <w:sz w:val="18"/>
                <w:szCs w:val="18"/>
              </w:rPr>
              <w:t>场检查</w:t>
            </w:r>
          </w:p>
        </w:tc>
        <w:tc>
          <w:tcPr>
            <w:tcW w:w="1013" w:type="dxa"/>
            <w:vAlign w:val="center"/>
          </w:tcPr>
          <w:p w14:paraId="5FF0AC0D"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97CABF4"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C842B6D"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765C4C58"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0EB35A37" w14:textId="77777777">
        <w:trPr>
          <w:jc w:val="center"/>
        </w:trPr>
        <w:tc>
          <w:tcPr>
            <w:tcW w:w="459" w:type="dxa"/>
            <w:vAlign w:val="center"/>
          </w:tcPr>
          <w:p w14:paraId="3102F984"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64</w:t>
            </w:r>
          </w:p>
        </w:tc>
        <w:tc>
          <w:tcPr>
            <w:tcW w:w="6882" w:type="dxa"/>
            <w:vAlign w:val="center"/>
          </w:tcPr>
          <w:p w14:paraId="4E6CA970" w14:textId="77777777" w:rsidR="00F730DE" w:rsidRDefault="008E3A84">
            <w:pPr>
              <w:widowControl/>
              <w:kinsoku w:val="0"/>
              <w:autoSpaceDE w:val="0"/>
              <w:autoSpaceDN w:val="0"/>
              <w:adjustRightInd w:val="0"/>
              <w:snapToGrid w:val="0"/>
              <w:textAlignment w:val="baseline"/>
              <w:rPr>
                <w:rFonts w:ascii="宋体" w:eastAsia="宋体" w:hAnsi="宋体" w:cs="宋体"/>
                <w:color w:val="000000"/>
                <w:spacing w:val="-2"/>
                <w:sz w:val="18"/>
                <w:szCs w:val="18"/>
              </w:rPr>
            </w:pPr>
            <w:r>
              <w:rPr>
                <w:rFonts w:ascii="宋体" w:eastAsia="宋体" w:hAnsi="宋体" w:cs="宋体" w:hint="eastAsia"/>
                <w:color w:val="000000"/>
                <w:spacing w:val="-2"/>
                <w:sz w:val="18"/>
                <w:szCs w:val="18"/>
              </w:rPr>
              <w:t>《教育系统重大事故隐患判定指南》</w:t>
            </w:r>
            <w:r>
              <w:rPr>
                <w:rFonts w:ascii="宋体" w:eastAsia="宋体" w:hAnsi="宋体" w:cs="宋体" w:hint="eastAsia"/>
                <w:color w:val="000000"/>
                <w:spacing w:val="12"/>
                <w:sz w:val="18"/>
                <w:szCs w:val="18"/>
              </w:rPr>
              <w:t xml:space="preserve"> </w:t>
            </w:r>
            <w:r>
              <w:rPr>
                <w:rFonts w:ascii="宋体" w:eastAsia="宋体" w:hAnsi="宋体" w:cs="宋体" w:hint="eastAsia"/>
                <w:color w:val="000000"/>
                <w:sz w:val="18"/>
                <w:szCs w:val="18"/>
              </w:rPr>
              <w:t>第六条第八项，直接判定为重大事故</w:t>
            </w:r>
            <w:r>
              <w:rPr>
                <w:rFonts w:ascii="宋体" w:eastAsia="宋体" w:hAnsi="宋体" w:cs="宋体" w:hint="eastAsia"/>
                <w:color w:val="000000"/>
                <w:spacing w:val="10"/>
                <w:sz w:val="18"/>
                <w:szCs w:val="18"/>
              </w:rPr>
              <w:t xml:space="preserve"> </w:t>
            </w:r>
            <w:r>
              <w:rPr>
                <w:rFonts w:ascii="宋体" w:eastAsia="宋体" w:hAnsi="宋体" w:cs="宋体" w:hint="eastAsia"/>
                <w:color w:val="000000"/>
                <w:spacing w:val="1"/>
                <w:sz w:val="18"/>
                <w:szCs w:val="18"/>
              </w:rPr>
              <w:t>隐患的情形：未按法律法规以及行业</w:t>
            </w:r>
            <w:r>
              <w:rPr>
                <w:rFonts w:ascii="宋体" w:eastAsia="宋体" w:hAnsi="宋体" w:cs="宋体" w:hint="eastAsia"/>
                <w:color w:val="000000"/>
                <w:spacing w:val="10"/>
                <w:sz w:val="18"/>
                <w:szCs w:val="18"/>
              </w:rPr>
              <w:t xml:space="preserve"> </w:t>
            </w:r>
            <w:r>
              <w:rPr>
                <w:rFonts w:ascii="宋体" w:eastAsia="宋体" w:hAnsi="宋体" w:cs="宋体" w:hint="eastAsia"/>
                <w:color w:val="000000"/>
                <w:spacing w:val="1"/>
                <w:sz w:val="18"/>
                <w:szCs w:val="18"/>
              </w:rPr>
              <w:t>标准、安全技术规范等规定要求落实</w:t>
            </w:r>
            <w:r>
              <w:rPr>
                <w:rFonts w:ascii="宋体" w:eastAsia="宋体" w:hAnsi="宋体" w:cs="宋体" w:hint="eastAsia"/>
                <w:color w:val="000000"/>
                <w:spacing w:val="14"/>
                <w:sz w:val="18"/>
                <w:szCs w:val="18"/>
              </w:rPr>
              <w:t xml:space="preserve"> </w:t>
            </w:r>
            <w:r>
              <w:rPr>
                <w:rFonts w:ascii="宋体" w:eastAsia="宋体" w:hAnsi="宋体" w:cs="宋体" w:hint="eastAsia"/>
                <w:color w:val="000000"/>
                <w:spacing w:val="2"/>
                <w:sz w:val="18"/>
                <w:szCs w:val="18"/>
              </w:rPr>
              <w:t>重大设施设备定期环评、检测、监测</w:t>
            </w:r>
            <w:r>
              <w:rPr>
                <w:rFonts w:ascii="宋体" w:eastAsia="宋体" w:hAnsi="宋体" w:cs="宋体" w:hint="eastAsia"/>
                <w:color w:val="000000"/>
                <w:spacing w:val="4"/>
                <w:sz w:val="18"/>
                <w:szCs w:val="18"/>
              </w:rPr>
              <w:t xml:space="preserve"> </w:t>
            </w:r>
            <w:r>
              <w:rPr>
                <w:rFonts w:ascii="宋体" w:eastAsia="宋体" w:hAnsi="宋体" w:cs="宋体" w:hint="eastAsia"/>
                <w:color w:val="000000"/>
                <w:sz w:val="18"/>
                <w:szCs w:val="18"/>
              </w:rPr>
              <w:t>、</w:t>
            </w:r>
            <w:proofErr w:type="gramStart"/>
            <w:r>
              <w:rPr>
                <w:rFonts w:ascii="宋体" w:eastAsia="宋体" w:hAnsi="宋体" w:cs="宋体" w:hint="eastAsia"/>
                <w:color w:val="000000"/>
                <w:sz w:val="18"/>
                <w:szCs w:val="18"/>
              </w:rPr>
              <w:t>维保的</w:t>
            </w:r>
            <w:proofErr w:type="gramEnd"/>
            <w:r>
              <w:rPr>
                <w:rFonts w:ascii="宋体" w:eastAsia="宋体" w:hAnsi="宋体" w:cs="宋体" w:hint="eastAsia"/>
                <w:color w:val="000000"/>
                <w:sz w:val="18"/>
                <w:szCs w:val="18"/>
              </w:rPr>
              <w:t>。</w:t>
            </w:r>
          </w:p>
        </w:tc>
        <w:tc>
          <w:tcPr>
            <w:tcW w:w="1437" w:type="dxa"/>
            <w:vAlign w:val="center"/>
          </w:tcPr>
          <w:p w14:paraId="57DBAD73"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t>查阅资料</w:t>
            </w:r>
            <w:r>
              <w:rPr>
                <w:rFonts w:ascii="宋体" w:eastAsia="宋体" w:hAnsi="宋体" w:cs="宋体" w:hint="eastAsia"/>
                <w:color w:val="000000"/>
                <w:spacing w:val="2"/>
                <w:sz w:val="18"/>
                <w:szCs w:val="18"/>
              </w:rPr>
              <w:t>文件、现</w:t>
            </w:r>
            <w:r>
              <w:rPr>
                <w:rFonts w:ascii="宋体" w:eastAsia="宋体" w:hAnsi="宋体" w:cs="宋体" w:hint="eastAsia"/>
                <w:color w:val="000000"/>
                <w:spacing w:val="-2"/>
                <w:sz w:val="18"/>
                <w:szCs w:val="18"/>
              </w:rPr>
              <w:t>场检查</w:t>
            </w:r>
          </w:p>
        </w:tc>
        <w:tc>
          <w:tcPr>
            <w:tcW w:w="1013" w:type="dxa"/>
            <w:vAlign w:val="center"/>
          </w:tcPr>
          <w:p w14:paraId="06BD0525"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3D8E443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79207247"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7F9CFAF8"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r w:rsidR="00F730DE" w14:paraId="47F2B9EE" w14:textId="77777777">
        <w:trPr>
          <w:jc w:val="center"/>
        </w:trPr>
        <w:tc>
          <w:tcPr>
            <w:tcW w:w="459" w:type="dxa"/>
            <w:vAlign w:val="center"/>
          </w:tcPr>
          <w:p w14:paraId="7F9CD54E"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65</w:t>
            </w:r>
          </w:p>
        </w:tc>
        <w:tc>
          <w:tcPr>
            <w:tcW w:w="6882" w:type="dxa"/>
            <w:vAlign w:val="center"/>
          </w:tcPr>
          <w:p w14:paraId="155AAD20" w14:textId="77777777" w:rsidR="00F730DE" w:rsidRDefault="008E3A84">
            <w:pPr>
              <w:kinsoku w:val="0"/>
              <w:autoSpaceDE w:val="0"/>
              <w:autoSpaceDN w:val="0"/>
              <w:adjustRightInd w:val="0"/>
              <w:snapToGrid w:val="0"/>
              <w:spacing w:before="205" w:line="227" w:lineRule="auto"/>
              <w:ind w:right="88"/>
              <w:textAlignment w:val="baseline"/>
              <w:rPr>
                <w:rFonts w:ascii="宋体" w:eastAsia="宋体" w:hAnsi="宋体" w:cs="宋体"/>
                <w:snapToGrid w:val="0"/>
                <w:color w:val="000000"/>
                <w:spacing w:val="-2"/>
                <w:sz w:val="18"/>
                <w:szCs w:val="18"/>
              </w:rPr>
            </w:pPr>
            <w:r>
              <w:rPr>
                <w:rFonts w:ascii="宋体" w:eastAsia="宋体" w:hAnsi="宋体" w:cs="宋体" w:hint="eastAsia"/>
                <w:snapToGrid w:val="0"/>
                <w:color w:val="000000"/>
                <w:spacing w:val="-2"/>
                <w:sz w:val="18"/>
                <w:szCs w:val="18"/>
              </w:rPr>
              <w:t>《教育系统重大事故隐患判定指南》</w:t>
            </w:r>
            <w:r>
              <w:rPr>
                <w:rFonts w:ascii="宋体" w:eastAsia="宋体" w:hAnsi="宋体" w:cs="宋体" w:hint="eastAsia"/>
                <w:snapToGrid w:val="0"/>
                <w:color w:val="000000"/>
                <w:spacing w:val="12"/>
                <w:sz w:val="18"/>
                <w:szCs w:val="18"/>
              </w:rPr>
              <w:t xml:space="preserve"> </w:t>
            </w:r>
            <w:r>
              <w:rPr>
                <w:rFonts w:ascii="宋体" w:eastAsia="宋体" w:hAnsi="宋体" w:cs="宋体" w:hint="eastAsia"/>
                <w:snapToGrid w:val="0"/>
                <w:color w:val="000000"/>
                <w:sz w:val="18"/>
                <w:szCs w:val="18"/>
              </w:rPr>
              <w:t>第六条第九项，直接判定为重大事故</w:t>
            </w:r>
            <w:r>
              <w:rPr>
                <w:rFonts w:ascii="宋体" w:eastAsia="宋体" w:hAnsi="宋体" w:cs="宋体" w:hint="eastAsia"/>
                <w:snapToGrid w:val="0"/>
                <w:color w:val="000000"/>
                <w:spacing w:val="1"/>
                <w:sz w:val="18"/>
                <w:szCs w:val="18"/>
              </w:rPr>
              <w:t>隐患的情形：实验室</w:t>
            </w:r>
            <w:r>
              <w:rPr>
                <w:rFonts w:ascii="宋体" w:eastAsia="宋体" w:hAnsi="宋体" w:cs="宋体" w:hint="eastAsia"/>
                <w:snapToGrid w:val="0"/>
                <w:color w:val="000000"/>
                <w:spacing w:val="1"/>
                <w:sz w:val="18"/>
                <w:szCs w:val="18"/>
              </w:rPr>
              <w:t>(</w:t>
            </w:r>
            <w:r>
              <w:rPr>
                <w:rFonts w:ascii="宋体" w:eastAsia="宋体" w:hAnsi="宋体" w:cs="宋体" w:hint="eastAsia"/>
                <w:snapToGrid w:val="0"/>
                <w:color w:val="000000"/>
                <w:spacing w:val="1"/>
                <w:sz w:val="18"/>
                <w:szCs w:val="18"/>
              </w:rPr>
              <w:t>实训场所</w:t>
            </w:r>
            <w:r>
              <w:rPr>
                <w:rFonts w:ascii="宋体" w:eastAsia="宋体" w:hAnsi="宋体" w:cs="宋体" w:hint="eastAsia"/>
                <w:snapToGrid w:val="0"/>
                <w:color w:val="000000"/>
                <w:spacing w:val="1"/>
                <w:sz w:val="18"/>
                <w:szCs w:val="18"/>
              </w:rPr>
              <w:t>)</w:t>
            </w:r>
            <w:r>
              <w:rPr>
                <w:rFonts w:ascii="宋体" w:eastAsia="宋体" w:hAnsi="宋体" w:cs="宋体" w:hint="eastAsia"/>
                <w:snapToGrid w:val="0"/>
                <w:color w:val="000000"/>
                <w:spacing w:val="1"/>
                <w:sz w:val="18"/>
                <w:szCs w:val="18"/>
              </w:rPr>
              <w:t>内</w:t>
            </w:r>
            <w:r>
              <w:rPr>
                <w:rFonts w:ascii="宋体" w:eastAsia="宋体" w:hAnsi="宋体" w:cs="宋体" w:hint="eastAsia"/>
                <w:snapToGrid w:val="0"/>
                <w:color w:val="000000"/>
                <w:spacing w:val="-1"/>
                <w:sz w:val="18"/>
                <w:szCs w:val="18"/>
              </w:rPr>
              <w:t>超量存放危险化学品；或大量使用危</w:t>
            </w:r>
            <w:r>
              <w:rPr>
                <w:rFonts w:ascii="宋体" w:eastAsia="宋体" w:hAnsi="宋体" w:cs="宋体" w:hint="eastAsia"/>
                <w:snapToGrid w:val="0"/>
                <w:color w:val="000000"/>
                <w:spacing w:val="7"/>
                <w:sz w:val="18"/>
                <w:szCs w:val="18"/>
              </w:rPr>
              <w:t xml:space="preserve"> </w:t>
            </w:r>
            <w:r>
              <w:rPr>
                <w:rFonts w:ascii="宋体" w:eastAsia="宋体" w:hAnsi="宋体" w:cs="宋体" w:hint="eastAsia"/>
                <w:snapToGrid w:val="0"/>
                <w:color w:val="000000"/>
                <w:spacing w:val="3"/>
                <w:sz w:val="18"/>
                <w:szCs w:val="18"/>
              </w:rPr>
              <w:t>险气体且无气体浓度报警措施或通风</w:t>
            </w:r>
            <w:r>
              <w:rPr>
                <w:rFonts w:ascii="宋体" w:eastAsia="宋体" w:hAnsi="宋体" w:cs="宋体" w:hint="eastAsia"/>
                <w:snapToGrid w:val="0"/>
                <w:color w:val="000000"/>
                <w:spacing w:val="1"/>
                <w:sz w:val="18"/>
                <w:szCs w:val="18"/>
              </w:rPr>
              <w:t xml:space="preserve"> </w:t>
            </w:r>
            <w:r>
              <w:rPr>
                <w:rFonts w:ascii="宋体" w:eastAsia="宋体" w:hAnsi="宋体" w:cs="宋体" w:hint="eastAsia"/>
                <w:snapToGrid w:val="0"/>
                <w:color w:val="000000"/>
                <w:spacing w:val="3"/>
                <w:sz w:val="18"/>
                <w:szCs w:val="18"/>
              </w:rPr>
              <w:t>设施不合格；或超</w:t>
            </w:r>
            <w:proofErr w:type="gramStart"/>
            <w:r>
              <w:rPr>
                <w:rFonts w:ascii="宋体" w:eastAsia="宋体" w:hAnsi="宋体" w:cs="宋体" w:hint="eastAsia"/>
                <w:snapToGrid w:val="0"/>
                <w:color w:val="000000"/>
                <w:spacing w:val="3"/>
                <w:sz w:val="18"/>
                <w:szCs w:val="18"/>
              </w:rPr>
              <w:t>规</w:t>
            </w:r>
            <w:proofErr w:type="gramEnd"/>
            <w:r>
              <w:rPr>
                <w:rFonts w:ascii="宋体" w:eastAsia="宋体" w:hAnsi="宋体" w:cs="宋体" w:hint="eastAsia"/>
                <w:snapToGrid w:val="0"/>
                <w:color w:val="000000"/>
                <w:spacing w:val="3"/>
                <w:sz w:val="18"/>
                <w:szCs w:val="18"/>
              </w:rPr>
              <w:t>使用危险设备尤</w:t>
            </w:r>
            <w:r>
              <w:rPr>
                <w:rFonts w:ascii="宋体" w:eastAsia="宋体" w:hAnsi="宋体" w:cs="宋体" w:hint="eastAsia"/>
                <w:snapToGrid w:val="0"/>
                <w:color w:val="000000"/>
                <w:sz w:val="18"/>
                <w:szCs w:val="18"/>
              </w:rPr>
              <w:t xml:space="preserve"> </w:t>
            </w:r>
            <w:r>
              <w:rPr>
                <w:rFonts w:ascii="宋体" w:eastAsia="宋体" w:hAnsi="宋体" w:cs="宋体" w:hint="eastAsia"/>
                <w:snapToGrid w:val="0"/>
                <w:color w:val="000000"/>
                <w:sz w:val="18"/>
                <w:szCs w:val="18"/>
              </w:rPr>
              <w:t>其大型设备的。</w:t>
            </w:r>
          </w:p>
        </w:tc>
        <w:tc>
          <w:tcPr>
            <w:tcW w:w="1437" w:type="dxa"/>
            <w:vAlign w:val="center"/>
          </w:tcPr>
          <w:p w14:paraId="77900337"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2"/>
                <w:sz w:val="18"/>
                <w:szCs w:val="18"/>
              </w:rPr>
              <w:t>现场检查</w:t>
            </w:r>
          </w:p>
        </w:tc>
        <w:tc>
          <w:tcPr>
            <w:tcW w:w="1013" w:type="dxa"/>
            <w:vAlign w:val="center"/>
          </w:tcPr>
          <w:p w14:paraId="10E1DF88"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17D627CC"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459F9413"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2D6C4176"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bl>
    <w:p w14:paraId="3475B117" w14:textId="77777777" w:rsidR="00F730DE" w:rsidRDefault="00F730DE">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p>
    <w:p w14:paraId="46863613" w14:textId="77777777" w:rsidR="00F730DE" w:rsidRDefault="008E3A84">
      <w:pPr>
        <w:widowControl/>
        <w:kinsoku w:val="0"/>
        <w:autoSpaceDE w:val="0"/>
        <w:autoSpaceDN w:val="0"/>
        <w:ind w:firstLineChars="200" w:firstLine="528"/>
        <w:jc w:val="left"/>
        <w:textAlignment w:val="baseline"/>
        <w:rPr>
          <w:rFonts w:ascii="黑体" w:eastAsia="黑体" w:hAnsi="黑体" w:cs="黑体"/>
          <w:color w:val="000000"/>
          <w:spacing w:val="-8"/>
          <w:sz w:val="28"/>
          <w:szCs w:val="28"/>
        </w:rPr>
      </w:pPr>
      <w:r>
        <w:rPr>
          <w:rFonts w:ascii="黑体" w:eastAsia="黑体" w:hAnsi="黑体" w:cs="黑体" w:hint="eastAsia"/>
          <w:color w:val="000000"/>
          <w:spacing w:val="-8"/>
          <w:sz w:val="28"/>
          <w:szCs w:val="28"/>
        </w:rPr>
        <w:t>八、特种装备重大事故隐患</w:t>
      </w:r>
    </w:p>
    <w:p w14:paraId="04E46E53" w14:textId="77777777" w:rsidR="00F730DE" w:rsidRDefault="008E3A84">
      <w:pPr>
        <w:widowControl/>
        <w:kinsoku w:val="0"/>
        <w:autoSpaceDE w:val="0"/>
        <w:autoSpaceDN w:val="0"/>
        <w:ind w:firstLineChars="200" w:firstLine="448"/>
        <w:jc w:val="left"/>
        <w:textAlignment w:val="baseline"/>
        <w:rPr>
          <w:rFonts w:ascii="黑体" w:eastAsia="黑体" w:hAnsi="黑体" w:cs="黑体"/>
          <w:color w:val="000000"/>
          <w:spacing w:val="-8"/>
          <w:sz w:val="28"/>
          <w:szCs w:val="28"/>
        </w:rPr>
      </w:pPr>
      <w:r>
        <w:rPr>
          <w:rFonts w:ascii="楷体" w:eastAsia="楷体" w:hAnsi="楷体" w:cs="楷体" w:hint="eastAsia"/>
          <w:color w:val="000000"/>
          <w:spacing w:val="-8"/>
          <w:sz w:val="24"/>
        </w:rPr>
        <w:t>（一）直接判定（存在以下行为之一的，应直接判定为重大事故隐患）</w:t>
      </w:r>
    </w:p>
    <w:tbl>
      <w:tblPr>
        <w:tblStyle w:val="a4"/>
        <w:tblW w:w="14018" w:type="dxa"/>
        <w:jc w:val="center"/>
        <w:tblInd w:w="0" w:type="dxa"/>
        <w:tblCellMar>
          <w:top w:w="0" w:type="dxa"/>
          <w:left w:w="108" w:type="dxa"/>
          <w:bottom w:w="0" w:type="dxa"/>
          <w:right w:w="108" w:type="dxa"/>
        </w:tblCellMar>
        <w:tblLook w:val="04A0" w:firstRow="1" w:lastRow="0" w:firstColumn="1" w:lastColumn="0" w:noHBand="0" w:noVBand="1"/>
      </w:tblPr>
      <w:tblGrid>
        <w:gridCol w:w="459"/>
        <w:gridCol w:w="6882"/>
        <w:gridCol w:w="1437"/>
        <w:gridCol w:w="1013"/>
        <w:gridCol w:w="2912"/>
        <w:gridCol w:w="1315"/>
      </w:tblGrid>
      <w:tr w:rsidR="00F730DE" w14:paraId="1C4876C2" w14:textId="77777777">
        <w:trPr>
          <w:jc w:val="center"/>
        </w:trPr>
        <w:tc>
          <w:tcPr>
            <w:tcW w:w="459" w:type="dxa"/>
            <w:vAlign w:val="center"/>
          </w:tcPr>
          <w:p w14:paraId="2C2F0F1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序号</w:t>
            </w:r>
          </w:p>
        </w:tc>
        <w:tc>
          <w:tcPr>
            <w:tcW w:w="6882" w:type="dxa"/>
            <w:vAlign w:val="center"/>
          </w:tcPr>
          <w:p w14:paraId="4A8675D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检查内容及依据</w:t>
            </w:r>
          </w:p>
        </w:tc>
        <w:tc>
          <w:tcPr>
            <w:tcW w:w="1437" w:type="dxa"/>
            <w:vAlign w:val="center"/>
          </w:tcPr>
          <w:p w14:paraId="0900A1B8"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检查方式</w:t>
            </w:r>
          </w:p>
        </w:tc>
        <w:tc>
          <w:tcPr>
            <w:tcW w:w="1013" w:type="dxa"/>
            <w:vAlign w:val="center"/>
          </w:tcPr>
          <w:p w14:paraId="72DFF002"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检查结果</w:t>
            </w:r>
          </w:p>
        </w:tc>
        <w:tc>
          <w:tcPr>
            <w:tcW w:w="2912" w:type="dxa"/>
            <w:vAlign w:val="center"/>
          </w:tcPr>
          <w:p w14:paraId="0AFDF39C"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问题描述</w:t>
            </w:r>
          </w:p>
        </w:tc>
        <w:tc>
          <w:tcPr>
            <w:tcW w:w="1315" w:type="dxa"/>
            <w:vAlign w:val="center"/>
          </w:tcPr>
          <w:p w14:paraId="6D6142A0" w14:textId="77777777" w:rsidR="00F730DE" w:rsidRDefault="008E3A84">
            <w:pPr>
              <w:widowControl/>
              <w:kinsoku w:val="0"/>
              <w:autoSpaceDE w:val="0"/>
              <w:autoSpaceDN w:val="0"/>
              <w:adjustRightInd w:val="0"/>
              <w:snapToGrid w:val="0"/>
              <w:jc w:val="center"/>
              <w:textAlignment w:val="baseline"/>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备注</w:t>
            </w:r>
          </w:p>
        </w:tc>
      </w:tr>
      <w:tr w:rsidR="00F730DE" w14:paraId="1426E184" w14:textId="77777777">
        <w:trPr>
          <w:jc w:val="center"/>
        </w:trPr>
        <w:tc>
          <w:tcPr>
            <w:tcW w:w="459" w:type="dxa"/>
            <w:vAlign w:val="center"/>
          </w:tcPr>
          <w:p w14:paraId="75307703"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z w:val="18"/>
                <w:szCs w:val="18"/>
              </w:rPr>
              <w:t>66</w:t>
            </w:r>
          </w:p>
        </w:tc>
        <w:tc>
          <w:tcPr>
            <w:tcW w:w="6882" w:type="dxa"/>
            <w:vAlign w:val="center"/>
          </w:tcPr>
          <w:p w14:paraId="60161458" w14:textId="77777777" w:rsidR="00F730DE" w:rsidRDefault="008E3A84">
            <w:pPr>
              <w:widowControl/>
              <w:kinsoku w:val="0"/>
              <w:autoSpaceDE w:val="0"/>
              <w:autoSpaceDN w:val="0"/>
              <w:adjustRightInd w:val="0"/>
              <w:snapToGrid w:val="0"/>
              <w:textAlignment w:val="baseline"/>
              <w:rPr>
                <w:rFonts w:ascii="宋体" w:eastAsia="宋体" w:hAnsi="宋体" w:cs="宋体"/>
                <w:snapToGrid w:val="0"/>
                <w:color w:val="000000"/>
                <w:kern w:val="0"/>
                <w:sz w:val="18"/>
                <w:szCs w:val="18"/>
              </w:rPr>
            </w:pPr>
            <w:r>
              <w:rPr>
                <w:rFonts w:ascii="Times New Roman" w:eastAsia="宋体" w:hAnsi="Times New Roman" w:cs="Times New Roman"/>
                <w:color w:val="000000"/>
                <w:spacing w:val="-2"/>
                <w:sz w:val="18"/>
                <w:szCs w:val="18"/>
              </w:rPr>
              <w:t>《教育系统重大事故隐患判定指南》</w:t>
            </w:r>
            <w:r>
              <w:rPr>
                <w:rFonts w:ascii="Times New Roman" w:eastAsia="宋体" w:hAnsi="Times New Roman" w:cs="Times New Roman"/>
                <w:color w:val="000000"/>
                <w:spacing w:val="12"/>
                <w:sz w:val="18"/>
                <w:szCs w:val="18"/>
              </w:rPr>
              <w:t xml:space="preserve"> </w:t>
            </w:r>
            <w:r>
              <w:rPr>
                <w:rFonts w:ascii="Times New Roman" w:eastAsia="宋体" w:hAnsi="Times New Roman" w:cs="Times New Roman"/>
                <w:color w:val="000000"/>
                <w:sz w:val="18"/>
                <w:szCs w:val="18"/>
              </w:rPr>
              <w:t>第六条第八项，直接判定为重大事故</w:t>
            </w:r>
            <w:r>
              <w:rPr>
                <w:rFonts w:ascii="Times New Roman" w:eastAsia="宋体" w:hAnsi="Times New Roman" w:cs="Times New Roman"/>
                <w:color w:val="000000"/>
                <w:spacing w:val="10"/>
                <w:sz w:val="18"/>
                <w:szCs w:val="18"/>
              </w:rPr>
              <w:t xml:space="preserve"> </w:t>
            </w:r>
            <w:r>
              <w:rPr>
                <w:rFonts w:ascii="Times New Roman" w:eastAsia="宋体" w:hAnsi="Times New Roman" w:cs="Times New Roman"/>
                <w:color w:val="000000"/>
                <w:spacing w:val="1"/>
                <w:sz w:val="18"/>
                <w:szCs w:val="18"/>
              </w:rPr>
              <w:t>隐患的情形：未按法律法规以及行业</w:t>
            </w:r>
            <w:r>
              <w:rPr>
                <w:rFonts w:ascii="Times New Roman" w:eastAsia="宋体" w:hAnsi="Times New Roman" w:cs="Times New Roman"/>
                <w:color w:val="000000"/>
                <w:spacing w:val="10"/>
                <w:sz w:val="18"/>
                <w:szCs w:val="18"/>
              </w:rPr>
              <w:t xml:space="preserve"> </w:t>
            </w:r>
            <w:r>
              <w:rPr>
                <w:rFonts w:ascii="Times New Roman" w:eastAsia="宋体" w:hAnsi="Times New Roman" w:cs="Times New Roman"/>
                <w:color w:val="000000"/>
                <w:spacing w:val="1"/>
                <w:sz w:val="18"/>
                <w:szCs w:val="18"/>
              </w:rPr>
              <w:t>标准、安全技术规范等规定要求落实</w:t>
            </w:r>
            <w:r>
              <w:rPr>
                <w:rFonts w:ascii="Times New Roman" w:eastAsia="宋体" w:hAnsi="Times New Roman" w:cs="Times New Roman"/>
                <w:color w:val="000000"/>
                <w:spacing w:val="14"/>
                <w:sz w:val="18"/>
                <w:szCs w:val="18"/>
              </w:rPr>
              <w:t xml:space="preserve"> </w:t>
            </w:r>
            <w:r>
              <w:rPr>
                <w:rFonts w:ascii="Times New Roman" w:eastAsia="宋体" w:hAnsi="Times New Roman" w:cs="Times New Roman"/>
                <w:color w:val="000000"/>
                <w:spacing w:val="2"/>
                <w:sz w:val="18"/>
                <w:szCs w:val="18"/>
              </w:rPr>
              <w:t>重大设施设备定期环评、检测、监测</w:t>
            </w:r>
            <w:r>
              <w:rPr>
                <w:rFonts w:ascii="Times New Roman" w:eastAsia="宋体" w:hAnsi="Times New Roman" w:cs="Times New Roman"/>
                <w:color w:val="000000"/>
                <w:spacing w:val="4"/>
                <w:sz w:val="18"/>
                <w:szCs w:val="18"/>
              </w:rPr>
              <w:t xml:space="preserve"> </w:t>
            </w:r>
            <w:r>
              <w:rPr>
                <w:rFonts w:ascii="Times New Roman" w:eastAsia="宋体" w:hAnsi="Times New Roman" w:cs="Times New Roman"/>
                <w:color w:val="000000"/>
                <w:sz w:val="18"/>
                <w:szCs w:val="18"/>
              </w:rPr>
              <w:t>、</w:t>
            </w:r>
            <w:proofErr w:type="gramStart"/>
            <w:r>
              <w:rPr>
                <w:rFonts w:ascii="Times New Roman" w:eastAsia="宋体" w:hAnsi="Times New Roman" w:cs="Times New Roman"/>
                <w:color w:val="000000"/>
                <w:sz w:val="18"/>
                <w:szCs w:val="18"/>
              </w:rPr>
              <w:t>维保的</w:t>
            </w:r>
            <w:proofErr w:type="gramEnd"/>
            <w:r>
              <w:rPr>
                <w:rFonts w:ascii="Times New Roman" w:eastAsia="宋体" w:hAnsi="Times New Roman" w:cs="Times New Roman"/>
                <w:color w:val="000000"/>
                <w:sz w:val="18"/>
                <w:szCs w:val="18"/>
              </w:rPr>
              <w:t>。</w:t>
            </w:r>
          </w:p>
        </w:tc>
        <w:tc>
          <w:tcPr>
            <w:tcW w:w="1437" w:type="dxa"/>
            <w:vAlign w:val="center"/>
          </w:tcPr>
          <w:p w14:paraId="4CB3398C" w14:textId="77777777" w:rsidR="00F730DE" w:rsidRDefault="008E3A84">
            <w:pPr>
              <w:widowControl/>
              <w:kinsoku w:val="0"/>
              <w:autoSpaceDE w:val="0"/>
              <w:autoSpaceDN w:val="0"/>
              <w:adjustRightInd w:val="0"/>
              <w:snapToGrid w:val="0"/>
              <w:jc w:val="center"/>
              <w:textAlignment w:val="baseline"/>
              <w:rPr>
                <w:rFonts w:ascii="宋体" w:eastAsia="宋体" w:hAnsi="宋体" w:cs="宋体"/>
                <w:color w:val="000000"/>
                <w:sz w:val="18"/>
                <w:szCs w:val="18"/>
              </w:rPr>
            </w:pPr>
            <w:r>
              <w:rPr>
                <w:rFonts w:ascii="宋体" w:eastAsia="宋体" w:hAnsi="宋体" w:cs="宋体" w:hint="eastAsia"/>
                <w:color w:val="000000"/>
                <w:spacing w:val="-3"/>
                <w:sz w:val="18"/>
                <w:szCs w:val="18"/>
              </w:rPr>
              <w:t>查阅资料</w:t>
            </w:r>
            <w:r>
              <w:rPr>
                <w:rFonts w:ascii="宋体" w:eastAsia="宋体" w:hAnsi="宋体" w:cs="宋体" w:hint="eastAsia"/>
                <w:color w:val="000000"/>
                <w:spacing w:val="2"/>
                <w:sz w:val="18"/>
                <w:szCs w:val="18"/>
              </w:rPr>
              <w:t>文件、现</w:t>
            </w:r>
            <w:r>
              <w:rPr>
                <w:rFonts w:ascii="宋体" w:eastAsia="宋体" w:hAnsi="宋体" w:cs="宋体" w:hint="eastAsia"/>
                <w:color w:val="000000"/>
                <w:spacing w:val="-2"/>
                <w:sz w:val="18"/>
                <w:szCs w:val="18"/>
              </w:rPr>
              <w:t>场检查</w:t>
            </w:r>
          </w:p>
        </w:tc>
        <w:tc>
          <w:tcPr>
            <w:tcW w:w="1013" w:type="dxa"/>
            <w:vAlign w:val="center"/>
          </w:tcPr>
          <w:p w14:paraId="2504D0D3"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符合</w:t>
            </w:r>
          </w:p>
          <w:p w14:paraId="7DD14381" w14:textId="77777777" w:rsidR="00F730DE" w:rsidRDefault="008E3A84">
            <w:pPr>
              <w:widowControl/>
              <w:kinsoku w:val="0"/>
              <w:autoSpaceDE w:val="0"/>
              <w:autoSpaceDN w:val="0"/>
              <w:adjustRightInd w:val="0"/>
              <w:snapToGrid w:val="0"/>
              <w:jc w:val="left"/>
              <w:textAlignment w:val="baseline"/>
              <w:rPr>
                <w:rFonts w:ascii="宋体" w:eastAsia="宋体" w:hAnsi="宋体" w:cs="宋体"/>
                <w:color w:val="000000"/>
                <w:sz w:val="18"/>
                <w:szCs w:val="18"/>
              </w:rPr>
            </w:pPr>
            <w:r>
              <w:rPr>
                <w:rFonts w:ascii="宋体" w:eastAsia="宋体" w:hAnsi="宋体" w:cs="宋体" w:hint="eastAsia"/>
                <w:color w:val="000000"/>
                <w:sz w:val="18"/>
                <w:szCs w:val="18"/>
              </w:rPr>
              <w:sym w:font="Wingdings 2" w:char="00A3"/>
            </w:r>
            <w:r>
              <w:rPr>
                <w:rFonts w:ascii="宋体" w:eastAsia="宋体" w:hAnsi="宋体" w:cs="宋体" w:hint="eastAsia"/>
                <w:color w:val="000000"/>
                <w:sz w:val="18"/>
                <w:szCs w:val="18"/>
              </w:rPr>
              <w:t>不符合</w:t>
            </w:r>
          </w:p>
        </w:tc>
        <w:tc>
          <w:tcPr>
            <w:tcW w:w="2912" w:type="dxa"/>
            <w:vAlign w:val="center"/>
          </w:tcPr>
          <w:p w14:paraId="2F01B6A3" w14:textId="77777777" w:rsidR="00F730DE" w:rsidRDefault="00F730DE">
            <w:pPr>
              <w:widowControl/>
              <w:kinsoku w:val="0"/>
              <w:autoSpaceDE w:val="0"/>
              <w:autoSpaceDN w:val="0"/>
              <w:adjustRightInd w:val="0"/>
              <w:snapToGrid w:val="0"/>
              <w:jc w:val="center"/>
              <w:textAlignment w:val="baseline"/>
              <w:rPr>
                <w:rFonts w:ascii="宋体" w:eastAsia="宋体" w:hAnsi="宋体" w:cs="宋体"/>
                <w:color w:val="000000"/>
                <w:sz w:val="18"/>
                <w:szCs w:val="18"/>
              </w:rPr>
            </w:pPr>
          </w:p>
        </w:tc>
        <w:tc>
          <w:tcPr>
            <w:tcW w:w="1315" w:type="dxa"/>
            <w:vAlign w:val="center"/>
          </w:tcPr>
          <w:p w14:paraId="52E9259C" w14:textId="77777777" w:rsidR="00F730DE" w:rsidRDefault="00F730DE">
            <w:pPr>
              <w:widowControl/>
              <w:kinsoku w:val="0"/>
              <w:autoSpaceDE w:val="0"/>
              <w:autoSpaceDN w:val="0"/>
              <w:adjustRightInd w:val="0"/>
              <w:snapToGrid w:val="0"/>
              <w:textAlignment w:val="baseline"/>
              <w:rPr>
                <w:rFonts w:ascii="宋体" w:eastAsia="宋体" w:hAnsi="宋体" w:cs="宋体"/>
                <w:color w:val="000000"/>
                <w:sz w:val="18"/>
                <w:szCs w:val="18"/>
              </w:rPr>
            </w:pPr>
          </w:p>
        </w:tc>
      </w:tr>
    </w:tbl>
    <w:p w14:paraId="0831C2CE" w14:textId="77777777" w:rsidR="00F730DE" w:rsidRDefault="00F730DE">
      <w:pPr>
        <w:widowControl/>
        <w:kinsoku w:val="0"/>
        <w:autoSpaceDE w:val="0"/>
        <w:autoSpaceDN w:val="0"/>
        <w:adjustRightInd w:val="0"/>
        <w:snapToGrid w:val="0"/>
        <w:spacing w:line="360" w:lineRule="auto"/>
        <w:ind w:firstLine="489"/>
        <w:textAlignment w:val="baseline"/>
        <w:rPr>
          <w:rFonts w:ascii="宋体" w:eastAsia="宋体" w:hAnsi="宋体" w:cs="宋体"/>
          <w:snapToGrid w:val="0"/>
          <w:color w:val="000000"/>
          <w:spacing w:val="1"/>
          <w:kern w:val="0"/>
          <w:sz w:val="28"/>
          <w:szCs w:val="28"/>
          <w:lang w:eastAsia="en-US"/>
        </w:rPr>
      </w:pPr>
    </w:p>
    <w:p w14:paraId="7C1E65D8" w14:textId="77777777" w:rsidR="00F730DE" w:rsidRDefault="00F730DE">
      <w:pPr>
        <w:widowControl/>
        <w:kinsoku w:val="0"/>
        <w:autoSpaceDE w:val="0"/>
        <w:autoSpaceDN w:val="0"/>
        <w:adjustRightInd w:val="0"/>
        <w:snapToGrid w:val="0"/>
        <w:spacing w:line="360" w:lineRule="auto"/>
        <w:ind w:firstLineChars="200" w:firstLine="560"/>
        <w:textAlignment w:val="baseline"/>
        <w:rPr>
          <w:rFonts w:ascii="宋体" w:eastAsia="宋体" w:hAnsi="宋体" w:cs="宋体"/>
          <w:sz w:val="28"/>
          <w:szCs w:val="28"/>
        </w:rPr>
        <w:sectPr w:rsidR="00F730DE">
          <w:pgSz w:w="16839" w:h="11905" w:orient="landscape"/>
          <w:pgMar w:top="1667" w:right="1131" w:bottom="1168" w:left="1206" w:header="0" w:footer="928" w:gutter="0"/>
          <w:cols w:space="720"/>
        </w:sectPr>
      </w:pPr>
    </w:p>
    <w:p w14:paraId="2A02D825" w14:textId="77777777" w:rsidR="00F730DE" w:rsidRDefault="008E3A84">
      <w:pPr>
        <w:widowControl/>
        <w:kinsoku w:val="0"/>
        <w:autoSpaceDE w:val="0"/>
        <w:autoSpaceDN w:val="0"/>
        <w:adjustRightInd w:val="0"/>
        <w:snapToGrid w:val="0"/>
        <w:spacing w:line="360" w:lineRule="auto"/>
        <w:jc w:val="left"/>
        <w:textAlignment w:val="baseline"/>
        <w:outlineLvl w:val="1"/>
        <w:rPr>
          <w:rFonts w:ascii="宋体" w:eastAsia="宋体" w:hAnsi="宋体" w:cs="宋体"/>
          <w:snapToGrid w:val="0"/>
          <w:color w:val="000000"/>
          <w:kern w:val="0"/>
          <w:sz w:val="28"/>
          <w:szCs w:val="28"/>
          <w:lang w:eastAsia="en-US"/>
        </w:rPr>
      </w:pPr>
      <w:r>
        <w:rPr>
          <w:rFonts w:ascii="宋体" w:eastAsia="宋体" w:hAnsi="宋体" w:cs="宋体" w:hint="eastAsia"/>
          <w:b/>
          <w:bCs/>
          <w:snapToGrid w:val="0"/>
          <w:color w:val="000000"/>
          <w:spacing w:val="-6"/>
          <w:kern w:val="0"/>
          <w:sz w:val="28"/>
          <w:szCs w:val="28"/>
        </w:rPr>
        <w:lastRenderedPageBreak/>
        <w:t>（三）</w:t>
      </w:r>
      <w:proofErr w:type="spellStart"/>
      <w:r>
        <w:rPr>
          <w:rFonts w:ascii="宋体" w:eastAsia="宋体" w:hAnsi="宋体" w:cs="宋体" w:hint="eastAsia"/>
          <w:b/>
          <w:bCs/>
          <w:snapToGrid w:val="0"/>
          <w:color w:val="000000"/>
          <w:spacing w:val="-6"/>
          <w:kern w:val="0"/>
          <w:sz w:val="28"/>
          <w:szCs w:val="28"/>
          <w:lang w:eastAsia="en-US"/>
        </w:rPr>
        <w:t>商务要求</w:t>
      </w:r>
      <w:proofErr w:type="spellEnd"/>
    </w:p>
    <w:p w14:paraId="7D4AC66A" w14:textId="77777777" w:rsidR="00F730DE" w:rsidRDefault="008E3A84">
      <w:pPr>
        <w:widowControl/>
        <w:kinsoku w:val="0"/>
        <w:autoSpaceDE w:val="0"/>
        <w:autoSpaceDN w:val="0"/>
        <w:adjustRightInd w:val="0"/>
        <w:snapToGrid w:val="0"/>
        <w:spacing w:line="360" w:lineRule="auto"/>
        <w:ind w:firstLineChars="200" w:firstLine="552"/>
        <w:jc w:val="left"/>
        <w:textAlignment w:val="baseline"/>
        <w:rPr>
          <w:rFonts w:ascii="宋体" w:eastAsia="宋体" w:hAnsi="宋体" w:cs="宋体"/>
          <w:snapToGrid w:val="0"/>
          <w:color w:val="000000"/>
          <w:kern w:val="0"/>
          <w:sz w:val="28"/>
          <w:szCs w:val="28"/>
          <w:lang w:eastAsia="en-US"/>
        </w:rPr>
      </w:pPr>
      <w:r>
        <w:rPr>
          <w:rFonts w:ascii="宋体" w:eastAsia="宋体" w:hAnsi="宋体" w:cs="宋体" w:hint="eastAsia"/>
          <w:snapToGrid w:val="0"/>
          <w:color w:val="000000"/>
          <w:spacing w:val="-2"/>
          <w:kern w:val="0"/>
          <w:sz w:val="28"/>
          <w:szCs w:val="28"/>
          <w:lang w:eastAsia="en-US"/>
        </w:rPr>
        <w:t>服务期：</w:t>
      </w:r>
      <w:r>
        <w:rPr>
          <w:rFonts w:ascii="宋体" w:eastAsia="宋体" w:hAnsi="宋体" w:cs="宋体" w:hint="eastAsia"/>
          <w:snapToGrid w:val="0"/>
          <w:color w:val="000000"/>
          <w:kern w:val="0"/>
          <w:sz w:val="28"/>
          <w:szCs w:val="28"/>
        </w:rPr>
        <w:t>2026</w:t>
      </w:r>
      <w:r>
        <w:rPr>
          <w:rFonts w:ascii="宋体" w:eastAsia="宋体" w:hAnsi="宋体" w:cs="宋体" w:hint="eastAsia"/>
          <w:snapToGrid w:val="0"/>
          <w:color w:val="000000"/>
          <w:kern w:val="0"/>
          <w:sz w:val="28"/>
          <w:szCs w:val="28"/>
        </w:rPr>
        <w:t>年</w:t>
      </w:r>
      <w:r>
        <w:rPr>
          <w:rFonts w:ascii="宋体" w:eastAsia="宋体" w:hAnsi="宋体" w:cs="宋体" w:hint="eastAsia"/>
          <w:snapToGrid w:val="0"/>
          <w:color w:val="000000"/>
          <w:kern w:val="0"/>
          <w:sz w:val="28"/>
          <w:szCs w:val="28"/>
        </w:rPr>
        <w:t>5</w:t>
      </w:r>
      <w:r>
        <w:rPr>
          <w:rFonts w:ascii="宋体" w:eastAsia="宋体" w:hAnsi="宋体" w:cs="宋体" w:hint="eastAsia"/>
          <w:snapToGrid w:val="0"/>
          <w:color w:val="000000"/>
          <w:kern w:val="0"/>
          <w:sz w:val="28"/>
          <w:szCs w:val="28"/>
        </w:rPr>
        <w:t>月</w:t>
      </w:r>
      <w:r>
        <w:rPr>
          <w:rFonts w:ascii="宋体" w:eastAsia="宋体" w:hAnsi="宋体" w:cs="宋体" w:hint="eastAsia"/>
          <w:snapToGrid w:val="0"/>
          <w:color w:val="000000"/>
          <w:kern w:val="0"/>
          <w:sz w:val="28"/>
          <w:szCs w:val="28"/>
        </w:rPr>
        <w:t>-10</w:t>
      </w:r>
      <w:r>
        <w:rPr>
          <w:rFonts w:ascii="宋体" w:eastAsia="宋体" w:hAnsi="宋体" w:cs="宋体" w:hint="eastAsia"/>
          <w:snapToGrid w:val="0"/>
          <w:color w:val="000000"/>
          <w:kern w:val="0"/>
          <w:sz w:val="28"/>
          <w:szCs w:val="28"/>
        </w:rPr>
        <w:t>月</w:t>
      </w:r>
    </w:p>
    <w:p w14:paraId="7C85A9C0" w14:textId="77777777" w:rsidR="00F730DE" w:rsidRDefault="008E3A84">
      <w:pPr>
        <w:widowControl/>
        <w:kinsoku w:val="0"/>
        <w:autoSpaceDE w:val="0"/>
        <w:autoSpaceDN w:val="0"/>
        <w:adjustRightInd w:val="0"/>
        <w:snapToGrid w:val="0"/>
        <w:spacing w:line="360" w:lineRule="auto"/>
        <w:ind w:firstLineChars="200" w:firstLine="556"/>
        <w:jc w:val="left"/>
        <w:textAlignment w:val="baseline"/>
        <w:rPr>
          <w:rFonts w:ascii="宋体" w:eastAsia="宋体" w:hAnsi="宋体" w:cs="宋体"/>
          <w:snapToGrid w:val="0"/>
          <w:color w:val="000000"/>
          <w:kern w:val="0"/>
          <w:sz w:val="28"/>
          <w:szCs w:val="28"/>
          <w:lang w:eastAsia="en-US"/>
        </w:rPr>
      </w:pPr>
      <w:proofErr w:type="spellStart"/>
      <w:r>
        <w:rPr>
          <w:rFonts w:ascii="宋体" w:eastAsia="宋体" w:hAnsi="宋体" w:cs="宋体" w:hint="eastAsia"/>
          <w:snapToGrid w:val="0"/>
          <w:color w:val="000000"/>
          <w:spacing w:val="-1"/>
          <w:kern w:val="0"/>
          <w:sz w:val="28"/>
          <w:szCs w:val="28"/>
          <w:lang w:eastAsia="en-US"/>
        </w:rPr>
        <w:t>服务地点：采购人指定地点</w:t>
      </w:r>
      <w:proofErr w:type="spellEnd"/>
      <w:r>
        <w:rPr>
          <w:rFonts w:ascii="宋体" w:eastAsia="宋体" w:hAnsi="宋体" w:cs="宋体" w:hint="eastAsia"/>
          <w:snapToGrid w:val="0"/>
          <w:color w:val="000000"/>
          <w:spacing w:val="-1"/>
          <w:kern w:val="0"/>
          <w:sz w:val="28"/>
          <w:szCs w:val="28"/>
          <w:lang w:eastAsia="en-US"/>
        </w:rPr>
        <w:t>。</w:t>
      </w:r>
    </w:p>
    <w:p w14:paraId="1E0FAE6A" w14:textId="77777777" w:rsidR="00F730DE" w:rsidRDefault="008E3A84">
      <w:pPr>
        <w:widowControl/>
        <w:kinsoku w:val="0"/>
        <w:autoSpaceDE w:val="0"/>
        <w:autoSpaceDN w:val="0"/>
        <w:adjustRightInd w:val="0"/>
        <w:snapToGrid w:val="0"/>
        <w:spacing w:line="360" w:lineRule="auto"/>
        <w:ind w:firstLineChars="200" w:firstLine="532"/>
        <w:jc w:val="left"/>
        <w:textAlignment w:val="baseline"/>
        <w:rPr>
          <w:rFonts w:ascii="宋体" w:eastAsia="宋体" w:hAnsi="宋体" w:cs="宋体"/>
          <w:snapToGrid w:val="0"/>
          <w:color w:val="000000"/>
          <w:kern w:val="0"/>
          <w:sz w:val="28"/>
          <w:szCs w:val="28"/>
          <w:highlight w:val="yellow"/>
          <w:lang w:eastAsia="en-US"/>
        </w:rPr>
      </w:pPr>
      <w:proofErr w:type="spellStart"/>
      <w:r>
        <w:rPr>
          <w:rFonts w:ascii="宋体" w:eastAsia="宋体" w:hAnsi="宋体" w:cs="宋体" w:hint="eastAsia"/>
          <w:snapToGrid w:val="0"/>
          <w:color w:val="000000"/>
          <w:spacing w:val="-7"/>
          <w:kern w:val="0"/>
          <w:sz w:val="28"/>
          <w:szCs w:val="28"/>
          <w:lang w:eastAsia="en-US"/>
        </w:rPr>
        <w:t>付款方式</w:t>
      </w:r>
      <w:proofErr w:type="spellEnd"/>
      <w:r>
        <w:rPr>
          <w:rFonts w:ascii="宋体" w:eastAsia="宋体" w:hAnsi="宋体" w:cs="宋体" w:hint="eastAsia"/>
          <w:snapToGrid w:val="0"/>
          <w:color w:val="000000"/>
          <w:spacing w:val="-7"/>
          <w:kern w:val="0"/>
          <w:sz w:val="28"/>
          <w:szCs w:val="28"/>
          <w:lang w:eastAsia="en-US"/>
        </w:rPr>
        <w:t>：</w:t>
      </w:r>
      <w:r>
        <w:rPr>
          <w:rFonts w:ascii="宋体" w:eastAsia="宋体" w:hAnsi="宋体" w:cs="宋体" w:hint="eastAsia"/>
          <w:snapToGrid w:val="0"/>
          <w:color w:val="000000"/>
          <w:spacing w:val="-7"/>
          <w:kern w:val="0"/>
          <w:sz w:val="28"/>
          <w:szCs w:val="28"/>
        </w:rPr>
        <w:t>供应商</w:t>
      </w:r>
      <w:proofErr w:type="spellStart"/>
      <w:r>
        <w:rPr>
          <w:rFonts w:ascii="宋体" w:eastAsia="宋体" w:hAnsi="宋体" w:cs="宋体" w:hint="eastAsia"/>
          <w:snapToGrid w:val="0"/>
          <w:color w:val="000000"/>
          <w:spacing w:val="-7"/>
          <w:kern w:val="0"/>
          <w:sz w:val="28"/>
          <w:szCs w:val="28"/>
          <w:lang w:eastAsia="en-US"/>
        </w:rPr>
        <w:t>按</w:t>
      </w:r>
      <w:r>
        <w:rPr>
          <w:rFonts w:ascii="宋体" w:eastAsia="宋体" w:hAnsi="宋体" w:cs="宋体" w:hint="eastAsia"/>
          <w:snapToGrid w:val="0"/>
          <w:spacing w:val="-7"/>
          <w:kern w:val="0"/>
          <w:sz w:val="28"/>
          <w:szCs w:val="28"/>
          <w:lang w:eastAsia="en-US"/>
        </w:rPr>
        <w:t>要求完成</w:t>
      </w:r>
      <w:proofErr w:type="spellEnd"/>
      <w:r>
        <w:rPr>
          <w:rFonts w:ascii="宋体" w:eastAsia="宋体" w:hAnsi="宋体" w:cs="宋体" w:hint="eastAsia"/>
          <w:snapToGrid w:val="0"/>
          <w:spacing w:val="-7"/>
          <w:kern w:val="0"/>
          <w:sz w:val="28"/>
          <w:szCs w:val="28"/>
        </w:rPr>
        <w:t>校园安全评估服务，</w:t>
      </w:r>
      <w:proofErr w:type="spellStart"/>
      <w:r>
        <w:rPr>
          <w:rFonts w:ascii="宋体" w:eastAsia="宋体" w:hAnsi="宋体" w:cs="宋体" w:hint="eastAsia"/>
          <w:snapToGrid w:val="0"/>
          <w:spacing w:val="-7"/>
          <w:kern w:val="0"/>
          <w:sz w:val="28"/>
          <w:szCs w:val="28"/>
          <w:lang w:eastAsia="en-US"/>
        </w:rPr>
        <w:t>出具完整、规范的安全评估报告及隐患检查清单，经委托方审核确认、验收合格后，委托方</w:t>
      </w:r>
      <w:proofErr w:type="spellEnd"/>
      <w:r>
        <w:rPr>
          <w:rFonts w:ascii="宋体" w:eastAsia="宋体" w:hAnsi="宋体" w:cs="宋体" w:hint="eastAsia"/>
          <w:snapToGrid w:val="0"/>
          <w:spacing w:val="-7"/>
          <w:kern w:val="0"/>
          <w:sz w:val="28"/>
          <w:szCs w:val="28"/>
        </w:rPr>
        <w:t>分两次</w:t>
      </w:r>
      <w:proofErr w:type="spellStart"/>
      <w:r>
        <w:rPr>
          <w:rFonts w:ascii="宋体" w:eastAsia="宋体" w:hAnsi="宋体" w:cs="宋体" w:hint="eastAsia"/>
          <w:snapToGrid w:val="0"/>
          <w:spacing w:val="-7"/>
          <w:kern w:val="0"/>
          <w:sz w:val="28"/>
          <w:szCs w:val="28"/>
          <w:lang w:eastAsia="en-US"/>
        </w:rPr>
        <w:t>支付服务费用</w:t>
      </w:r>
      <w:proofErr w:type="spellEnd"/>
      <w:r>
        <w:rPr>
          <w:rFonts w:ascii="宋体" w:eastAsia="宋体" w:hAnsi="宋体" w:cs="宋体" w:hint="eastAsia"/>
          <w:snapToGrid w:val="0"/>
          <w:spacing w:val="-7"/>
          <w:kern w:val="0"/>
          <w:sz w:val="28"/>
          <w:szCs w:val="28"/>
        </w:rPr>
        <w:t>，第一次在初检结束后支付中标金额的</w:t>
      </w:r>
      <w:r>
        <w:rPr>
          <w:rFonts w:ascii="宋体" w:eastAsia="宋体" w:hAnsi="宋体" w:cs="宋体" w:hint="eastAsia"/>
          <w:snapToGrid w:val="0"/>
          <w:spacing w:val="-7"/>
          <w:kern w:val="0"/>
          <w:sz w:val="28"/>
          <w:szCs w:val="28"/>
        </w:rPr>
        <w:t>50%</w:t>
      </w:r>
      <w:r>
        <w:rPr>
          <w:rFonts w:ascii="宋体" w:eastAsia="宋体" w:hAnsi="宋体" w:cs="宋体" w:hint="eastAsia"/>
          <w:snapToGrid w:val="0"/>
          <w:spacing w:val="-7"/>
          <w:kern w:val="0"/>
          <w:sz w:val="28"/>
          <w:szCs w:val="28"/>
        </w:rPr>
        <w:t>，第二次在全部评估工作结束后支付中标金额的</w:t>
      </w:r>
      <w:r>
        <w:rPr>
          <w:rFonts w:ascii="宋体" w:eastAsia="宋体" w:hAnsi="宋体" w:cs="宋体" w:hint="eastAsia"/>
          <w:snapToGrid w:val="0"/>
          <w:spacing w:val="-7"/>
          <w:kern w:val="0"/>
          <w:sz w:val="28"/>
          <w:szCs w:val="28"/>
        </w:rPr>
        <w:t>50%</w:t>
      </w:r>
      <w:r>
        <w:rPr>
          <w:rFonts w:ascii="宋体" w:eastAsia="宋体" w:hAnsi="宋体" w:cs="宋体" w:hint="eastAsia"/>
          <w:snapToGrid w:val="0"/>
          <w:spacing w:val="-7"/>
          <w:kern w:val="0"/>
          <w:sz w:val="28"/>
          <w:szCs w:val="28"/>
          <w:lang w:eastAsia="en-US"/>
        </w:rPr>
        <w:t>。若安全评估工作未达到相关标准、报告内容不完整或不符合委托要求，委托方有权暂缓付款，</w:t>
      </w:r>
      <w:r>
        <w:rPr>
          <w:rFonts w:ascii="宋体" w:eastAsia="宋体" w:hAnsi="宋体" w:cs="宋体" w:hint="eastAsia"/>
          <w:snapToGrid w:val="0"/>
          <w:color w:val="000000"/>
          <w:spacing w:val="-7"/>
          <w:kern w:val="0"/>
          <w:sz w:val="28"/>
          <w:szCs w:val="28"/>
          <w:lang w:eastAsia="en-US"/>
        </w:rPr>
        <w:t>待服务方整改完善并重新验收合格后，再办理付款手续。</w:t>
      </w:r>
    </w:p>
    <w:p w14:paraId="60274051" w14:textId="77777777" w:rsidR="00F730DE" w:rsidRDefault="008E3A84">
      <w:pPr>
        <w:widowControl/>
        <w:kinsoku w:val="0"/>
        <w:autoSpaceDE w:val="0"/>
        <w:autoSpaceDN w:val="0"/>
        <w:adjustRightInd w:val="0"/>
        <w:snapToGrid w:val="0"/>
        <w:spacing w:line="360" w:lineRule="auto"/>
        <w:jc w:val="left"/>
        <w:textAlignment w:val="baseline"/>
        <w:outlineLvl w:val="1"/>
        <w:rPr>
          <w:rFonts w:ascii="宋体" w:eastAsia="宋体" w:hAnsi="宋体" w:cs="宋体"/>
          <w:snapToGrid w:val="0"/>
          <w:color w:val="000000"/>
          <w:kern w:val="0"/>
          <w:sz w:val="28"/>
          <w:szCs w:val="28"/>
          <w:lang w:eastAsia="en-US"/>
        </w:rPr>
      </w:pPr>
      <w:r>
        <w:rPr>
          <w:rFonts w:ascii="宋体" w:eastAsia="宋体" w:hAnsi="宋体" w:cs="宋体" w:hint="eastAsia"/>
          <w:b/>
          <w:bCs/>
          <w:snapToGrid w:val="0"/>
          <w:color w:val="000000"/>
          <w:spacing w:val="-5"/>
          <w:kern w:val="0"/>
          <w:sz w:val="28"/>
          <w:szCs w:val="28"/>
        </w:rPr>
        <w:t>（四）</w:t>
      </w:r>
      <w:proofErr w:type="spellStart"/>
      <w:r>
        <w:rPr>
          <w:rFonts w:ascii="宋体" w:eastAsia="宋体" w:hAnsi="宋体" w:cs="宋体" w:hint="eastAsia"/>
          <w:b/>
          <w:bCs/>
          <w:snapToGrid w:val="0"/>
          <w:color w:val="000000"/>
          <w:spacing w:val="-5"/>
          <w:kern w:val="0"/>
          <w:sz w:val="28"/>
          <w:szCs w:val="28"/>
          <w:lang w:eastAsia="en-US"/>
        </w:rPr>
        <w:t>报价要求</w:t>
      </w:r>
      <w:proofErr w:type="spellEnd"/>
    </w:p>
    <w:p w14:paraId="412E0886" w14:textId="77777777" w:rsidR="00F730DE" w:rsidRDefault="008E3A84">
      <w:pPr>
        <w:widowControl/>
        <w:kinsoku w:val="0"/>
        <w:autoSpaceDE w:val="0"/>
        <w:autoSpaceDN w:val="0"/>
        <w:adjustRightInd w:val="0"/>
        <w:snapToGrid w:val="0"/>
        <w:spacing w:line="360" w:lineRule="auto"/>
        <w:ind w:firstLineChars="200" w:firstLine="552"/>
        <w:jc w:val="left"/>
        <w:textAlignment w:val="baseline"/>
        <w:rPr>
          <w:rFonts w:ascii="宋体" w:eastAsia="宋体" w:hAnsi="宋体" w:cs="宋体"/>
          <w:snapToGrid w:val="0"/>
          <w:color w:val="000000"/>
          <w:kern w:val="0"/>
          <w:sz w:val="28"/>
          <w:szCs w:val="28"/>
          <w:lang w:eastAsia="en-US"/>
        </w:rPr>
      </w:pPr>
      <w:r>
        <w:rPr>
          <w:rFonts w:ascii="宋体" w:eastAsia="宋体" w:hAnsi="宋体" w:cs="宋体" w:hint="eastAsia"/>
          <w:snapToGrid w:val="0"/>
          <w:color w:val="000000"/>
          <w:spacing w:val="-2"/>
          <w:kern w:val="0"/>
          <w:sz w:val="28"/>
          <w:szCs w:val="28"/>
          <w:lang w:eastAsia="en-US"/>
        </w:rPr>
        <w:t>1</w:t>
      </w:r>
      <w:r>
        <w:rPr>
          <w:rFonts w:ascii="宋体" w:eastAsia="宋体" w:hAnsi="宋体" w:cs="宋体" w:hint="eastAsia"/>
          <w:snapToGrid w:val="0"/>
          <w:color w:val="000000"/>
          <w:spacing w:val="-2"/>
          <w:kern w:val="0"/>
          <w:sz w:val="28"/>
          <w:szCs w:val="28"/>
          <w:lang w:eastAsia="en-US"/>
        </w:rPr>
        <w:t>、投标货币：以人民币结算；</w:t>
      </w:r>
    </w:p>
    <w:p w14:paraId="50AADC75" w14:textId="77777777" w:rsidR="00F730DE" w:rsidRDefault="008E3A84">
      <w:pPr>
        <w:widowControl/>
        <w:kinsoku w:val="0"/>
        <w:autoSpaceDE w:val="0"/>
        <w:autoSpaceDN w:val="0"/>
        <w:adjustRightInd w:val="0"/>
        <w:snapToGrid w:val="0"/>
        <w:spacing w:line="360" w:lineRule="auto"/>
        <w:ind w:firstLineChars="200" w:firstLine="564"/>
        <w:jc w:val="left"/>
        <w:textAlignment w:val="baseline"/>
        <w:rPr>
          <w:rFonts w:ascii="宋体" w:eastAsia="宋体" w:hAnsi="宋体" w:cs="宋体"/>
          <w:snapToGrid w:val="0"/>
          <w:color w:val="000000"/>
          <w:kern w:val="0"/>
          <w:sz w:val="28"/>
          <w:szCs w:val="28"/>
          <w:lang w:eastAsia="en-US"/>
        </w:rPr>
      </w:pPr>
      <w:r>
        <w:rPr>
          <w:rFonts w:ascii="宋体" w:eastAsia="宋体" w:hAnsi="宋体" w:cs="宋体" w:hint="eastAsia"/>
          <w:snapToGrid w:val="0"/>
          <w:color w:val="000000"/>
          <w:spacing w:val="1"/>
          <w:kern w:val="0"/>
          <w:sz w:val="28"/>
          <w:szCs w:val="28"/>
          <w:lang w:eastAsia="en-US"/>
        </w:rPr>
        <w:t>2</w:t>
      </w:r>
      <w:r>
        <w:rPr>
          <w:rFonts w:ascii="宋体" w:eastAsia="宋体" w:hAnsi="宋体" w:cs="宋体" w:hint="eastAsia"/>
          <w:snapToGrid w:val="0"/>
          <w:color w:val="000000"/>
          <w:spacing w:val="1"/>
          <w:kern w:val="0"/>
          <w:sz w:val="28"/>
          <w:szCs w:val="28"/>
          <w:lang w:eastAsia="en-US"/>
        </w:rPr>
        <w:t>、报价要求：报价为一次性包干总价，包含但不限于：现场排查、资料核查、人员劳务、交通、设备使用、报告编制、隐患清单整理、验收配合、税费等全部相关费用，委托方不再另行支付任何其他费用</w:t>
      </w:r>
      <w:r>
        <w:rPr>
          <w:rFonts w:ascii="宋体" w:eastAsia="宋体" w:hAnsi="宋体" w:cs="宋体" w:hint="eastAsia"/>
          <w:snapToGrid w:val="0"/>
          <w:color w:val="000000"/>
          <w:spacing w:val="-1"/>
          <w:kern w:val="0"/>
          <w:sz w:val="28"/>
          <w:szCs w:val="28"/>
          <w:lang w:eastAsia="en-US"/>
        </w:rPr>
        <w:t>。</w:t>
      </w:r>
    </w:p>
    <w:p w14:paraId="71E9A370" w14:textId="77777777" w:rsidR="00F730DE" w:rsidRDefault="008E3A84" w:rsidP="008E3A84">
      <w:pPr>
        <w:widowControl/>
        <w:kinsoku w:val="0"/>
        <w:autoSpaceDE w:val="0"/>
        <w:autoSpaceDN w:val="0"/>
        <w:adjustRightInd w:val="0"/>
        <w:snapToGrid w:val="0"/>
        <w:spacing w:line="360" w:lineRule="auto"/>
        <w:ind w:firstLineChars="201" w:firstLine="563"/>
        <w:jc w:val="left"/>
        <w:textAlignment w:val="baseline"/>
        <w:rPr>
          <w:rFonts w:ascii="宋体" w:eastAsia="宋体" w:hAnsi="宋体" w:cs="宋体"/>
          <w:snapToGrid w:val="0"/>
          <w:color w:val="000000"/>
          <w:kern w:val="0"/>
          <w:sz w:val="28"/>
          <w:szCs w:val="28"/>
          <w:lang w:eastAsia="en-US"/>
        </w:rPr>
      </w:pPr>
      <w:r>
        <w:rPr>
          <w:rFonts w:ascii="宋体" w:eastAsia="宋体" w:hAnsi="宋体" w:cs="宋体" w:hint="eastAsia"/>
          <w:snapToGrid w:val="0"/>
          <w:color w:val="000000"/>
          <w:kern w:val="0"/>
          <w:sz w:val="28"/>
          <w:szCs w:val="28"/>
          <w:lang w:eastAsia="en-US"/>
        </w:rPr>
        <w:t>3</w:t>
      </w:r>
      <w:r>
        <w:rPr>
          <w:rFonts w:ascii="宋体" w:eastAsia="宋体" w:hAnsi="宋体" w:cs="宋体" w:hint="eastAsia"/>
          <w:snapToGrid w:val="0"/>
          <w:color w:val="000000"/>
          <w:kern w:val="0"/>
          <w:sz w:val="28"/>
          <w:szCs w:val="28"/>
          <w:lang w:eastAsia="en-US"/>
        </w:rPr>
        <w:t>、投标供应商的报价必须严格满足招标文件中技术要求，合理报价</w:t>
      </w:r>
      <w:r>
        <w:rPr>
          <w:rFonts w:ascii="宋体" w:eastAsia="宋体" w:hAnsi="宋体" w:cs="宋体" w:hint="eastAsia"/>
          <w:snapToGrid w:val="0"/>
          <w:color w:val="000000"/>
          <w:kern w:val="0"/>
          <w:sz w:val="28"/>
          <w:szCs w:val="28"/>
        </w:rPr>
        <w:t>，</w:t>
      </w:r>
      <w:proofErr w:type="spellStart"/>
      <w:r>
        <w:rPr>
          <w:rFonts w:ascii="宋体" w:eastAsia="宋体" w:hAnsi="宋体" w:cs="宋体" w:hint="eastAsia"/>
          <w:b/>
          <w:bCs/>
          <w:snapToGrid w:val="0"/>
          <w:color w:val="000000"/>
          <w:kern w:val="0"/>
          <w:sz w:val="28"/>
          <w:szCs w:val="28"/>
          <w:lang w:eastAsia="en-US"/>
        </w:rPr>
        <w:t>采购人拒绝恶意</w:t>
      </w:r>
      <w:r>
        <w:rPr>
          <w:rFonts w:ascii="宋体" w:eastAsia="宋体" w:hAnsi="宋体" w:cs="宋体" w:hint="eastAsia"/>
          <w:b/>
          <w:bCs/>
          <w:snapToGrid w:val="0"/>
          <w:color w:val="000000"/>
          <w:spacing w:val="-5"/>
          <w:kern w:val="0"/>
          <w:sz w:val="28"/>
          <w:szCs w:val="28"/>
          <w:lang w:eastAsia="en-US"/>
        </w:rPr>
        <w:t>的低价竞争，投标供应商的合理低价将被重视，经评标委员会认定恶意低价竞标或</w:t>
      </w:r>
      <w:r>
        <w:rPr>
          <w:rFonts w:ascii="宋体" w:eastAsia="宋体" w:hAnsi="宋体" w:cs="宋体" w:hint="eastAsia"/>
          <w:b/>
          <w:bCs/>
          <w:snapToGrid w:val="0"/>
          <w:color w:val="000000"/>
          <w:spacing w:val="-6"/>
          <w:kern w:val="0"/>
          <w:sz w:val="28"/>
          <w:szCs w:val="28"/>
          <w:lang w:eastAsia="en-US"/>
        </w:rPr>
        <w:t>明显</w:t>
      </w:r>
      <w:r>
        <w:rPr>
          <w:rFonts w:ascii="宋体" w:eastAsia="宋体" w:hAnsi="宋体" w:cs="宋体" w:hint="eastAsia"/>
          <w:b/>
          <w:bCs/>
          <w:snapToGrid w:val="0"/>
          <w:color w:val="000000"/>
          <w:spacing w:val="-3"/>
          <w:kern w:val="0"/>
          <w:sz w:val="28"/>
          <w:szCs w:val="28"/>
          <w:lang w:eastAsia="en-US"/>
        </w:rPr>
        <w:t>低于成本的报价将被拒绝</w:t>
      </w:r>
      <w:proofErr w:type="spellEnd"/>
      <w:r>
        <w:rPr>
          <w:rFonts w:ascii="宋体" w:eastAsia="宋体" w:hAnsi="宋体" w:cs="宋体" w:hint="eastAsia"/>
          <w:b/>
          <w:bCs/>
          <w:snapToGrid w:val="0"/>
          <w:color w:val="000000"/>
          <w:spacing w:val="-3"/>
          <w:kern w:val="0"/>
          <w:sz w:val="28"/>
          <w:szCs w:val="28"/>
          <w:lang w:eastAsia="en-US"/>
        </w:rPr>
        <w:t>。</w:t>
      </w:r>
    </w:p>
    <w:p w14:paraId="755DAF01" w14:textId="77777777" w:rsidR="00F730DE" w:rsidRDefault="00F730DE">
      <w:pPr>
        <w:sectPr w:rsidR="00F730DE">
          <w:pgSz w:w="11906" w:h="16838"/>
          <w:pgMar w:top="1440" w:right="1800" w:bottom="1440" w:left="1800" w:header="851" w:footer="992" w:gutter="0"/>
          <w:cols w:space="425"/>
          <w:docGrid w:type="lines" w:linePitch="312"/>
        </w:sectPr>
      </w:pPr>
    </w:p>
    <w:p w14:paraId="78DD8E9E" w14:textId="77777777" w:rsidR="00F730DE" w:rsidRDefault="008E3A84">
      <w:pPr>
        <w:widowControl/>
        <w:spacing w:line="360" w:lineRule="auto"/>
        <w:jc w:val="left"/>
        <w:outlineLvl w:val="0"/>
        <w:rPr>
          <w:rFonts w:ascii="宋体" w:eastAsia="宋体" w:hAnsi="宋体" w:cs="宋体"/>
          <w:b/>
          <w:bCs/>
          <w:color w:val="000000"/>
          <w:kern w:val="0"/>
          <w:sz w:val="28"/>
          <w:szCs w:val="28"/>
          <w:lang w:eastAsia="en-US"/>
        </w:rPr>
      </w:pPr>
      <w:r>
        <w:rPr>
          <w:rFonts w:ascii="宋体" w:eastAsia="宋体" w:hAnsi="宋体" w:cs="宋体" w:hint="eastAsia"/>
          <w:b/>
          <w:bCs/>
          <w:color w:val="000000"/>
          <w:kern w:val="0"/>
          <w:sz w:val="28"/>
          <w:szCs w:val="28"/>
        </w:rPr>
        <w:lastRenderedPageBreak/>
        <w:t>三、评分细则</w:t>
      </w:r>
    </w:p>
    <w:tbl>
      <w:tblPr>
        <w:tblW w:w="5430" w:type="pct"/>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301"/>
        <w:gridCol w:w="6121"/>
        <w:gridCol w:w="753"/>
      </w:tblGrid>
      <w:tr w:rsidR="00F730DE" w14:paraId="1BCABCD2" w14:textId="77777777">
        <w:trPr>
          <w:trHeight w:val="506"/>
        </w:trPr>
        <w:tc>
          <w:tcPr>
            <w:tcW w:w="583" w:type="pct"/>
            <w:shd w:val="clear" w:color="auto" w:fill="E5DFEC"/>
            <w:vAlign w:val="center"/>
          </w:tcPr>
          <w:p w14:paraId="6B716EB4" w14:textId="77777777" w:rsidR="00F730DE" w:rsidRDefault="008E3A84">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项目</w:t>
            </w:r>
          </w:p>
        </w:tc>
        <w:tc>
          <w:tcPr>
            <w:tcW w:w="703" w:type="pct"/>
            <w:shd w:val="clear" w:color="auto" w:fill="E5DFEC"/>
            <w:vAlign w:val="center"/>
          </w:tcPr>
          <w:p w14:paraId="3004B89F" w14:textId="77777777" w:rsidR="00F730DE" w:rsidRDefault="008E3A84">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评标分项</w:t>
            </w:r>
          </w:p>
        </w:tc>
        <w:tc>
          <w:tcPr>
            <w:tcW w:w="3305" w:type="pct"/>
            <w:shd w:val="clear" w:color="auto" w:fill="E5DFEC"/>
            <w:vAlign w:val="center"/>
          </w:tcPr>
          <w:p w14:paraId="6CC2294B" w14:textId="77777777" w:rsidR="00F730DE" w:rsidRDefault="008E3A84">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评标分项及分值</w:t>
            </w:r>
          </w:p>
        </w:tc>
        <w:tc>
          <w:tcPr>
            <w:tcW w:w="407" w:type="pct"/>
            <w:shd w:val="clear" w:color="auto" w:fill="E5DFEC"/>
            <w:vAlign w:val="center"/>
          </w:tcPr>
          <w:p w14:paraId="7F14F4A1" w14:textId="77777777" w:rsidR="00F730DE" w:rsidRDefault="008E3A84">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分值</w:t>
            </w:r>
          </w:p>
        </w:tc>
      </w:tr>
      <w:tr w:rsidR="00F730DE" w14:paraId="39007AF3" w14:textId="77777777">
        <w:trPr>
          <w:trHeight w:val="765"/>
        </w:trPr>
        <w:tc>
          <w:tcPr>
            <w:tcW w:w="583" w:type="pct"/>
            <w:vAlign w:val="center"/>
          </w:tcPr>
          <w:p w14:paraId="7E6908F1"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价格</w:t>
            </w:r>
          </w:p>
          <w:p w14:paraId="4D28B7A9"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20</w:t>
            </w:r>
            <w:r>
              <w:rPr>
                <w:rFonts w:ascii="宋体" w:eastAsia="宋体" w:hAnsi="宋体" w:cs="宋体" w:hint="eastAsia"/>
                <w:color w:val="000000"/>
                <w:spacing w:val="-1"/>
                <w:sz w:val="24"/>
              </w:rPr>
              <w:t>分</w:t>
            </w:r>
          </w:p>
        </w:tc>
        <w:tc>
          <w:tcPr>
            <w:tcW w:w="703" w:type="pct"/>
            <w:vAlign w:val="center"/>
          </w:tcPr>
          <w:p w14:paraId="711DC6D9"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投标报价</w:t>
            </w:r>
          </w:p>
        </w:tc>
        <w:tc>
          <w:tcPr>
            <w:tcW w:w="3305" w:type="pct"/>
            <w:vAlign w:val="center"/>
          </w:tcPr>
          <w:p w14:paraId="3ADBEFBA"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评标基准价的确定：满足招标文件要求报价最低的为评标基准价，其他投标人的价格</w:t>
            </w:r>
            <w:proofErr w:type="gramStart"/>
            <w:r>
              <w:rPr>
                <w:rFonts w:ascii="宋体" w:eastAsia="宋体" w:hAnsi="宋体" w:cs="宋体" w:hint="eastAsia"/>
                <w:color w:val="000000"/>
                <w:spacing w:val="-1"/>
                <w:sz w:val="24"/>
              </w:rPr>
              <w:t>分按照</w:t>
            </w:r>
            <w:proofErr w:type="gramEnd"/>
            <w:r>
              <w:rPr>
                <w:rFonts w:ascii="宋体" w:eastAsia="宋体" w:hAnsi="宋体" w:cs="宋体" w:hint="eastAsia"/>
                <w:color w:val="000000"/>
                <w:spacing w:val="-1"/>
                <w:sz w:val="24"/>
              </w:rPr>
              <w:t>下列公式计算：投标报价得分＝（评标基准价</w:t>
            </w:r>
            <w:r>
              <w:rPr>
                <w:rFonts w:ascii="宋体" w:eastAsia="宋体" w:hAnsi="宋体" w:cs="宋体" w:hint="eastAsia"/>
                <w:color w:val="000000"/>
                <w:spacing w:val="-1"/>
                <w:sz w:val="24"/>
              </w:rPr>
              <w:t>/</w:t>
            </w:r>
            <w:r>
              <w:rPr>
                <w:rFonts w:ascii="宋体" w:eastAsia="宋体" w:hAnsi="宋体" w:cs="宋体" w:hint="eastAsia"/>
                <w:color w:val="000000"/>
                <w:spacing w:val="-1"/>
                <w:sz w:val="24"/>
              </w:rPr>
              <w:t>投标报价）×</w:t>
            </w:r>
            <w:r>
              <w:rPr>
                <w:rFonts w:ascii="宋体" w:eastAsia="宋体" w:hAnsi="宋体" w:cs="宋体" w:hint="eastAsia"/>
                <w:color w:val="000000"/>
                <w:spacing w:val="-1"/>
                <w:sz w:val="24"/>
              </w:rPr>
              <w:t>2</w:t>
            </w:r>
            <w:r>
              <w:rPr>
                <w:rFonts w:ascii="宋体" w:eastAsia="宋体" w:hAnsi="宋体" w:cs="宋体" w:hint="eastAsia"/>
                <w:color w:val="000000"/>
                <w:spacing w:val="-1"/>
                <w:sz w:val="24"/>
              </w:rPr>
              <w:t>0</w:t>
            </w:r>
            <w:r>
              <w:rPr>
                <w:rFonts w:ascii="宋体" w:eastAsia="宋体" w:hAnsi="宋体" w:cs="宋体" w:hint="eastAsia"/>
                <w:color w:val="000000"/>
                <w:spacing w:val="-1"/>
                <w:sz w:val="24"/>
              </w:rPr>
              <w:t>％×</w:t>
            </w:r>
            <w:r>
              <w:rPr>
                <w:rFonts w:ascii="宋体" w:eastAsia="宋体" w:hAnsi="宋体" w:cs="宋体" w:hint="eastAsia"/>
                <w:color w:val="000000"/>
                <w:spacing w:val="-1"/>
                <w:sz w:val="24"/>
              </w:rPr>
              <w:t>100</w:t>
            </w:r>
            <w:r>
              <w:rPr>
                <w:rFonts w:ascii="宋体" w:eastAsia="宋体" w:hAnsi="宋体" w:cs="宋体" w:hint="eastAsia"/>
                <w:color w:val="000000"/>
                <w:spacing w:val="-1"/>
                <w:sz w:val="24"/>
              </w:rPr>
              <w:t>。</w:t>
            </w:r>
          </w:p>
        </w:tc>
        <w:tc>
          <w:tcPr>
            <w:tcW w:w="407" w:type="pct"/>
            <w:vAlign w:val="center"/>
          </w:tcPr>
          <w:p w14:paraId="3A60240E" w14:textId="77777777" w:rsidR="00F730DE" w:rsidRDefault="008E3A84">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w:t>
            </w:r>
            <w:r>
              <w:rPr>
                <w:rFonts w:ascii="宋体" w:eastAsia="宋体" w:hAnsi="宋体" w:cs="宋体" w:hint="eastAsia"/>
                <w:color w:val="000000"/>
                <w:kern w:val="0"/>
                <w:sz w:val="24"/>
                <w:lang w:bidi="ar"/>
              </w:rPr>
              <w:t>0</w:t>
            </w:r>
          </w:p>
        </w:tc>
      </w:tr>
      <w:tr w:rsidR="00F730DE" w14:paraId="127556BF" w14:textId="77777777">
        <w:trPr>
          <w:trHeight w:val="1150"/>
        </w:trPr>
        <w:tc>
          <w:tcPr>
            <w:tcW w:w="583" w:type="pct"/>
            <w:vMerge w:val="restart"/>
            <w:vAlign w:val="center"/>
          </w:tcPr>
          <w:p w14:paraId="192CE2E5"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商务</w:t>
            </w:r>
          </w:p>
          <w:p w14:paraId="1052468D" w14:textId="77777777" w:rsidR="00F730DE" w:rsidRDefault="008E3A84">
            <w:pPr>
              <w:adjustRightInd w:val="0"/>
              <w:snapToGrid w:val="0"/>
              <w:jc w:val="center"/>
              <w:rPr>
                <w:rFonts w:ascii="宋体" w:eastAsia="宋体" w:hAnsi="宋体" w:cs="宋体"/>
                <w:color w:val="000000"/>
                <w:sz w:val="24"/>
              </w:rPr>
            </w:pPr>
            <w:r>
              <w:rPr>
                <w:rFonts w:ascii="宋体" w:eastAsia="宋体" w:hAnsi="宋体" w:cs="宋体" w:hint="eastAsia"/>
                <w:color w:val="000000"/>
                <w:spacing w:val="-1"/>
                <w:sz w:val="24"/>
              </w:rPr>
              <w:t>20</w:t>
            </w:r>
            <w:r>
              <w:rPr>
                <w:rFonts w:ascii="宋体" w:eastAsia="宋体" w:hAnsi="宋体" w:cs="宋体" w:hint="eastAsia"/>
                <w:color w:val="000000"/>
                <w:spacing w:val="-1"/>
                <w:sz w:val="24"/>
              </w:rPr>
              <w:t>分</w:t>
            </w:r>
          </w:p>
        </w:tc>
        <w:tc>
          <w:tcPr>
            <w:tcW w:w="703" w:type="pct"/>
            <w:vAlign w:val="center"/>
          </w:tcPr>
          <w:p w14:paraId="4EA385C6"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类似业绩</w:t>
            </w:r>
          </w:p>
        </w:tc>
        <w:tc>
          <w:tcPr>
            <w:tcW w:w="3305" w:type="pct"/>
            <w:vAlign w:val="center"/>
          </w:tcPr>
          <w:p w14:paraId="09C0C5D4"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供应商近三年（</w:t>
            </w:r>
            <w:r>
              <w:rPr>
                <w:rFonts w:ascii="宋体" w:eastAsia="宋体" w:hAnsi="宋体" w:cs="宋体" w:hint="eastAsia"/>
                <w:color w:val="000000"/>
                <w:spacing w:val="-1"/>
                <w:sz w:val="24"/>
              </w:rPr>
              <w:t>2023</w:t>
            </w:r>
            <w:r>
              <w:rPr>
                <w:rFonts w:ascii="宋体" w:eastAsia="宋体" w:hAnsi="宋体" w:cs="宋体" w:hint="eastAsia"/>
                <w:color w:val="000000"/>
                <w:spacing w:val="-1"/>
                <w:sz w:val="24"/>
              </w:rPr>
              <w:t>年</w:t>
            </w:r>
            <w:r>
              <w:rPr>
                <w:rFonts w:ascii="宋体" w:eastAsia="宋体" w:hAnsi="宋体" w:cs="宋体" w:hint="eastAsia"/>
                <w:color w:val="000000"/>
                <w:spacing w:val="-1"/>
                <w:sz w:val="24"/>
              </w:rPr>
              <w:t>04</w:t>
            </w:r>
            <w:r>
              <w:rPr>
                <w:rFonts w:ascii="宋体" w:eastAsia="宋体" w:hAnsi="宋体" w:cs="宋体" w:hint="eastAsia"/>
                <w:color w:val="000000"/>
                <w:spacing w:val="-1"/>
                <w:sz w:val="24"/>
              </w:rPr>
              <w:t>月至今）承担过类似项目业绩的，每有一个得</w:t>
            </w:r>
            <w:r>
              <w:rPr>
                <w:rFonts w:ascii="宋体" w:eastAsia="宋体" w:hAnsi="宋体" w:cs="宋体" w:hint="eastAsia"/>
                <w:color w:val="000000"/>
                <w:spacing w:val="-1"/>
                <w:sz w:val="24"/>
              </w:rPr>
              <w:t>4</w:t>
            </w:r>
            <w:r>
              <w:rPr>
                <w:rFonts w:ascii="宋体" w:eastAsia="宋体" w:hAnsi="宋体" w:cs="宋体" w:hint="eastAsia"/>
                <w:color w:val="000000"/>
                <w:spacing w:val="-1"/>
                <w:sz w:val="24"/>
              </w:rPr>
              <w:t>分。本项最多得</w:t>
            </w:r>
            <w:r>
              <w:rPr>
                <w:rFonts w:ascii="宋体" w:eastAsia="宋体" w:hAnsi="宋体" w:cs="宋体" w:hint="eastAsia"/>
                <w:color w:val="000000"/>
                <w:spacing w:val="-1"/>
                <w:sz w:val="24"/>
              </w:rPr>
              <w:t>8</w:t>
            </w:r>
            <w:r>
              <w:rPr>
                <w:rFonts w:ascii="宋体" w:eastAsia="宋体" w:hAnsi="宋体" w:cs="宋体" w:hint="eastAsia"/>
                <w:color w:val="000000"/>
                <w:spacing w:val="-1"/>
                <w:sz w:val="24"/>
              </w:rPr>
              <w:t>分。</w:t>
            </w:r>
          </w:p>
          <w:p w14:paraId="16684DDF"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注：提供合同，以合同签订时间为准，未提供的不得分。</w:t>
            </w:r>
          </w:p>
        </w:tc>
        <w:tc>
          <w:tcPr>
            <w:tcW w:w="407" w:type="pct"/>
            <w:vAlign w:val="center"/>
          </w:tcPr>
          <w:p w14:paraId="06CCD3F3"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8</w:t>
            </w:r>
          </w:p>
        </w:tc>
      </w:tr>
      <w:tr w:rsidR="00F730DE" w14:paraId="188094C5" w14:textId="77777777">
        <w:trPr>
          <w:trHeight w:val="862"/>
        </w:trPr>
        <w:tc>
          <w:tcPr>
            <w:tcW w:w="583" w:type="pct"/>
            <w:vMerge/>
            <w:vAlign w:val="center"/>
          </w:tcPr>
          <w:p w14:paraId="0052A40C" w14:textId="77777777" w:rsidR="00F730DE" w:rsidRDefault="00F730DE">
            <w:pPr>
              <w:adjustRightInd w:val="0"/>
              <w:snapToGrid w:val="0"/>
              <w:jc w:val="center"/>
              <w:rPr>
                <w:rFonts w:ascii="宋体" w:eastAsia="宋体" w:hAnsi="宋体" w:cs="宋体"/>
                <w:color w:val="000000"/>
                <w:spacing w:val="-1"/>
                <w:sz w:val="24"/>
              </w:rPr>
            </w:pPr>
          </w:p>
        </w:tc>
        <w:tc>
          <w:tcPr>
            <w:tcW w:w="703" w:type="pct"/>
            <w:vMerge w:val="restart"/>
            <w:vAlign w:val="center"/>
          </w:tcPr>
          <w:p w14:paraId="64792EA7"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sz w:val="24"/>
              </w:rPr>
              <w:t>项目人员配备</w:t>
            </w:r>
          </w:p>
        </w:tc>
        <w:tc>
          <w:tcPr>
            <w:tcW w:w="3305" w:type="pct"/>
            <w:vAlign w:val="center"/>
          </w:tcPr>
          <w:p w14:paraId="15616E66"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有国家注册安全工程师的每名得</w:t>
            </w:r>
            <w:r>
              <w:rPr>
                <w:rFonts w:ascii="宋体" w:eastAsia="宋体" w:hAnsi="宋体" w:cs="宋体" w:hint="eastAsia"/>
                <w:color w:val="000000"/>
                <w:spacing w:val="-1"/>
                <w:sz w:val="24"/>
              </w:rPr>
              <w:t>3</w:t>
            </w:r>
            <w:r>
              <w:rPr>
                <w:rFonts w:ascii="宋体" w:eastAsia="宋体" w:hAnsi="宋体" w:cs="宋体" w:hint="eastAsia"/>
                <w:color w:val="000000"/>
                <w:spacing w:val="-1"/>
                <w:sz w:val="24"/>
              </w:rPr>
              <w:t>分，最高</w:t>
            </w:r>
            <w:r>
              <w:rPr>
                <w:rFonts w:ascii="宋体" w:eastAsia="宋体" w:hAnsi="宋体" w:cs="宋体" w:hint="eastAsia"/>
                <w:color w:val="000000"/>
                <w:spacing w:val="-1"/>
                <w:sz w:val="24"/>
              </w:rPr>
              <w:t>6</w:t>
            </w:r>
            <w:r>
              <w:rPr>
                <w:rFonts w:ascii="宋体" w:eastAsia="宋体" w:hAnsi="宋体" w:cs="宋体" w:hint="eastAsia"/>
                <w:color w:val="000000"/>
                <w:spacing w:val="-1"/>
                <w:sz w:val="24"/>
              </w:rPr>
              <w:t>分。（应提供相关证件加盖公章。）</w:t>
            </w:r>
          </w:p>
        </w:tc>
        <w:tc>
          <w:tcPr>
            <w:tcW w:w="407" w:type="pct"/>
            <w:vAlign w:val="center"/>
          </w:tcPr>
          <w:p w14:paraId="0174E823"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6</w:t>
            </w:r>
          </w:p>
        </w:tc>
      </w:tr>
      <w:tr w:rsidR="00F730DE" w14:paraId="7C9F1850" w14:textId="77777777">
        <w:trPr>
          <w:trHeight w:val="728"/>
        </w:trPr>
        <w:tc>
          <w:tcPr>
            <w:tcW w:w="583" w:type="pct"/>
            <w:vMerge/>
            <w:vAlign w:val="center"/>
          </w:tcPr>
          <w:p w14:paraId="0905B420" w14:textId="77777777" w:rsidR="00F730DE" w:rsidRDefault="00F730DE">
            <w:pPr>
              <w:adjustRightInd w:val="0"/>
              <w:snapToGrid w:val="0"/>
              <w:jc w:val="center"/>
              <w:rPr>
                <w:rFonts w:ascii="宋体" w:eastAsia="宋体" w:hAnsi="宋体" w:cs="宋体"/>
                <w:color w:val="000000"/>
                <w:spacing w:val="-1"/>
                <w:sz w:val="24"/>
              </w:rPr>
            </w:pPr>
          </w:p>
        </w:tc>
        <w:tc>
          <w:tcPr>
            <w:tcW w:w="703" w:type="pct"/>
            <w:vMerge/>
            <w:vAlign w:val="center"/>
          </w:tcPr>
          <w:p w14:paraId="0FB21DBA" w14:textId="77777777" w:rsidR="00F730DE" w:rsidRDefault="00F730DE">
            <w:pPr>
              <w:adjustRightInd w:val="0"/>
              <w:snapToGrid w:val="0"/>
              <w:jc w:val="center"/>
              <w:rPr>
                <w:rFonts w:ascii="宋体" w:eastAsia="宋体" w:hAnsi="宋体" w:cs="宋体"/>
                <w:sz w:val="24"/>
              </w:rPr>
            </w:pPr>
          </w:p>
        </w:tc>
        <w:tc>
          <w:tcPr>
            <w:tcW w:w="3305" w:type="pct"/>
            <w:vAlign w:val="center"/>
          </w:tcPr>
          <w:p w14:paraId="1F537C7C"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有消防工程师的每名得</w:t>
            </w:r>
            <w:r>
              <w:rPr>
                <w:rFonts w:ascii="宋体" w:eastAsia="宋体" w:hAnsi="宋体" w:cs="宋体" w:hint="eastAsia"/>
                <w:color w:val="000000"/>
                <w:spacing w:val="-1"/>
                <w:sz w:val="24"/>
              </w:rPr>
              <w:t>2</w:t>
            </w:r>
            <w:r>
              <w:rPr>
                <w:rFonts w:ascii="宋体" w:eastAsia="宋体" w:hAnsi="宋体" w:cs="宋体" w:hint="eastAsia"/>
                <w:color w:val="000000"/>
                <w:spacing w:val="-1"/>
                <w:sz w:val="24"/>
              </w:rPr>
              <w:t>分，最高</w:t>
            </w:r>
            <w:r>
              <w:rPr>
                <w:rFonts w:ascii="宋体" w:eastAsia="宋体" w:hAnsi="宋体" w:cs="宋体" w:hint="eastAsia"/>
                <w:color w:val="000000"/>
                <w:spacing w:val="-1"/>
                <w:sz w:val="24"/>
              </w:rPr>
              <w:t>2</w:t>
            </w:r>
            <w:r>
              <w:rPr>
                <w:rFonts w:ascii="宋体" w:eastAsia="宋体" w:hAnsi="宋体" w:cs="宋体" w:hint="eastAsia"/>
                <w:color w:val="000000"/>
                <w:spacing w:val="-1"/>
                <w:sz w:val="24"/>
              </w:rPr>
              <w:t>分。（应提供相关证件加盖公章。）</w:t>
            </w:r>
          </w:p>
        </w:tc>
        <w:tc>
          <w:tcPr>
            <w:tcW w:w="407" w:type="pct"/>
            <w:vAlign w:val="center"/>
          </w:tcPr>
          <w:p w14:paraId="2014B005"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2</w:t>
            </w:r>
          </w:p>
        </w:tc>
      </w:tr>
      <w:tr w:rsidR="00F730DE" w14:paraId="36B44206" w14:textId="77777777">
        <w:trPr>
          <w:trHeight w:val="785"/>
        </w:trPr>
        <w:tc>
          <w:tcPr>
            <w:tcW w:w="583" w:type="pct"/>
            <w:vMerge/>
            <w:vAlign w:val="center"/>
          </w:tcPr>
          <w:p w14:paraId="5FAB3643" w14:textId="77777777" w:rsidR="00F730DE" w:rsidRDefault="00F730DE">
            <w:pPr>
              <w:adjustRightInd w:val="0"/>
              <w:snapToGrid w:val="0"/>
              <w:jc w:val="center"/>
              <w:rPr>
                <w:rFonts w:ascii="宋体" w:eastAsia="宋体" w:hAnsi="宋体" w:cs="宋体"/>
                <w:color w:val="000000"/>
                <w:spacing w:val="-1"/>
                <w:sz w:val="24"/>
              </w:rPr>
            </w:pPr>
          </w:p>
        </w:tc>
        <w:tc>
          <w:tcPr>
            <w:tcW w:w="703" w:type="pct"/>
            <w:vMerge/>
            <w:vAlign w:val="center"/>
          </w:tcPr>
          <w:p w14:paraId="5725DDD9" w14:textId="77777777" w:rsidR="00F730DE" w:rsidRDefault="00F730DE">
            <w:pPr>
              <w:adjustRightInd w:val="0"/>
              <w:snapToGrid w:val="0"/>
              <w:jc w:val="center"/>
              <w:rPr>
                <w:rFonts w:ascii="宋体" w:eastAsia="宋体" w:hAnsi="宋体" w:cs="宋体"/>
                <w:sz w:val="24"/>
              </w:rPr>
            </w:pPr>
          </w:p>
        </w:tc>
        <w:tc>
          <w:tcPr>
            <w:tcW w:w="3305" w:type="pct"/>
            <w:vAlign w:val="center"/>
          </w:tcPr>
          <w:p w14:paraId="7A728DBF"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有省安全标准化评审员的每名</w:t>
            </w:r>
            <w:r>
              <w:rPr>
                <w:rFonts w:ascii="宋体" w:eastAsia="宋体" w:hAnsi="宋体" w:cs="宋体" w:hint="eastAsia"/>
                <w:color w:val="000000"/>
                <w:spacing w:val="-1"/>
                <w:sz w:val="24"/>
              </w:rPr>
              <w:t>2</w:t>
            </w:r>
            <w:r>
              <w:rPr>
                <w:rFonts w:ascii="宋体" w:eastAsia="宋体" w:hAnsi="宋体" w:cs="宋体" w:hint="eastAsia"/>
                <w:color w:val="000000"/>
                <w:spacing w:val="-1"/>
                <w:sz w:val="24"/>
              </w:rPr>
              <w:t>分，最高</w:t>
            </w:r>
            <w:r>
              <w:rPr>
                <w:rFonts w:ascii="宋体" w:eastAsia="宋体" w:hAnsi="宋体" w:cs="宋体" w:hint="eastAsia"/>
                <w:color w:val="000000"/>
                <w:spacing w:val="-1"/>
                <w:sz w:val="24"/>
              </w:rPr>
              <w:t>4</w:t>
            </w:r>
            <w:r>
              <w:rPr>
                <w:rFonts w:ascii="宋体" w:eastAsia="宋体" w:hAnsi="宋体" w:cs="宋体" w:hint="eastAsia"/>
                <w:color w:val="000000"/>
                <w:spacing w:val="-1"/>
                <w:sz w:val="24"/>
              </w:rPr>
              <w:t>分。（应提供相关证件加盖公章。）</w:t>
            </w:r>
          </w:p>
        </w:tc>
        <w:tc>
          <w:tcPr>
            <w:tcW w:w="407" w:type="pct"/>
            <w:vAlign w:val="center"/>
          </w:tcPr>
          <w:p w14:paraId="25B9DCAB"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4</w:t>
            </w:r>
          </w:p>
        </w:tc>
      </w:tr>
      <w:tr w:rsidR="00F730DE" w14:paraId="0E3BDA2F" w14:textId="77777777">
        <w:trPr>
          <w:trHeight w:val="938"/>
        </w:trPr>
        <w:tc>
          <w:tcPr>
            <w:tcW w:w="583" w:type="pct"/>
            <w:vMerge w:val="restart"/>
            <w:vAlign w:val="center"/>
          </w:tcPr>
          <w:p w14:paraId="1668CBE0"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技术</w:t>
            </w:r>
          </w:p>
          <w:p w14:paraId="2167F5CC" w14:textId="77777777" w:rsidR="00F730DE" w:rsidRDefault="008E3A84">
            <w:pPr>
              <w:adjustRightInd w:val="0"/>
              <w:snapToGrid w:val="0"/>
              <w:jc w:val="center"/>
              <w:rPr>
                <w:rFonts w:ascii="宋体" w:eastAsia="宋体" w:hAnsi="宋体" w:cs="宋体"/>
                <w:color w:val="000000"/>
                <w:spacing w:val="-1"/>
                <w:sz w:val="24"/>
              </w:rPr>
            </w:pPr>
            <w:r>
              <w:rPr>
                <w:rFonts w:ascii="宋体" w:eastAsia="宋体" w:hAnsi="宋体" w:cs="宋体" w:hint="eastAsia"/>
                <w:color w:val="000000"/>
                <w:spacing w:val="-1"/>
                <w:sz w:val="24"/>
              </w:rPr>
              <w:t>60</w:t>
            </w:r>
            <w:r>
              <w:rPr>
                <w:rFonts w:ascii="宋体" w:eastAsia="宋体" w:hAnsi="宋体" w:cs="宋体" w:hint="eastAsia"/>
                <w:color w:val="000000"/>
                <w:spacing w:val="-1"/>
                <w:sz w:val="24"/>
              </w:rPr>
              <w:t>分</w:t>
            </w:r>
          </w:p>
        </w:tc>
        <w:tc>
          <w:tcPr>
            <w:tcW w:w="703" w:type="pct"/>
            <w:vAlign w:val="center"/>
          </w:tcPr>
          <w:p w14:paraId="6B27DDE9" w14:textId="77777777" w:rsidR="00F730DE" w:rsidRDefault="008E3A84">
            <w:pPr>
              <w:jc w:val="center"/>
              <w:rPr>
                <w:rFonts w:ascii="宋体" w:eastAsia="宋体" w:hAnsi="宋体" w:cs="宋体"/>
                <w:sz w:val="24"/>
              </w:rPr>
            </w:pPr>
            <w:r>
              <w:rPr>
                <w:rFonts w:ascii="宋体" w:eastAsia="宋体" w:hAnsi="宋体" w:cs="宋体" w:hint="eastAsia"/>
                <w:sz w:val="24"/>
              </w:rPr>
              <w:t>服务方案</w:t>
            </w:r>
          </w:p>
        </w:tc>
        <w:tc>
          <w:tcPr>
            <w:tcW w:w="6706" w:type="dxa"/>
            <w:vAlign w:val="center"/>
          </w:tcPr>
          <w:p w14:paraId="3063C05E" w14:textId="77777777" w:rsidR="00F730DE" w:rsidRDefault="008E3A84">
            <w:pPr>
              <w:rPr>
                <w:rFonts w:ascii="宋体" w:eastAsia="宋体" w:hAnsi="宋体" w:cs="宋体"/>
                <w:sz w:val="24"/>
              </w:rPr>
            </w:pPr>
            <w:r>
              <w:rPr>
                <w:rFonts w:ascii="宋体" w:eastAsia="宋体" w:hAnsi="宋体" w:cs="宋体" w:hint="eastAsia"/>
                <w:sz w:val="24"/>
              </w:rPr>
              <w:t>供应商根据文件要求，制定技术服务方案，内容包括但不限于①项目技术手段②作业方法③资料收集④出具报告等四个方面。</w:t>
            </w:r>
          </w:p>
          <w:p w14:paraId="562B8E3A" w14:textId="77777777" w:rsidR="00F730DE" w:rsidRDefault="008E3A84">
            <w:pPr>
              <w:rPr>
                <w:rFonts w:ascii="宋体" w:eastAsia="宋体" w:hAnsi="宋体" w:cs="宋体"/>
                <w:sz w:val="24"/>
              </w:rPr>
            </w:pPr>
            <w:r>
              <w:rPr>
                <w:rFonts w:ascii="宋体" w:eastAsia="宋体" w:hAnsi="宋体" w:cs="宋体"/>
                <w:sz w:val="24"/>
              </w:rPr>
              <w:t>根据供应商提供的以上</w:t>
            </w:r>
            <w:r>
              <w:rPr>
                <w:rFonts w:ascii="宋体" w:eastAsia="宋体" w:hAnsi="宋体" w:cs="宋体" w:hint="eastAsia"/>
                <w:sz w:val="24"/>
              </w:rPr>
              <w:t>4</w:t>
            </w:r>
            <w:r>
              <w:rPr>
                <w:rFonts w:ascii="宋体" w:eastAsia="宋体" w:hAnsi="宋体" w:cs="宋体"/>
                <w:sz w:val="24"/>
              </w:rPr>
              <w:t>项内容分别进行评审，单项内容最高得</w:t>
            </w:r>
            <w:r>
              <w:rPr>
                <w:rFonts w:ascii="宋体" w:eastAsia="宋体" w:hAnsi="宋体" w:cs="宋体"/>
                <w:sz w:val="24"/>
              </w:rPr>
              <w:t>5</w:t>
            </w:r>
            <w:r>
              <w:rPr>
                <w:rFonts w:ascii="宋体" w:eastAsia="宋体" w:hAnsi="宋体" w:cs="宋体"/>
                <w:sz w:val="24"/>
              </w:rPr>
              <w:t>分，满分</w:t>
            </w:r>
            <w:r>
              <w:rPr>
                <w:rFonts w:ascii="宋体" w:eastAsia="宋体" w:hAnsi="宋体" w:cs="宋体" w:hint="eastAsia"/>
                <w:sz w:val="24"/>
              </w:rPr>
              <w:t>2</w:t>
            </w:r>
            <w:r>
              <w:rPr>
                <w:rFonts w:ascii="宋体" w:eastAsia="宋体" w:hAnsi="宋体" w:cs="宋体"/>
                <w:sz w:val="24"/>
              </w:rPr>
              <w:t>0</w:t>
            </w:r>
            <w:r>
              <w:rPr>
                <w:rFonts w:ascii="宋体" w:eastAsia="宋体" w:hAnsi="宋体" w:cs="宋体"/>
                <w:sz w:val="24"/>
              </w:rPr>
              <w:t>分，单项评审标准如下：</w:t>
            </w:r>
          </w:p>
          <w:p w14:paraId="6DA23027" w14:textId="77777777" w:rsidR="00F730DE" w:rsidRDefault="008E3A84">
            <w:pPr>
              <w:rPr>
                <w:rFonts w:ascii="宋体" w:eastAsia="宋体" w:hAnsi="宋体" w:cs="宋体"/>
                <w:sz w:val="24"/>
              </w:rPr>
            </w:pPr>
            <w:r>
              <w:rPr>
                <w:rFonts w:ascii="宋体" w:eastAsia="宋体" w:hAnsi="宋体" w:cs="宋体"/>
                <w:sz w:val="24"/>
              </w:rPr>
              <w:t>1.</w:t>
            </w:r>
            <w:r>
              <w:rPr>
                <w:rFonts w:ascii="宋体" w:eastAsia="宋体" w:hAnsi="宋体" w:cs="宋体"/>
                <w:sz w:val="24"/>
              </w:rPr>
              <w:t>内容全面合理，</w:t>
            </w:r>
            <w:proofErr w:type="gramStart"/>
            <w:r>
              <w:rPr>
                <w:rFonts w:ascii="宋体" w:eastAsia="宋体" w:hAnsi="宋体" w:cs="宋体"/>
                <w:sz w:val="24"/>
              </w:rPr>
              <w:t>完全响应</w:t>
            </w:r>
            <w:proofErr w:type="gramEnd"/>
            <w:r>
              <w:rPr>
                <w:rFonts w:ascii="宋体" w:eastAsia="宋体" w:hAnsi="宋体" w:cs="宋体"/>
                <w:sz w:val="24"/>
              </w:rPr>
              <w:t>内容，文字条理清晰的，得</w:t>
            </w:r>
            <w:r>
              <w:rPr>
                <w:rFonts w:ascii="宋体" w:eastAsia="宋体" w:hAnsi="宋体" w:cs="宋体"/>
                <w:sz w:val="24"/>
              </w:rPr>
              <w:t>5</w:t>
            </w:r>
            <w:r>
              <w:rPr>
                <w:rFonts w:ascii="宋体" w:eastAsia="宋体" w:hAnsi="宋体" w:cs="宋体"/>
                <w:sz w:val="24"/>
              </w:rPr>
              <w:t>分；</w:t>
            </w:r>
          </w:p>
          <w:p w14:paraId="1063F3E8" w14:textId="77777777" w:rsidR="00F730DE" w:rsidRDefault="008E3A84">
            <w:pPr>
              <w:rPr>
                <w:rFonts w:ascii="宋体" w:eastAsia="宋体" w:hAnsi="宋体" w:cs="宋体"/>
                <w:sz w:val="24"/>
              </w:rPr>
            </w:pPr>
            <w:r>
              <w:rPr>
                <w:rFonts w:ascii="宋体" w:eastAsia="宋体" w:hAnsi="宋体" w:cs="宋体"/>
                <w:sz w:val="24"/>
              </w:rPr>
              <w:t>2.</w:t>
            </w:r>
            <w:r>
              <w:rPr>
                <w:rFonts w:ascii="宋体" w:eastAsia="宋体" w:hAnsi="宋体" w:cs="宋体"/>
                <w:sz w:val="24"/>
              </w:rPr>
              <w:t>内容基本全面合理，可以响应内容，但描述不够明确的，得</w:t>
            </w:r>
            <w:r>
              <w:rPr>
                <w:rFonts w:ascii="宋体" w:eastAsia="宋体" w:hAnsi="宋体" w:cs="宋体"/>
                <w:sz w:val="24"/>
              </w:rPr>
              <w:t>3</w:t>
            </w:r>
            <w:r>
              <w:rPr>
                <w:rFonts w:ascii="宋体" w:eastAsia="宋体" w:hAnsi="宋体" w:cs="宋体"/>
                <w:sz w:val="24"/>
              </w:rPr>
              <w:t>分；</w:t>
            </w:r>
          </w:p>
          <w:p w14:paraId="04454545" w14:textId="77777777" w:rsidR="00F730DE" w:rsidRDefault="008E3A84">
            <w:pPr>
              <w:rPr>
                <w:rFonts w:ascii="宋体" w:eastAsia="宋体" w:hAnsi="宋体" w:cs="宋体"/>
                <w:sz w:val="24"/>
              </w:rPr>
            </w:pPr>
            <w:r>
              <w:rPr>
                <w:rFonts w:ascii="宋体" w:eastAsia="宋体" w:hAnsi="宋体" w:cs="宋体"/>
                <w:sz w:val="24"/>
              </w:rPr>
              <w:t>3.</w:t>
            </w:r>
            <w:r>
              <w:rPr>
                <w:rFonts w:ascii="宋体" w:eastAsia="宋体" w:hAnsi="宋体" w:cs="宋体"/>
                <w:sz w:val="24"/>
              </w:rPr>
              <w:t>内容存在少量缺陷，文字条理不够清晰的，得</w:t>
            </w:r>
            <w:r>
              <w:rPr>
                <w:rFonts w:ascii="宋体" w:eastAsia="宋体" w:hAnsi="宋体" w:cs="宋体"/>
                <w:sz w:val="24"/>
              </w:rPr>
              <w:t>1</w:t>
            </w:r>
            <w:r>
              <w:rPr>
                <w:rFonts w:ascii="宋体" w:eastAsia="宋体" w:hAnsi="宋体" w:cs="宋体"/>
                <w:sz w:val="24"/>
              </w:rPr>
              <w:t>分；</w:t>
            </w:r>
          </w:p>
          <w:p w14:paraId="4A775771" w14:textId="77777777" w:rsidR="00F730DE" w:rsidRDefault="008E3A84">
            <w:pPr>
              <w:rPr>
                <w:rFonts w:ascii="宋体" w:eastAsia="宋体" w:hAnsi="宋体" w:cs="宋体"/>
                <w:sz w:val="24"/>
              </w:rPr>
            </w:pPr>
            <w:r>
              <w:rPr>
                <w:rFonts w:ascii="宋体" w:eastAsia="宋体" w:hAnsi="宋体" w:cs="宋体"/>
                <w:sz w:val="24"/>
              </w:rPr>
              <w:t>4.</w:t>
            </w:r>
            <w:r>
              <w:rPr>
                <w:rFonts w:ascii="宋体" w:eastAsia="宋体" w:hAnsi="宋体" w:cs="宋体"/>
                <w:sz w:val="24"/>
              </w:rPr>
              <w:t>内容可行性低或对应内容缺项不得分。</w:t>
            </w:r>
          </w:p>
        </w:tc>
        <w:tc>
          <w:tcPr>
            <w:tcW w:w="826" w:type="dxa"/>
            <w:vAlign w:val="center"/>
          </w:tcPr>
          <w:p w14:paraId="0F827554"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20</w:t>
            </w:r>
          </w:p>
        </w:tc>
      </w:tr>
      <w:tr w:rsidR="00F730DE" w14:paraId="7FF9D82B" w14:textId="77777777">
        <w:trPr>
          <w:trHeight w:val="1020"/>
        </w:trPr>
        <w:tc>
          <w:tcPr>
            <w:tcW w:w="583" w:type="pct"/>
            <w:vMerge/>
            <w:vAlign w:val="center"/>
          </w:tcPr>
          <w:p w14:paraId="20D5F37C" w14:textId="77777777" w:rsidR="00F730DE" w:rsidRDefault="00F730DE">
            <w:pPr>
              <w:adjustRightInd w:val="0"/>
              <w:snapToGrid w:val="0"/>
              <w:rPr>
                <w:rFonts w:ascii="宋体" w:eastAsia="宋体" w:hAnsi="宋体" w:cs="宋体"/>
                <w:color w:val="000000"/>
                <w:spacing w:val="-1"/>
                <w:sz w:val="24"/>
              </w:rPr>
            </w:pPr>
          </w:p>
        </w:tc>
        <w:tc>
          <w:tcPr>
            <w:tcW w:w="703" w:type="pct"/>
            <w:vAlign w:val="center"/>
          </w:tcPr>
          <w:p w14:paraId="228E4304"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安全评估标准制定</w:t>
            </w:r>
          </w:p>
        </w:tc>
        <w:tc>
          <w:tcPr>
            <w:tcW w:w="3305" w:type="pct"/>
            <w:vAlign w:val="center"/>
          </w:tcPr>
          <w:p w14:paraId="6146FE2F"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根据评估方案制定了具体评分标准的情况打分。（需包含幼儿园、中、小学三类），满分</w:t>
            </w:r>
            <w:r>
              <w:rPr>
                <w:rFonts w:ascii="宋体" w:eastAsia="宋体" w:hAnsi="宋体" w:cs="宋体" w:hint="eastAsia"/>
                <w:sz w:val="24"/>
              </w:rPr>
              <w:t>5</w:t>
            </w:r>
            <w:r>
              <w:rPr>
                <w:rFonts w:ascii="宋体" w:eastAsia="宋体" w:hAnsi="宋体" w:cs="宋体" w:hint="eastAsia"/>
                <w:sz w:val="24"/>
              </w:rPr>
              <w:t>分，单项评审标准如下：</w:t>
            </w:r>
          </w:p>
          <w:p w14:paraId="05AB141A"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内容完善，合理可行，针对性强</w:t>
            </w:r>
            <w:r>
              <w:rPr>
                <w:rFonts w:ascii="宋体" w:eastAsia="宋体" w:hAnsi="宋体" w:cs="宋体" w:hint="eastAsia"/>
                <w:sz w:val="24"/>
              </w:rPr>
              <w:t>5</w:t>
            </w:r>
            <w:r>
              <w:rPr>
                <w:rFonts w:ascii="宋体" w:eastAsia="宋体" w:hAnsi="宋体" w:cs="宋体" w:hint="eastAsia"/>
                <w:sz w:val="24"/>
              </w:rPr>
              <w:t>分；</w:t>
            </w:r>
          </w:p>
          <w:p w14:paraId="2C8CD9A2"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内容完善，基本合理，基本可行</w:t>
            </w:r>
            <w:r>
              <w:rPr>
                <w:rFonts w:ascii="宋体" w:eastAsia="宋体" w:hAnsi="宋体" w:cs="宋体" w:hint="eastAsia"/>
                <w:sz w:val="24"/>
              </w:rPr>
              <w:t xml:space="preserve"> 3 </w:t>
            </w:r>
            <w:r>
              <w:rPr>
                <w:rFonts w:ascii="宋体" w:eastAsia="宋体" w:hAnsi="宋体" w:cs="宋体" w:hint="eastAsia"/>
                <w:sz w:val="24"/>
              </w:rPr>
              <w:t>分；</w:t>
            </w:r>
          </w:p>
          <w:p w14:paraId="55B5C91D"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内容欠合理，基本可行</w:t>
            </w:r>
            <w:r>
              <w:rPr>
                <w:rFonts w:ascii="宋体" w:eastAsia="宋体" w:hAnsi="宋体" w:cs="宋体" w:hint="eastAsia"/>
                <w:sz w:val="24"/>
              </w:rPr>
              <w:t xml:space="preserve"> 1 </w:t>
            </w:r>
            <w:r>
              <w:rPr>
                <w:rFonts w:ascii="宋体" w:eastAsia="宋体" w:hAnsi="宋体" w:cs="宋体" w:hint="eastAsia"/>
                <w:sz w:val="24"/>
              </w:rPr>
              <w:t>分；</w:t>
            </w:r>
          </w:p>
          <w:p w14:paraId="1E3A7667"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内容不可行或完全与本项目不符或未提供得</w:t>
            </w:r>
            <w:r>
              <w:rPr>
                <w:rFonts w:ascii="宋体" w:eastAsia="宋体" w:hAnsi="宋体" w:cs="宋体" w:hint="eastAsia"/>
                <w:sz w:val="24"/>
              </w:rPr>
              <w:t xml:space="preserve"> 0 </w:t>
            </w:r>
            <w:r>
              <w:rPr>
                <w:rFonts w:ascii="宋体" w:eastAsia="宋体" w:hAnsi="宋体" w:cs="宋体" w:hint="eastAsia"/>
                <w:sz w:val="24"/>
              </w:rPr>
              <w:t>分。</w:t>
            </w:r>
          </w:p>
        </w:tc>
        <w:tc>
          <w:tcPr>
            <w:tcW w:w="407" w:type="pct"/>
            <w:vAlign w:val="center"/>
          </w:tcPr>
          <w:p w14:paraId="06D24852"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5</w:t>
            </w:r>
          </w:p>
        </w:tc>
      </w:tr>
      <w:tr w:rsidR="00F730DE" w14:paraId="47690131" w14:textId="77777777">
        <w:trPr>
          <w:trHeight w:val="884"/>
        </w:trPr>
        <w:tc>
          <w:tcPr>
            <w:tcW w:w="583" w:type="pct"/>
            <w:vMerge/>
            <w:vAlign w:val="center"/>
          </w:tcPr>
          <w:p w14:paraId="4D1C36AD" w14:textId="77777777" w:rsidR="00F730DE" w:rsidRDefault="00F730DE">
            <w:pPr>
              <w:adjustRightInd w:val="0"/>
              <w:snapToGrid w:val="0"/>
              <w:rPr>
                <w:rFonts w:ascii="宋体" w:eastAsia="宋体" w:hAnsi="宋体" w:cs="宋体"/>
                <w:color w:val="000000"/>
                <w:spacing w:val="-1"/>
                <w:sz w:val="24"/>
              </w:rPr>
            </w:pPr>
          </w:p>
        </w:tc>
        <w:tc>
          <w:tcPr>
            <w:tcW w:w="703" w:type="pct"/>
            <w:vAlign w:val="center"/>
          </w:tcPr>
          <w:p w14:paraId="7103E38B" w14:textId="77777777" w:rsidR="00F730DE" w:rsidRDefault="008E3A84">
            <w:pPr>
              <w:jc w:val="center"/>
              <w:rPr>
                <w:rFonts w:ascii="宋体" w:eastAsia="宋体" w:hAnsi="宋体" w:cs="宋体"/>
                <w:sz w:val="24"/>
              </w:rPr>
            </w:pPr>
            <w:r>
              <w:rPr>
                <w:rFonts w:ascii="宋体" w:eastAsia="宋体" w:hAnsi="宋体" w:cs="宋体" w:hint="eastAsia"/>
                <w:sz w:val="24"/>
              </w:rPr>
              <w:t>对地域特点了解与分析</w:t>
            </w:r>
          </w:p>
        </w:tc>
        <w:tc>
          <w:tcPr>
            <w:tcW w:w="3305" w:type="pct"/>
            <w:vAlign w:val="center"/>
          </w:tcPr>
          <w:p w14:paraId="3E8A4CF4"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对东西湖区域校园特点有分析的得</w:t>
            </w:r>
            <w:r>
              <w:rPr>
                <w:rFonts w:ascii="宋体" w:eastAsia="宋体" w:hAnsi="宋体" w:cs="宋体" w:hint="eastAsia"/>
                <w:color w:val="000000"/>
                <w:spacing w:val="-1"/>
                <w:sz w:val="24"/>
              </w:rPr>
              <w:t>5</w:t>
            </w:r>
            <w:r>
              <w:rPr>
                <w:rFonts w:ascii="宋体" w:eastAsia="宋体" w:hAnsi="宋体" w:cs="宋体" w:hint="eastAsia"/>
                <w:color w:val="000000"/>
                <w:spacing w:val="-1"/>
                <w:sz w:val="24"/>
              </w:rPr>
              <w:t>分，未提供不得分。</w:t>
            </w:r>
          </w:p>
        </w:tc>
        <w:tc>
          <w:tcPr>
            <w:tcW w:w="407" w:type="pct"/>
            <w:vAlign w:val="center"/>
          </w:tcPr>
          <w:p w14:paraId="70E88C25"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5</w:t>
            </w:r>
          </w:p>
        </w:tc>
      </w:tr>
      <w:tr w:rsidR="00F730DE" w14:paraId="04E67D8E" w14:textId="77777777">
        <w:trPr>
          <w:trHeight w:val="582"/>
        </w:trPr>
        <w:tc>
          <w:tcPr>
            <w:tcW w:w="583" w:type="pct"/>
            <w:vMerge/>
            <w:vAlign w:val="center"/>
          </w:tcPr>
          <w:p w14:paraId="38B3601F" w14:textId="77777777" w:rsidR="00F730DE" w:rsidRDefault="00F730DE">
            <w:pPr>
              <w:adjustRightInd w:val="0"/>
              <w:snapToGrid w:val="0"/>
              <w:rPr>
                <w:rFonts w:ascii="宋体" w:eastAsia="宋体" w:hAnsi="宋体" w:cs="宋体"/>
                <w:color w:val="000000"/>
                <w:spacing w:val="-1"/>
                <w:sz w:val="24"/>
              </w:rPr>
            </w:pPr>
          </w:p>
        </w:tc>
        <w:tc>
          <w:tcPr>
            <w:tcW w:w="703" w:type="pct"/>
            <w:vAlign w:val="center"/>
          </w:tcPr>
          <w:p w14:paraId="6C977C63" w14:textId="77777777" w:rsidR="00F730DE" w:rsidRDefault="008E3A84">
            <w:pPr>
              <w:jc w:val="center"/>
              <w:rPr>
                <w:rFonts w:ascii="宋体" w:eastAsia="宋体" w:hAnsi="宋体" w:cs="宋体"/>
                <w:sz w:val="24"/>
              </w:rPr>
            </w:pPr>
            <w:r>
              <w:rPr>
                <w:rFonts w:ascii="宋体" w:eastAsia="宋体" w:hAnsi="宋体" w:cs="宋体" w:hint="eastAsia"/>
                <w:sz w:val="24"/>
              </w:rPr>
              <w:t>质量保证措施</w:t>
            </w:r>
          </w:p>
        </w:tc>
        <w:tc>
          <w:tcPr>
            <w:tcW w:w="6706" w:type="dxa"/>
            <w:vAlign w:val="center"/>
          </w:tcPr>
          <w:p w14:paraId="07C7843C"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质量保证措施，内容包括但不限于①技术规范②流程控制③关键节点控制等三个方面。</w:t>
            </w:r>
          </w:p>
          <w:p w14:paraId="196CBEE8"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根据供应商提供的以上</w:t>
            </w:r>
            <w:r>
              <w:rPr>
                <w:rFonts w:ascii="宋体" w:eastAsia="宋体" w:hAnsi="宋体" w:cs="宋体" w:hint="eastAsia"/>
                <w:color w:val="000000"/>
                <w:spacing w:val="-1"/>
                <w:sz w:val="24"/>
              </w:rPr>
              <w:t>3</w:t>
            </w:r>
            <w:r>
              <w:rPr>
                <w:rFonts w:ascii="宋体" w:eastAsia="宋体" w:hAnsi="宋体" w:cs="宋体" w:hint="eastAsia"/>
                <w:color w:val="000000"/>
                <w:spacing w:val="-1"/>
                <w:sz w:val="24"/>
              </w:rPr>
              <w:t>项内容分别进行评审，单项内容最高得</w:t>
            </w:r>
            <w:r>
              <w:rPr>
                <w:rFonts w:ascii="宋体" w:eastAsia="宋体" w:hAnsi="宋体" w:cs="宋体" w:hint="eastAsia"/>
                <w:color w:val="000000"/>
                <w:spacing w:val="-1"/>
                <w:sz w:val="24"/>
              </w:rPr>
              <w:t>5</w:t>
            </w:r>
            <w:r>
              <w:rPr>
                <w:rFonts w:ascii="宋体" w:eastAsia="宋体" w:hAnsi="宋体" w:cs="宋体" w:hint="eastAsia"/>
                <w:color w:val="000000"/>
                <w:spacing w:val="-1"/>
                <w:sz w:val="24"/>
              </w:rPr>
              <w:t>分，满分</w:t>
            </w:r>
            <w:r>
              <w:rPr>
                <w:rFonts w:ascii="宋体" w:eastAsia="宋体" w:hAnsi="宋体" w:cs="宋体" w:hint="eastAsia"/>
                <w:color w:val="000000"/>
                <w:spacing w:val="-1"/>
                <w:sz w:val="24"/>
              </w:rPr>
              <w:t>15</w:t>
            </w:r>
            <w:r>
              <w:rPr>
                <w:rFonts w:ascii="宋体" w:eastAsia="宋体" w:hAnsi="宋体" w:cs="宋体" w:hint="eastAsia"/>
                <w:color w:val="000000"/>
                <w:spacing w:val="-1"/>
                <w:sz w:val="24"/>
              </w:rPr>
              <w:t>分，单项评审标准如下：</w:t>
            </w:r>
          </w:p>
          <w:p w14:paraId="162BE4AF"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1.</w:t>
            </w:r>
            <w:r>
              <w:rPr>
                <w:rFonts w:ascii="宋体" w:eastAsia="宋体" w:hAnsi="宋体" w:cs="宋体" w:hint="eastAsia"/>
                <w:color w:val="000000"/>
                <w:spacing w:val="-1"/>
                <w:sz w:val="24"/>
              </w:rPr>
              <w:t>内容全面合理，</w:t>
            </w:r>
            <w:proofErr w:type="gramStart"/>
            <w:r>
              <w:rPr>
                <w:rFonts w:ascii="宋体" w:eastAsia="宋体" w:hAnsi="宋体" w:cs="宋体" w:hint="eastAsia"/>
                <w:color w:val="000000"/>
                <w:spacing w:val="-1"/>
                <w:sz w:val="24"/>
              </w:rPr>
              <w:t>完全响应</w:t>
            </w:r>
            <w:proofErr w:type="gramEnd"/>
            <w:r>
              <w:rPr>
                <w:rFonts w:ascii="宋体" w:eastAsia="宋体" w:hAnsi="宋体" w:cs="宋体" w:hint="eastAsia"/>
                <w:color w:val="000000"/>
                <w:spacing w:val="-1"/>
                <w:sz w:val="24"/>
              </w:rPr>
              <w:t>内容，文字条理清晰的，得</w:t>
            </w:r>
            <w:r>
              <w:rPr>
                <w:rFonts w:ascii="宋体" w:eastAsia="宋体" w:hAnsi="宋体" w:cs="宋体" w:hint="eastAsia"/>
                <w:color w:val="000000"/>
                <w:spacing w:val="-1"/>
                <w:sz w:val="24"/>
              </w:rPr>
              <w:t>5</w:t>
            </w:r>
            <w:r>
              <w:rPr>
                <w:rFonts w:ascii="宋体" w:eastAsia="宋体" w:hAnsi="宋体" w:cs="宋体" w:hint="eastAsia"/>
                <w:color w:val="000000"/>
                <w:spacing w:val="-1"/>
                <w:sz w:val="24"/>
              </w:rPr>
              <w:t>分；</w:t>
            </w:r>
          </w:p>
          <w:p w14:paraId="23F6DB33"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lastRenderedPageBreak/>
              <w:t>2.</w:t>
            </w:r>
            <w:r>
              <w:rPr>
                <w:rFonts w:ascii="宋体" w:eastAsia="宋体" w:hAnsi="宋体" w:cs="宋体" w:hint="eastAsia"/>
                <w:color w:val="000000"/>
                <w:spacing w:val="-1"/>
                <w:sz w:val="24"/>
              </w:rPr>
              <w:t>内容基本全面合理，可以响应内容，但描述不够明确的，得</w:t>
            </w:r>
            <w:r>
              <w:rPr>
                <w:rFonts w:ascii="宋体" w:eastAsia="宋体" w:hAnsi="宋体" w:cs="宋体" w:hint="eastAsia"/>
                <w:color w:val="000000"/>
                <w:spacing w:val="-1"/>
                <w:sz w:val="24"/>
              </w:rPr>
              <w:t>3</w:t>
            </w:r>
            <w:r>
              <w:rPr>
                <w:rFonts w:ascii="宋体" w:eastAsia="宋体" w:hAnsi="宋体" w:cs="宋体" w:hint="eastAsia"/>
                <w:color w:val="000000"/>
                <w:spacing w:val="-1"/>
                <w:sz w:val="24"/>
              </w:rPr>
              <w:t>分；</w:t>
            </w:r>
          </w:p>
          <w:p w14:paraId="5FF8DD45"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3.</w:t>
            </w:r>
            <w:r>
              <w:rPr>
                <w:rFonts w:ascii="宋体" w:eastAsia="宋体" w:hAnsi="宋体" w:cs="宋体" w:hint="eastAsia"/>
                <w:color w:val="000000"/>
                <w:spacing w:val="-1"/>
                <w:sz w:val="24"/>
              </w:rPr>
              <w:t>内容存在少量缺陷，文字条理不够清晰的，得</w:t>
            </w:r>
            <w:r>
              <w:rPr>
                <w:rFonts w:ascii="宋体" w:eastAsia="宋体" w:hAnsi="宋体" w:cs="宋体" w:hint="eastAsia"/>
                <w:color w:val="000000"/>
                <w:spacing w:val="-1"/>
                <w:sz w:val="24"/>
              </w:rPr>
              <w:t>1</w:t>
            </w:r>
            <w:r>
              <w:rPr>
                <w:rFonts w:ascii="宋体" w:eastAsia="宋体" w:hAnsi="宋体" w:cs="宋体" w:hint="eastAsia"/>
                <w:color w:val="000000"/>
                <w:spacing w:val="-1"/>
                <w:sz w:val="24"/>
              </w:rPr>
              <w:t>分；</w:t>
            </w:r>
          </w:p>
          <w:p w14:paraId="6846AE18" w14:textId="77777777" w:rsidR="00F730DE" w:rsidRDefault="008E3A84">
            <w:pPr>
              <w:adjustRightInd w:val="0"/>
              <w:snapToGrid w:val="0"/>
              <w:rPr>
                <w:rFonts w:ascii="宋体" w:eastAsia="宋体" w:hAnsi="宋体" w:cs="宋体"/>
                <w:color w:val="000000"/>
                <w:spacing w:val="-1"/>
                <w:sz w:val="24"/>
              </w:rPr>
            </w:pPr>
            <w:r>
              <w:rPr>
                <w:rFonts w:ascii="宋体" w:eastAsia="宋体" w:hAnsi="宋体" w:cs="宋体" w:hint="eastAsia"/>
                <w:color w:val="000000"/>
                <w:spacing w:val="-1"/>
                <w:sz w:val="24"/>
              </w:rPr>
              <w:t>4.</w:t>
            </w:r>
            <w:r>
              <w:rPr>
                <w:rFonts w:ascii="宋体" w:eastAsia="宋体" w:hAnsi="宋体" w:cs="宋体" w:hint="eastAsia"/>
                <w:color w:val="000000"/>
                <w:spacing w:val="-1"/>
                <w:sz w:val="24"/>
              </w:rPr>
              <w:t>内容可行性低或对应内容缺项不得分。</w:t>
            </w:r>
          </w:p>
        </w:tc>
        <w:tc>
          <w:tcPr>
            <w:tcW w:w="826" w:type="dxa"/>
            <w:vAlign w:val="center"/>
          </w:tcPr>
          <w:p w14:paraId="3708AB06"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lastRenderedPageBreak/>
              <w:t>15</w:t>
            </w:r>
          </w:p>
        </w:tc>
      </w:tr>
      <w:tr w:rsidR="00F730DE" w14:paraId="6FCB919B" w14:textId="77777777">
        <w:trPr>
          <w:trHeight w:val="2261"/>
        </w:trPr>
        <w:tc>
          <w:tcPr>
            <w:tcW w:w="583" w:type="pct"/>
            <w:vMerge/>
            <w:vAlign w:val="center"/>
          </w:tcPr>
          <w:p w14:paraId="568E33DF" w14:textId="77777777" w:rsidR="00F730DE" w:rsidRDefault="00F730DE">
            <w:pPr>
              <w:adjustRightInd w:val="0"/>
              <w:snapToGrid w:val="0"/>
              <w:rPr>
                <w:rFonts w:ascii="宋体" w:eastAsia="宋体" w:hAnsi="宋体" w:cs="宋体"/>
                <w:color w:val="000000"/>
                <w:spacing w:val="-1"/>
                <w:sz w:val="24"/>
              </w:rPr>
            </w:pPr>
          </w:p>
        </w:tc>
        <w:tc>
          <w:tcPr>
            <w:tcW w:w="703" w:type="pct"/>
            <w:vAlign w:val="center"/>
          </w:tcPr>
          <w:p w14:paraId="4164C3FE" w14:textId="77777777" w:rsidR="00F730DE" w:rsidRDefault="008E3A84">
            <w:pPr>
              <w:jc w:val="center"/>
              <w:rPr>
                <w:rFonts w:ascii="宋体" w:eastAsia="宋体" w:hAnsi="宋体" w:cs="宋体"/>
                <w:sz w:val="24"/>
              </w:rPr>
            </w:pPr>
            <w:r>
              <w:rPr>
                <w:rFonts w:ascii="宋体" w:eastAsia="宋体" w:hAnsi="宋体" w:cs="宋体" w:hint="eastAsia"/>
                <w:sz w:val="24"/>
              </w:rPr>
              <w:t>服务承</w:t>
            </w:r>
          </w:p>
          <w:p w14:paraId="14CA5D75" w14:textId="77777777" w:rsidR="00F730DE" w:rsidRDefault="008E3A84">
            <w:pPr>
              <w:jc w:val="center"/>
              <w:rPr>
                <w:rFonts w:ascii="宋体" w:eastAsia="宋体" w:hAnsi="宋体" w:cs="宋体"/>
                <w:sz w:val="24"/>
              </w:rPr>
            </w:pPr>
            <w:r>
              <w:rPr>
                <w:rFonts w:ascii="宋体" w:eastAsia="宋体" w:hAnsi="宋体" w:cs="宋体" w:hint="eastAsia"/>
                <w:sz w:val="24"/>
              </w:rPr>
              <w:t>诺</w:t>
            </w:r>
          </w:p>
        </w:tc>
        <w:tc>
          <w:tcPr>
            <w:tcW w:w="6706" w:type="dxa"/>
            <w:vAlign w:val="center"/>
          </w:tcPr>
          <w:p w14:paraId="699604BB"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供应商根据文件要求，制定服务承诺，内容包括但不限于①人员到位承诺②质量保证承诺③响应时效承诺等三个方面。</w:t>
            </w:r>
          </w:p>
          <w:p w14:paraId="37191114"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根据供应商提供的以上</w:t>
            </w:r>
            <w:r>
              <w:rPr>
                <w:rFonts w:ascii="宋体" w:eastAsia="宋体" w:hAnsi="宋体" w:cs="宋体" w:hint="eastAsia"/>
                <w:sz w:val="24"/>
              </w:rPr>
              <w:t>3</w:t>
            </w:r>
            <w:r>
              <w:rPr>
                <w:rFonts w:ascii="宋体" w:eastAsia="宋体" w:hAnsi="宋体" w:cs="宋体" w:hint="eastAsia"/>
                <w:sz w:val="24"/>
              </w:rPr>
              <w:t>项内容分别进行评审，单项内容最高得</w:t>
            </w:r>
            <w:r>
              <w:rPr>
                <w:rFonts w:ascii="宋体" w:eastAsia="宋体" w:hAnsi="宋体" w:cs="宋体" w:hint="eastAsia"/>
                <w:sz w:val="24"/>
              </w:rPr>
              <w:t>5</w:t>
            </w:r>
            <w:r>
              <w:rPr>
                <w:rFonts w:ascii="宋体" w:eastAsia="宋体" w:hAnsi="宋体" w:cs="宋体" w:hint="eastAsia"/>
                <w:sz w:val="24"/>
              </w:rPr>
              <w:t>分，满分</w:t>
            </w:r>
            <w:r>
              <w:rPr>
                <w:rFonts w:ascii="宋体" w:eastAsia="宋体" w:hAnsi="宋体" w:cs="宋体" w:hint="eastAsia"/>
                <w:sz w:val="24"/>
              </w:rPr>
              <w:t>15</w:t>
            </w:r>
            <w:r>
              <w:rPr>
                <w:rFonts w:ascii="宋体" w:eastAsia="宋体" w:hAnsi="宋体" w:cs="宋体" w:hint="eastAsia"/>
                <w:sz w:val="24"/>
              </w:rPr>
              <w:t>分，单项评审标准如下：</w:t>
            </w:r>
          </w:p>
          <w:p w14:paraId="0689AEEE"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内容全面合理，</w:t>
            </w:r>
            <w:proofErr w:type="gramStart"/>
            <w:r>
              <w:rPr>
                <w:rFonts w:ascii="宋体" w:eastAsia="宋体" w:hAnsi="宋体" w:cs="宋体" w:hint="eastAsia"/>
                <w:sz w:val="24"/>
              </w:rPr>
              <w:t>完全响应</w:t>
            </w:r>
            <w:proofErr w:type="gramEnd"/>
            <w:r>
              <w:rPr>
                <w:rFonts w:ascii="宋体" w:eastAsia="宋体" w:hAnsi="宋体" w:cs="宋体" w:hint="eastAsia"/>
                <w:sz w:val="24"/>
              </w:rPr>
              <w:t>内容，文字条理清晰的，得</w:t>
            </w:r>
            <w:r>
              <w:rPr>
                <w:rFonts w:ascii="宋体" w:eastAsia="宋体" w:hAnsi="宋体" w:cs="宋体" w:hint="eastAsia"/>
                <w:sz w:val="24"/>
              </w:rPr>
              <w:t>5</w:t>
            </w:r>
            <w:r>
              <w:rPr>
                <w:rFonts w:ascii="宋体" w:eastAsia="宋体" w:hAnsi="宋体" w:cs="宋体" w:hint="eastAsia"/>
                <w:sz w:val="24"/>
              </w:rPr>
              <w:t>分；</w:t>
            </w:r>
          </w:p>
          <w:p w14:paraId="2ABA6070"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内容基本全面合理，可以响应内容，但描述不够明确的，得</w:t>
            </w:r>
            <w:r>
              <w:rPr>
                <w:rFonts w:ascii="宋体" w:eastAsia="宋体" w:hAnsi="宋体" w:cs="宋体" w:hint="eastAsia"/>
                <w:sz w:val="24"/>
              </w:rPr>
              <w:t>3</w:t>
            </w:r>
            <w:r>
              <w:rPr>
                <w:rFonts w:ascii="宋体" w:eastAsia="宋体" w:hAnsi="宋体" w:cs="宋体" w:hint="eastAsia"/>
                <w:sz w:val="24"/>
              </w:rPr>
              <w:t>分；</w:t>
            </w:r>
          </w:p>
          <w:p w14:paraId="615A853F"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内容存在少量缺陷，文字条理不够清晰的，得</w:t>
            </w:r>
            <w:r>
              <w:rPr>
                <w:rFonts w:ascii="宋体" w:eastAsia="宋体" w:hAnsi="宋体" w:cs="宋体" w:hint="eastAsia"/>
                <w:sz w:val="24"/>
              </w:rPr>
              <w:t>1</w:t>
            </w:r>
            <w:r>
              <w:rPr>
                <w:rFonts w:ascii="宋体" w:eastAsia="宋体" w:hAnsi="宋体" w:cs="宋体" w:hint="eastAsia"/>
                <w:sz w:val="24"/>
              </w:rPr>
              <w:t>分；</w:t>
            </w:r>
          </w:p>
          <w:p w14:paraId="15D150D1" w14:textId="77777777" w:rsidR="00F730DE" w:rsidRDefault="008E3A84">
            <w:pPr>
              <w:adjustRightInd w:val="0"/>
              <w:snapToGrid w:val="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内容可行性低或对应内容缺项不得分。</w:t>
            </w:r>
          </w:p>
        </w:tc>
        <w:tc>
          <w:tcPr>
            <w:tcW w:w="826" w:type="dxa"/>
            <w:vAlign w:val="center"/>
          </w:tcPr>
          <w:p w14:paraId="6A9505D4"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15</w:t>
            </w:r>
          </w:p>
        </w:tc>
      </w:tr>
      <w:tr w:rsidR="00F730DE" w14:paraId="72B8BD40" w14:textId="77777777">
        <w:trPr>
          <w:trHeight w:val="484"/>
        </w:trPr>
        <w:tc>
          <w:tcPr>
            <w:tcW w:w="4592" w:type="pct"/>
            <w:gridSpan w:val="3"/>
            <w:vAlign w:val="center"/>
          </w:tcPr>
          <w:p w14:paraId="127EB5B4"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总分</w:t>
            </w:r>
          </w:p>
        </w:tc>
        <w:tc>
          <w:tcPr>
            <w:tcW w:w="407" w:type="pct"/>
            <w:vAlign w:val="center"/>
          </w:tcPr>
          <w:p w14:paraId="0314FD1C" w14:textId="77777777" w:rsidR="00F730DE" w:rsidRDefault="008E3A84">
            <w:pPr>
              <w:jc w:val="center"/>
              <w:rPr>
                <w:rFonts w:ascii="宋体" w:eastAsia="宋体" w:hAnsi="宋体" w:cs="宋体"/>
                <w:color w:val="000000"/>
                <w:sz w:val="24"/>
              </w:rPr>
            </w:pPr>
            <w:r>
              <w:rPr>
                <w:rFonts w:ascii="宋体" w:eastAsia="宋体" w:hAnsi="宋体" w:cs="宋体" w:hint="eastAsia"/>
                <w:color w:val="000000"/>
                <w:sz w:val="24"/>
              </w:rPr>
              <w:t>100</w:t>
            </w:r>
          </w:p>
        </w:tc>
      </w:tr>
    </w:tbl>
    <w:p w14:paraId="5BC41144" w14:textId="77777777" w:rsidR="00F730DE" w:rsidRDefault="00F730DE">
      <w:pPr>
        <w:pStyle w:val="a3"/>
        <w:rPr>
          <w:lang w:eastAsia="zh-CN"/>
        </w:rPr>
        <w:sectPr w:rsidR="00F730DE">
          <w:pgSz w:w="11906" w:h="16838"/>
          <w:pgMar w:top="1440" w:right="1800" w:bottom="1440" w:left="1800" w:header="851" w:footer="992" w:gutter="0"/>
          <w:cols w:space="425"/>
          <w:docGrid w:type="lines" w:linePitch="312"/>
        </w:sectPr>
      </w:pPr>
    </w:p>
    <w:p w14:paraId="0DF19ACF" w14:textId="77777777" w:rsidR="00F730DE" w:rsidRDefault="008E3A84">
      <w:pPr>
        <w:keepNext/>
        <w:keepLines/>
        <w:autoSpaceDE w:val="0"/>
        <w:autoSpaceDN w:val="0"/>
        <w:spacing w:line="360" w:lineRule="auto"/>
        <w:jc w:val="center"/>
        <w:outlineLvl w:val="0"/>
        <w:rPr>
          <w:rFonts w:ascii="宋体" w:eastAsia="宋体" w:hAnsi="宋体" w:cs="Times New Roman"/>
          <w:b/>
          <w:kern w:val="0"/>
          <w:sz w:val="30"/>
          <w:szCs w:val="20"/>
        </w:rPr>
      </w:pPr>
      <w:bookmarkStart w:id="2" w:name="_Toc8192"/>
      <w:bookmarkStart w:id="3" w:name="_Toc20596"/>
      <w:r>
        <w:rPr>
          <w:rFonts w:ascii="宋体" w:eastAsia="宋体" w:hAnsi="宋体" w:cs="Arial" w:hint="eastAsia"/>
          <w:b/>
          <w:color w:val="000000"/>
          <w:kern w:val="0"/>
          <w:sz w:val="30"/>
          <w:szCs w:val="21"/>
        </w:rPr>
        <w:lastRenderedPageBreak/>
        <w:t>四、</w:t>
      </w:r>
      <w:r>
        <w:rPr>
          <w:rFonts w:ascii="宋体" w:eastAsia="宋体" w:hAnsi="宋体" w:cs="Arial" w:hint="eastAsia"/>
          <w:b/>
          <w:color w:val="000000"/>
          <w:kern w:val="0"/>
          <w:sz w:val="30"/>
          <w:szCs w:val="21"/>
        </w:rPr>
        <w:t xml:space="preserve"> </w:t>
      </w:r>
      <w:r>
        <w:rPr>
          <w:rFonts w:ascii="宋体" w:eastAsia="宋体" w:hAnsi="宋体" w:cs="Arial" w:hint="eastAsia"/>
          <w:b/>
          <w:color w:val="000000"/>
          <w:kern w:val="0"/>
          <w:sz w:val="30"/>
          <w:szCs w:val="21"/>
        </w:rPr>
        <w:t>合同参考范本</w:t>
      </w:r>
      <w:bookmarkStart w:id="4" w:name="_Hlt3013627"/>
      <w:bookmarkStart w:id="5" w:name="_Hlt535834178"/>
      <w:bookmarkEnd w:id="2"/>
      <w:bookmarkEnd w:id="3"/>
      <w:bookmarkEnd w:id="4"/>
      <w:bookmarkEnd w:id="5"/>
    </w:p>
    <w:p w14:paraId="30F4EB92" w14:textId="77777777" w:rsidR="00F730DE" w:rsidRDefault="008E3A84">
      <w:pPr>
        <w:keepNext/>
        <w:keepLines/>
        <w:kinsoku w:val="0"/>
        <w:snapToGrid w:val="0"/>
        <w:spacing w:line="480" w:lineRule="auto"/>
        <w:jc w:val="center"/>
        <w:textAlignment w:val="baseline"/>
        <w:rPr>
          <w:rFonts w:ascii="宋体" w:eastAsia="宋体" w:hAnsi="宋体" w:cs="Times New Roman"/>
          <w:b/>
          <w:snapToGrid w:val="0"/>
          <w:color w:val="000000"/>
          <w:kern w:val="0"/>
          <w:sz w:val="30"/>
          <w:szCs w:val="20"/>
        </w:rPr>
      </w:pPr>
      <w:r>
        <w:rPr>
          <w:rFonts w:ascii="宋体" w:eastAsia="宋体" w:hAnsi="宋体" w:cs="Arial" w:hint="eastAsia"/>
          <w:b/>
          <w:snapToGrid w:val="0"/>
          <w:color w:val="000000"/>
          <w:kern w:val="0"/>
          <w:sz w:val="30"/>
          <w:szCs w:val="21"/>
        </w:rPr>
        <w:t>合同参考范本</w:t>
      </w:r>
    </w:p>
    <w:p w14:paraId="06921383" w14:textId="61268FD7" w:rsidR="00F730DE" w:rsidRDefault="008E3A84">
      <w:pPr>
        <w:spacing w:after="240" w:line="457" w:lineRule="exact"/>
        <w:ind w:firstLine="580"/>
        <w:rPr>
          <w:rFonts w:ascii="MingLiU" w:eastAsia="MingLiU" w:hAnsi="MingLiU" w:cs="MingLiU"/>
          <w:sz w:val="20"/>
          <w:szCs w:val="20"/>
          <w:lang w:val="zh-TW" w:eastAsia="zh-TW" w:bidi="zh-TW"/>
        </w:rPr>
      </w:pPr>
      <w:r>
        <w:rPr>
          <w:rFonts w:ascii="MingLiU" w:eastAsia="MingLiU" w:hAnsi="MingLiU" w:cs="MingLiU"/>
          <w:sz w:val="20"/>
          <w:szCs w:val="20"/>
          <w:lang w:val="zh-TW" w:eastAsia="zh-TW" w:bidi="zh-TW"/>
        </w:rPr>
        <w:t>（根据《政府</w:t>
      </w:r>
      <w:r>
        <w:rPr>
          <w:rFonts w:ascii="MingLiU" w:hAnsi="MingLiU" w:cs="MingLiU" w:hint="eastAsia"/>
          <w:sz w:val="20"/>
          <w:szCs w:val="20"/>
          <w:lang w:val="zh-TW" w:bidi="zh-TW"/>
        </w:rPr>
        <w:t>采</w:t>
      </w:r>
      <w:bookmarkStart w:id="6" w:name="_GoBack"/>
      <w:bookmarkEnd w:id="6"/>
      <w:r>
        <w:rPr>
          <w:rFonts w:ascii="MingLiU" w:eastAsia="MingLiU" w:hAnsi="MingLiU" w:cs="MingLiU"/>
          <w:sz w:val="20"/>
          <w:szCs w:val="20"/>
          <w:lang w:val="zh-TW" w:eastAsia="zh-TW" w:bidi="zh-TW"/>
        </w:rPr>
        <w:t>购法》和《民法典》相关规定，釆购入和中标人之间的权利和义务，应当按照平等、自愿的原则以合同方式约定。此合同书仅作为签订正式合同时的参考，正式合同书应包括本参考格式之内容。）</w:t>
      </w:r>
    </w:p>
    <w:p w14:paraId="02C84BC8" w14:textId="77777777" w:rsidR="00F730DE" w:rsidRDefault="00F730DE">
      <w:pPr>
        <w:snapToGrid w:val="0"/>
        <w:spacing w:line="360" w:lineRule="auto"/>
        <w:ind w:firstLineChars="200" w:firstLine="480"/>
        <w:rPr>
          <w:rFonts w:ascii="宋体" w:eastAsia="宋体" w:hAnsi="宋体" w:cs="宋体"/>
          <w:sz w:val="24"/>
        </w:rPr>
      </w:pPr>
    </w:p>
    <w:p w14:paraId="07778287" w14:textId="77777777" w:rsidR="00F730DE" w:rsidRDefault="008E3A84">
      <w:pPr>
        <w:widowControl/>
        <w:spacing w:line="360" w:lineRule="auto"/>
        <w:jc w:val="center"/>
        <w:rPr>
          <w:rFonts w:ascii="Times New Roman" w:eastAsia="宋体" w:hAnsi="Times New Roman" w:cs="Times New Roman"/>
          <w:sz w:val="24"/>
        </w:rPr>
      </w:pPr>
      <w:r>
        <w:rPr>
          <w:rFonts w:ascii="宋体" w:eastAsia="宋体" w:hAnsi="宋体" w:cs="宋体" w:hint="eastAsia"/>
          <w:b/>
          <w:bCs/>
          <w:color w:val="000000"/>
          <w:kern w:val="0"/>
          <w:sz w:val="36"/>
          <w:szCs w:val="36"/>
        </w:rPr>
        <w:t>合同书</w:t>
      </w:r>
    </w:p>
    <w:p w14:paraId="33E393DD"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项目名称：</w:t>
      </w:r>
    </w:p>
    <w:p w14:paraId="59A7F381"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合同编号：</w:t>
      </w:r>
    </w:p>
    <w:p w14:paraId="240DC62F"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签订日期：</w:t>
      </w:r>
    </w:p>
    <w:p w14:paraId="4D6CD088"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签订合同地点：</w:t>
      </w:r>
    </w:p>
    <w:p w14:paraId="13B3E0D3"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本合同由（采购人）（以下简称“甲方”）与（中标人）（以下简称“乙方”）</w:t>
      </w:r>
    </w:p>
    <w:p w14:paraId="4B46EA73"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签订。乙方以总金额万元人民币（用大写数字书写）向甲方提供如下货物（工程或服务）：</w:t>
      </w:r>
    </w:p>
    <w:p w14:paraId="58335643"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经双方协商，同意按下列条文执行：</w:t>
      </w:r>
    </w:p>
    <w:p w14:paraId="5BB4B1C4"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1.</w:t>
      </w:r>
      <w:r>
        <w:rPr>
          <w:rFonts w:ascii="宋体" w:eastAsia="宋体" w:hAnsi="宋体" w:cs="宋体" w:hint="eastAsia"/>
          <w:color w:val="000000"/>
          <w:kern w:val="0"/>
          <w:sz w:val="24"/>
        </w:rPr>
        <w:t>本合同甲、乙双方应遵守国家颁布的《中华人民共和国民法典》、</w:t>
      </w:r>
      <w:proofErr w:type="gramStart"/>
      <w:r>
        <w:rPr>
          <w:rFonts w:ascii="宋体" w:eastAsia="宋体" w:hAnsi="宋体" w:cs="宋体" w:hint="eastAsia"/>
          <w:color w:val="000000"/>
          <w:kern w:val="0"/>
          <w:sz w:val="24"/>
        </w:rPr>
        <w:t>《</w:t>
      </w:r>
      <w:proofErr w:type="gramEnd"/>
      <w:r>
        <w:rPr>
          <w:rFonts w:ascii="宋体" w:eastAsia="宋体" w:hAnsi="宋体" w:cs="宋体" w:hint="eastAsia"/>
          <w:color w:val="000000"/>
          <w:kern w:val="0"/>
          <w:sz w:val="24"/>
        </w:rPr>
        <w:t>中华人民共和</w:t>
      </w:r>
    </w:p>
    <w:p w14:paraId="02129078"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国政府采购法</w:t>
      </w:r>
      <w:proofErr w:type="gramStart"/>
      <w:r>
        <w:rPr>
          <w:rFonts w:ascii="宋体" w:eastAsia="宋体" w:hAnsi="宋体" w:cs="宋体" w:hint="eastAsia"/>
          <w:color w:val="000000"/>
          <w:kern w:val="0"/>
          <w:sz w:val="24"/>
        </w:rPr>
        <w:t>》</w:t>
      </w:r>
      <w:proofErr w:type="gramEnd"/>
      <w:r>
        <w:rPr>
          <w:rFonts w:ascii="宋体" w:eastAsia="宋体" w:hAnsi="宋体" w:cs="宋体" w:hint="eastAsia"/>
          <w:color w:val="000000"/>
          <w:kern w:val="0"/>
          <w:sz w:val="24"/>
        </w:rPr>
        <w:t>，并各自履行应负的全部责任和义务。</w:t>
      </w:r>
    </w:p>
    <w:p w14:paraId="0D6C4880"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2.</w:t>
      </w:r>
      <w:r>
        <w:rPr>
          <w:rFonts w:ascii="宋体" w:eastAsia="宋体" w:hAnsi="宋体" w:cs="宋体" w:hint="eastAsia"/>
          <w:color w:val="000000"/>
          <w:kern w:val="0"/>
          <w:sz w:val="24"/>
        </w:rPr>
        <w:t>甲方保证按合同条款规定的时间和方式付给乙方到期应付的合同款，并承担应负的</w:t>
      </w:r>
    </w:p>
    <w:p w14:paraId="6EE97122"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责任和义务。</w:t>
      </w:r>
    </w:p>
    <w:p w14:paraId="41892B22"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3.</w:t>
      </w:r>
      <w:r>
        <w:rPr>
          <w:rFonts w:ascii="宋体" w:eastAsia="宋体" w:hAnsi="宋体" w:cs="宋体" w:hint="eastAsia"/>
          <w:color w:val="000000"/>
          <w:kern w:val="0"/>
          <w:sz w:val="24"/>
        </w:rPr>
        <w:t>乙方保证按合同条款规定的内容和工期（服务期限）向甲方提供合格的货物（工程</w:t>
      </w:r>
    </w:p>
    <w:p w14:paraId="359BD2A8"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或服务），并承担应负的责任和义务。</w:t>
      </w:r>
    </w:p>
    <w:p w14:paraId="2DC25DF7"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4.</w:t>
      </w:r>
      <w:r>
        <w:rPr>
          <w:rFonts w:ascii="宋体" w:eastAsia="宋体" w:hAnsi="宋体" w:cs="宋体" w:hint="eastAsia"/>
          <w:color w:val="000000"/>
          <w:kern w:val="0"/>
          <w:sz w:val="24"/>
        </w:rPr>
        <w:t>合同文件。下列文件为本合同不可分割的部分：</w:t>
      </w:r>
    </w:p>
    <w:p w14:paraId="28C9229B" w14:textId="77777777" w:rsidR="00F730DE" w:rsidRDefault="008E3A84">
      <w:pPr>
        <w:widowControl/>
        <w:spacing w:line="360" w:lineRule="auto"/>
        <w:jc w:val="left"/>
        <w:rPr>
          <w:rFonts w:ascii="Times New Roman" w:eastAsia="宋体" w:hAnsi="Times New Roman" w:cs="Times New Roman"/>
          <w:sz w:val="24"/>
        </w:rPr>
      </w:pPr>
      <w:r>
        <w:rPr>
          <w:rFonts w:ascii="仿宋" w:eastAsia="仿宋" w:hAnsi="仿宋" w:cs="仿宋"/>
          <w:color w:val="000000"/>
          <w:kern w:val="0"/>
          <w:sz w:val="24"/>
        </w:rPr>
        <w:t>4.1</w:t>
      </w:r>
      <w:r>
        <w:rPr>
          <w:rFonts w:ascii="宋体" w:eastAsia="宋体" w:hAnsi="宋体" w:cs="宋体" w:hint="eastAsia"/>
          <w:color w:val="000000"/>
          <w:kern w:val="0"/>
          <w:sz w:val="24"/>
        </w:rPr>
        <w:t>采购文件（项目编号：）；</w:t>
      </w:r>
    </w:p>
    <w:p w14:paraId="278B0807" w14:textId="77777777" w:rsidR="00F730DE" w:rsidRDefault="008E3A84">
      <w:pPr>
        <w:widowControl/>
        <w:spacing w:line="360" w:lineRule="auto"/>
        <w:jc w:val="left"/>
        <w:rPr>
          <w:rFonts w:ascii="Times New Roman" w:eastAsia="宋体" w:hAnsi="Times New Roman" w:cs="Times New Roman"/>
          <w:sz w:val="24"/>
        </w:rPr>
      </w:pPr>
      <w:r>
        <w:rPr>
          <w:rFonts w:ascii="仿宋" w:eastAsia="仿宋" w:hAnsi="仿宋" w:cs="仿宋" w:hint="eastAsia"/>
          <w:color w:val="000000"/>
          <w:kern w:val="0"/>
          <w:sz w:val="24"/>
        </w:rPr>
        <w:t>4.2</w:t>
      </w:r>
      <w:r>
        <w:rPr>
          <w:rFonts w:ascii="宋体" w:eastAsia="宋体" w:hAnsi="宋体" w:cs="宋体" w:hint="eastAsia"/>
          <w:color w:val="000000"/>
          <w:kern w:val="0"/>
          <w:sz w:val="24"/>
        </w:rPr>
        <w:t>中标的投标文件；</w:t>
      </w:r>
    </w:p>
    <w:p w14:paraId="0E8EF180" w14:textId="77777777" w:rsidR="00F730DE" w:rsidRDefault="008E3A84">
      <w:pPr>
        <w:widowControl/>
        <w:spacing w:line="360" w:lineRule="auto"/>
        <w:jc w:val="left"/>
        <w:rPr>
          <w:rFonts w:ascii="Times New Roman" w:eastAsia="宋体" w:hAnsi="Times New Roman" w:cs="Times New Roman"/>
          <w:sz w:val="24"/>
        </w:rPr>
      </w:pPr>
      <w:r>
        <w:rPr>
          <w:rFonts w:ascii="仿宋" w:eastAsia="仿宋" w:hAnsi="仿宋" w:cs="仿宋" w:hint="eastAsia"/>
          <w:color w:val="000000"/>
          <w:kern w:val="0"/>
          <w:sz w:val="24"/>
        </w:rPr>
        <w:t>4.3</w:t>
      </w:r>
      <w:r>
        <w:rPr>
          <w:rFonts w:ascii="宋体" w:eastAsia="宋体" w:hAnsi="宋体" w:cs="宋体" w:hint="eastAsia"/>
          <w:color w:val="000000"/>
          <w:kern w:val="0"/>
          <w:sz w:val="24"/>
        </w:rPr>
        <w:t>合同书；</w:t>
      </w:r>
    </w:p>
    <w:p w14:paraId="53306798" w14:textId="77777777" w:rsidR="00F730DE" w:rsidRDefault="008E3A84">
      <w:pPr>
        <w:widowControl/>
        <w:spacing w:line="360" w:lineRule="auto"/>
        <w:jc w:val="left"/>
        <w:rPr>
          <w:rFonts w:ascii="Times New Roman" w:eastAsia="宋体" w:hAnsi="Times New Roman" w:cs="Times New Roman"/>
          <w:sz w:val="24"/>
        </w:rPr>
      </w:pPr>
      <w:r>
        <w:rPr>
          <w:rFonts w:ascii="仿宋" w:eastAsia="仿宋" w:hAnsi="仿宋" w:cs="仿宋" w:hint="eastAsia"/>
          <w:color w:val="000000"/>
          <w:kern w:val="0"/>
          <w:sz w:val="24"/>
        </w:rPr>
        <w:lastRenderedPageBreak/>
        <w:t>4.4</w:t>
      </w:r>
      <w:r>
        <w:rPr>
          <w:rFonts w:ascii="宋体" w:eastAsia="宋体" w:hAnsi="宋体" w:cs="宋体" w:hint="eastAsia"/>
          <w:color w:val="000000"/>
          <w:kern w:val="0"/>
          <w:sz w:val="24"/>
        </w:rPr>
        <w:t>合同条款；</w:t>
      </w:r>
    </w:p>
    <w:p w14:paraId="043BD5DF" w14:textId="77777777" w:rsidR="00F730DE" w:rsidRDefault="008E3A84">
      <w:pPr>
        <w:widowControl/>
        <w:spacing w:line="360" w:lineRule="auto"/>
        <w:jc w:val="left"/>
        <w:rPr>
          <w:rFonts w:ascii="Times New Roman" w:eastAsia="宋体" w:hAnsi="Times New Roman" w:cs="Times New Roman"/>
          <w:sz w:val="24"/>
        </w:rPr>
      </w:pPr>
      <w:r>
        <w:rPr>
          <w:rFonts w:ascii="仿宋" w:eastAsia="仿宋" w:hAnsi="仿宋" w:cs="仿宋" w:hint="eastAsia"/>
          <w:color w:val="000000"/>
          <w:kern w:val="0"/>
          <w:sz w:val="24"/>
        </w:rPr>
        <w:t>4.5</w:t>
      </w:r>
      <w:r>
        <w:rPr>
          <w:rFonts w:ascii="宋体" w:eastAsia="宋体" w:hAnsi="宋体" w:cs="宋体" w:hint="eastAsia"/>
          <w:color w:val="000000"/>
          <w:kern w:val="0"/>
          <w:sz w:val="24"/>
        </w:rPr>
        <w:t>分散采购机构发出的中标通知书；</w:t>
      </w:r>
    </w:p>
    <w:p w14:paraId="10D847FC" w14:textId="77777777" w:rsidR="00F730DE" w:rsidRDefault="008E3A84">
      <w:pPr>
        <w:widowControl/>
        <w:spacing w:line="360" w:lineRule="auto"/>
        <w:jc w:val="left"/>
        <w:rPr>
          <w:rFonts w:ascii="Times New Roman" w:eastAsia="宋体" w:hAnsi="Times New Roman" w:cs="Times New Roman"/>
          <w:sz w:val="24"/>
        </w:rPr>
      </w:pPr>
      <w:r>
        <w:rPr>
          <w:rFonts w:ascii="仿宋" w:eastAsia="仿宋" w:hAnsi="仿宋" w:cs="仿宋" w:hint="eastAsia"/>
          <w:color w:val="000000"/>
          <w:kern w:val="0"/>
          <w:sz w:val="24"/>
        </w:rPr>
        <w:t>4.6</w:t>
      </w:r>
      <w:r>
        <w:rPr>
          <w:rFonts w:ascii="宋体" w:eastAsia="宋体" w:hAnsi="宋体" w:cs="宋体" w:hint="eastAsia"/>
          <w:color w:val="000000"/>
          <w:kern w:val="0"/>
          <w:sz w:val="24"/>
        </w:rPr>
        <w:t>附件；</w:t>
      </w:r>
    </w:p>
    <w:p w14:paraId="03D0EEA3" w14:textId="77777777" w:rsidR="00F730DE" w:rsidRDefault="008E3A84">
      <w:pPr>
        <w:widowControl/>
        <w:spacing w:line="360" w:lineRule="auto"/>
        <w:jc w:val="left"/>
        <w:rPr>
          <w:rFonts w:ascii="Times New Roman" w:eastAsia="宋体" w:hAnsi="Times New Roman" w:cs="Times New Roman"/>
          <w:sz w:val="24"/>
        </w:rPr>
      </w:pPr>
      <w:r>
        <w:rPr>
          <w:rFonts w:ascii="楷体" w:eastAsia="楷体" w:hAnsi="楷体" w:cs="楷体"/>
          <w:color w:val="000000"/>
          <w:kern w:val="0"/>
          <w:sz w:val="24"/>
        </w:rPr>
        <w:t>4.6.1</w:t>
      </w:r>
      <w:r>
        <w:rPr>
          <w:rFonts w:ascii="宋体" w:eastAsia="宋体" w:hAnsi="宋体" w:cs="宋体" w:hint="eastAsia"/>
          <w:color w:val="000000"/>
          <w:kern w:val="0"/>
          <w:sz w:val="24"/>
        </w:rPr>
        <w:t>甲方在采购期间发布的所有补充通知；</w:t>
      </w:r>
    </w:p>
    <w:p w14:paraId="359384C2" w14:textId="77777777" w:rsidR="00F730DE" w:rsidRDefault="008E3A84">
      <w:pPr>
        <w:widowControl/>
        <w:spacing w:line="360" w:lineRule="auto"/>
        <w:jc w:val="left"/>
        <w:rPr>
          <w:rFonts w:ascii="Times New Roman" w:eastAsia="宋体" w:hAnsi="Times New Roman" w:cs="Times New Roman"/>
          <w:sz w:val="24"/>
        </w:rPr>
      </w:pPr>
      <w:r>
        <w:rPr>
          <w:rFonts w:ascii="楷体" w:eastAsia="楷体" w:hAnsi="楷体" w:cs="楷体" w:hint="eastAsia"/>
          <w:color w:val="000000"/>
          <w:kern w:val="0"/>
          <w:sz w:val="24"/>
        </w:rPr>
        <w:t>4.6.2</w:t>
      </w:r>
      <w:r>
        <w:rPr>
          <w:rFonts w:ascii="宋体" w:eastAsia="宋体" w:hAnsi="宋体" w:cs="宋体" w:hint="eastAsia"/>
          <w:color w:val="000000"/>
          <w:kern w:val="0"/>
          <w:sz w:val="24"/>
        </w:rPr>
        <w:t>乙方在投标期内补充的所有文件；</w:t>
      </w:r>
    </w:p>
    <w:p w14:paraId="47FBF561" w14:textId="77777777" w:rsidR="00F730DE" w:rsidRDefault="008E3A84">
      <w:pPr>
        <w:widowControl/>
        <w:spacing w:line="360" w:lineRule="auto"/>
        <w:jc w:val="left"/>
        <w:rPr>
          <w:rFonts w:ascii="Times New Roman" w:eastAsia="宋体" w:hAnsi="Times New Roman" w:cs="Times New Roman"/>
          <w:sz w:val="24"/>
        </w:rPr>
      </w:pPr>
      <w:r>
        <w:rPr>
          <w:rFonts w:ascii="楷体" w:eastAsia="楷体" w:hAnsi="楷体" w:cs="楷体" w:hint="eastAsia"/>
          <w:color w:val="000000"/>
          <w:kern w:val="0"/>
          <w:sz w:val="24"/>
        </w:rPr>
        <w:t>4.6.3</w:t>
      </w:r>
      <w:r>
        <w:rPr>
          <w:rFonts w:ascii="宋体" w:eastAsia="宋体" w:hAnsi="宋体" w:cs="宋体" w:hint="eastAsia"/>
          <w:color w:val="000000"/>
          <w:kern w:val="0"/>
          <w:sz w:val="24"/>
        </w:rPr>
        <w:t>乙方在投标时随同投标文件一起递送的资料及附图；</w:t>
      </w:r>
    </w:p>
    <w:p w14:paraId="7C676E68" w14:textId="77777777" w:rsidR="00F730DE" w:rsidRDefault="008E3A84">
      <w:pPr>
        <w:widowControl/>
        <w:spacing w:line="360" w:lineRule="auto"/>
        <w:jc w:val="left"/>
        <w:rPr>
          <w:rFonts w:ascii="Times New Roman" w:eastAsia="宋体" w:hAnsi="Times New Roman" w:cs="Times New Roman"/>
          <w:sz w:val="24"/>
        </w:rPr>
      </w:pPr>
      <w:r>
        <w:rPr>
          <w:rFonts w:ascii="楷体" w:eastAsia="楷体" w:hAnsi="楷体" w:cs="楷体"/>
          <w:color w:val="000000"/>
          <w:kern w:val="0"/>
          <w:sz w:val="24"/>
        </w:rPr>
        <w:t>4.6.4</w:t>
      </w:r>
      <w:r>
        <w:rPr>
          <w:rFonts w:ascii="宋体" w:eastAsia="宋体" w:hAnsi="宋体" w:cs="宋体" w:hint="eastAsia"/>
          <w:color w:val="000000"/>
          <w:kern w:val="0"/>
          <w:sz w:val="24"/>
        </w:rPr>
        <w:t>在商洽本合同时，双方澄清、确认并共同签字的补充文件、技术协议。</w:t>
      </w:r>
    </w:p>
    <w:p w14:paraId="05D39A86"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5.</w:t>
      </w:r>
      <w:r>
        <w:rPr>
          <w:rFonts w:ascii="宋体" w:eastAsia="宋体" w:hAnsi="宋体" w:cs="宋体" w:hint="eastAsia"/>
          <w:color w:val="000000"/>
          <w:kern w:val="0"/>
          <w:sz w:val="24"/>
        </w:rPr>
        <w:t>合同范围和条件。本合同的范围和条件应与上述规定的合同文件内容相一致。</w:t>
      </w:r>
    </w:p>
    <w:p w14:paraId="7FB21775"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6.</w:t>
      </w:r>
      <w:r>
        <w:rPr>
          <w:rFonts w:ascii="宋体" w:eastAsia="宋体" w:hAnsi="宋体" w:cs="宋体" w:hint="eastAsia"/>
          <w:color w:val="000000"/>
          <w:kern w:val="0"/>
          <w:sz w:val="24"/>
        </w:rPr>
        <w:t>货物（工程或服务）及数量。本合同所提供的货物（工程或服务）及数量详见采购</w:t>
      </w:r>
    </w:p>
    <w:p w14:paraId="6366CDC2"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文件的要求及乙方投标文件中的承诺。</w:t>
      </w:r>
    </w:p>
    <w:p w14:paraId="4AAA7406"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7.</w:t>
      </w:r>
      <w:r>
        <w:rPr>
          <w:rFonts w:ascii="宋体" w:eastAsia="宋体" w:hAnsi="宋体" w:cs="宋体" w:hint="eastAsia"/>
          <w:color w:val="000000"/>
          <w:kern w:val="0"/>
          <w:sz w:val="24"/>
        </w:rPr>
        <w:t>付款条件。本合同的付款条件按采购文件规定执行。</w:t>
      </w:r>
    </w:p>
    <w:p w14:paraId="78FAC404"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8.</w:t>
      </w:r>
      <w:r>
        <w:rPr>
          <w:rFonts w:ascii="宋体" w:eastAsia="宋体" w:hAnsi="宋体" w:cs="宋体" w:hint="eastAsia"/>
          <w:color w:val="000000"/>
          <w:kern w:val="0"/>
          <w:sz w:val="24"/>
        </w:rPr>
        <w:t>合同金额。合同总金额见合同书，分项价格在</w:t>
      </w:r>
      <w:r>
        <w:rPr>
          <w:rFonts w:ascii="宋体" w:eastAsia="宋体" w:hAnsi="宋体" w:cs="宋体" w:hint="eastAsia"/>
          <w:color w:val="000000"/>
          <w:kern w:val="0"/>
          <w:sz w:val="24"/>
        </w:rPr>
        <w:t>乙方的投标报价表中有明确规定。</w:t>
      </w:r>
    </w:p>
    <w:p w14:paraId="5FFAC660"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9.</w:t>
      </w:r>
      <w:r>
        <w:rPr>
          <w:rFonts w:ascii="宋体" w:eastAsia="宋体" w:hAnsi="宋体" w:cs="宋体" w:hint="eastAsia"/>
          <w:color w:val="000000"/>
          <w:kern w:val="0"/>
          <w:sz w:val="24"/>
        </w:rPr>
        <w:t>工期和交货（服务）地点。本合同中货物（工程或服务）的工期、交货（服务）地</w:t>
      </w:r>
    </w:p>
    <w:p w14:paraId="48CD8CE2"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点在采购文件中有明确规定。</w:t>
      </w:r>
    </w:p>
    <w:p w14:paraId="08D0030E"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10.</w:t>
      </w:r>
      <w:r>
        <w:rPr>
          <w:rFonts w:ascii="宋体" w:eastAsia="宋体" w:hAnsi="宋体" w:cs="宋体" w:hint="eastAsia"/>
          <w:color w:val="000000"/>
          <w:kern w:val="0"/>
          <w:sz w:val="24"/>
        </w:rPr>
        <w:t>合同生效。本合同经甲、乙双方授权代表签字和加盖公章（或合同专用章）后生效。</w:t>
      </w:r>
    </w:p>
    <w:p w14:paraId="314BEA2A"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如采购申请公证的，合同需经公证机构公证后生效。</w:t>
      </w:r>
    </w:p>
    <w:p w14:paraId="4EEE8EBE"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11.</w:t>
      </w:r>
      <w:r>
        <w:rPr>
          <w:rFonts w:ascii="宋体" w:eastAsia="宋体" w:hAnsi="宋体" w:cs="宋体" w:hint="eastAsia"/>
          <w:color w:val="000000"/>
          <w:kern w:val="0"/>
          <w:sz w:val="24"/>
        </w:rPr>
        <w:t>合同的份数。本合同正本一式份，甲方执份，乙方执份；副本一式份，甲方执份，乙方执份。</w:t>
      </w:r>
    </w:p>
    <w:p w14:paraId="757A1A76"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b/>
          <w:bCs/>
          <w:color w:val="000000"/>
          <w:kern w:val="0"/>
          <w:sz w:val="24"/>
        </w:rPr>
        <w:t>12.</w:t>
      </w:r>
      <w:r>
        <w:rPr>
          <w:rFonts w:ascii="宋体" w:eastAsia="宋体" w:hAnsi="宋体" w:cs="宋体" w:hint="eastAsia"/>
          <w:color w:val="000000"/>
          <w:kern w:val="0"/>
          <w:sz w:val="24"/>
        </w:rPr>
        <w:t>合同的失效。本合同在合同价款全部结清后失效。</w:t>
      </w:r>
    </w:p>
    <w:p w14:paraId="7700AA07"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甲方：乙方：</w:t>
      </w:r>
    </w:p>
    <w:p w14:paraId="5AF15531"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单位名称（盖章）：单位名称（盖章）：</w:t>
      </w:r>
    </w:p>
    <w:p w14:paraId="3BEB842C"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单位地址：单位地址：</w:t>
      </w:r>
    </w:p>
    <w:p w14:paraId="53567E66"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法人代表授权人</w:t>
      </w:r>
      <w:r>
        <w:rPr>
          <w:rFonts w:ascii="宋体" w:eastAsia="宋体" w:hAnsi="宋体" w:cs="宋体" w:hint="eastAsia"/>
          <w:color w:val="000000"/>
          <w:kern w:val="0"/>
          <w:sz w:val="24"/>
        </w:rPr>
        <w:t>(</w:t>
      </w:r>
      <w:r>
        <w:rPr>
          <w:rFonts w:ascii="宋体" w:eastAsia="宋体" w:hAnsi="宋体" w:cs="宋体" w:hint="eastAsia"/>
          <w:color w:val="000000"/>
          <w:kern w:val="0"/>
          <w:sz w:val="24"/>
        </w:rPr>
        <w:t>签字</w:t>
      </w:r>
      <w:r>
        <w:rPr>
          <w:rFonts w:ascii="宋体" w:eastAsia="宋体" w:hAnsi="宋体" w:cs="宋体" w:hint="eastAsia"/>
          <w:color w:val="000000"/>
          <w:kern w:val="0"/>
          <w:sz w:val="24"/>
        </w:rPr>
        <w:t>)</w:t>
      </w:r>
      <w:r>
        <w:rPr>
          <w:rFonts w:ascii="宋体" w:eastAsia="宋体" w:hAnsi="宋体" w:cs="宋体" w:hint="eastAsia"/>
          <w:color w:val="000000"/>
          <w:kern w:val="0"/>
          <w:sz w:val="24"/>
        </w:rPr>
        <w:t>：法人代表授权人</w:t>
      </w:r>
      <w:r>
        <w:rPr>
          <w:rFonts w:ascii="宋体" w:eastAsia="宋体" w:hAnsi="宋体" w:cs="宋体" w:hint="eastAsia"/>
          <w:color w:val="000000"/>
          <w:kern w:val="0"/>
          <w:sz w:val="24"/>
        </w:rPr>
        <w:t>(</w:t>
      </w:r>
      <w:r>
        <w:rPr>
          <w:rFonts w:ascii="宋体" w:eastAsia="宋体" w:hAnsi="宋体" w:cs="宋体" w:hint="eastAsia"/>
          <w:color w:val="000000"/>
          <w:kern w:val="0"/>
          <w:sz w:val="24"/>
        </w:rPr>
        <w:t>签字</w:t>
      </w:r>
      <w:r>
        <w:rPr>
          <w:rFonts w:ascii="宋体" w:eastAsia="宋体" w:hAnsi="宋体" w:cs="宋体" w:hint="eastAsia"/>
          <w:color w:val="000000"/>
          <w:kern w:val="0"/>
          <w:sz w:val="24"/>
        </w:rPr>
        <w:t>)</w:t>
      </w:r>
      <w:r>
        <w:rPr>
          <w:rFonts w:ascii="宋体" w:eastAsia="宋体" w:hAnsi="宋体" w:cs="宋体" w:hint="eastAsia"/>
          <w:color w:val="000000"/>
          <w:kern w:val="0"/>
          <w:sz w:val="24"/>
        </w:rPr>
        <w:t>：</w:t>
      </w:r>
    </w:p>
    <w:p w14:paraId="64D5A9D7"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联系人：联系人：</w:t>
      </w:r>
    </w:p>
    <w:p w14:paraId="150EFF9F" w14:textId="77777777" w:rsidR="00F730DE" w:rsidRDefault="008E3A84">
      <w:pPr>
        <w:widowControl/>
        <w:spacing w:line="360" w:lineRule="auto"/>
        <w:jc w:val="left"/>
        <w:rPr>
          <w:rFonts w:ascii="Times New Roman" w:eastAsia="宋体" w:hAnsi="Times New Roman" w:cs="Times New Roman"/>
          <w:sz w:val="24"/>
        </w:rPr>
      </w:pPr>
      <w:r>
        <w:rPr>
          <w:rFonts w:ascii="宋体" w:eastAsia="宋体" w:hAnsi="宋体" w:cs="宋体" w:hint="eastAsia"/>
          <w:color w:val="000000"/>
          <w:kern w:val="0"/>
          <w:sz w:val="24"/>
        </w:rPr>
        <w:t>开户银行：开户银行：</w:t>
      </w:r>
    </w:p>
    <w:p w14:paraId="7A5CE573" w14:textId="09B00739" w:rsidR="00F730DE" w:rsidRDefault="008E3A84">
      <w:pPr>
        <w:widowControl/>
        <w:spacing w:line="360" w:lineRule="auto"/>
        <w:jc w:val="left"/>
      </w:pPr>
      <w:r>
        <w:rPr>
          <w:rFonts w:ascii="宋体" w:eastAsia="宋体" w:hAnsi="宋体" w:cs="宋体" w:hint="eastAsia"/>
          <w:color w:val="000000"/>
          <w:kern w:val="0"/>
          <w:sz w:val="24"/>
        </w:rPr>
        <w:t>账</w:t>
      </w:r>
      <w:r>
        <w:rPr>
          <w:rFonts w:ascii="宋体" w:eastAsia="宋体" w:hAnsi="宋体" w:cs="宋体" w:hint="eastAsia"/>
          <w:color w:val="000000"/>
          <w:kern w:val="0"/>
          <w:sz w:val="24"/>
        </w:rPr>
        <w:t>号：账</w:t>
      </w:r>
      <w:r>
        <w:rPr>
          <w:rFonts w:ascii="宋体" w:eastAsia="宋体" w:hAnsi="宋体" w:cs="宋体" w:hint="eastAsia"/>
          <w:color w:val="000000"/>
          <w:kern w:val="0"/>
          <w:sz w:val="24"/>
        </w:rPr>
        <w:t>号：</w:t>
      </w:r>
    </w:p>
    <w:sectPr w:rsidR="00F730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8FE40F61-9D60-4C14-BCF7-5458DFF7A3EC}"/>
  </w:font>
  <w:font w:name="黑体">
    <w:altName w:val="SimHei"/>
    <w:panose1 w:val="02010609060101010101"/>
    <w:charset w:val="86"/>
    <w:family w:val="modern"/>
    <w:pitch w:val="fixed"/>
    <w:sig w:usb0="800002BF" w:usb1="38CF7CFA" w:usb2="00000016" w:usb3="00000000" w:csb0="00040001" w:csb1="00000000"/>
    <w:embedRegular r:id="rId2" w:subsetted="1" w:fontKey="{CCD4A969-7DD1-49E9-9BF3-2BF4467252AE}"/>
  </w:font>
  <w:font w:name="楷体">
    <w:panose1 w:val="02010609060101010101"/>
    <w:charset w:val="86"/>
    <w:family w:val="modern"/>
    <w:pitch w:val="fixed"/>
    <w:sig w:usb0="800002BF" w:usb1="38CF7CFA" w:usb2="00000016" w:usb3="00000000" w:csb0="00040001" w:csb1="00000000"/>
    <w:embedRegular r:id="rId3" w:subsetted="1" w:fontKey="{ECC9BD85-6610-4F52-9949-7CF680611279}"/>
  </w:font>
  <w:font w:name="Wingdings 2">
    <w:altName w:val="Wingdings"/>
    <w:panose1 w:val="05020102010507070707"/>
    <w:charset w:val="02"/>
    <w:family w:val="roman"/>
    <w:pitch w:val="variable"/>
    <w:sig w:usb0="00000000" w:usb1="10000000" w:usb2="00000000" w:usb3="00000000" w:csb0="80000000" w:csb1="00000000"/>
    <w:embedRegular r:id="rId4" w:fontKey="{4816900D-EF47-41B3-AFA6-DF61901E6154}"/>
  </w:font>
  <w:font w:name="MingLiU">
    <w:altName w:val="細明體"/>
    <w:panose1 w:val="02020509000000000000"/>
    <w:charset w:val="88"/>
    <w:family w:val="modern"/>
    <w:pitch w:val="fixed"/>
    <w:sig w:usb0="A00002FF" w:usb1="28CFFCFA" w:usb2="00000016" w:usb3="00000000" w:csb0="00100001" w:csb1="00000000"/>
    <w:embedRegular r:id="rId5" w:subsetted="1" w:fontKey="{8643AE4D-E1B6-4133-A4F9-5B9945980548}"/>
  </w:font>
  <w:font w:name="仿宋">
    <w:panose1 w:val="02010609060101010101"/>
    <w:charset w:val="86"/>
    <w:family w:val="modern"/>
    <w:pitch w:val="fixed"/>
    <w:sig w:usb0="800002BF" w:usb1="38CF7CFA" w:usb2="00000016" w:usb3="00000000" w:csb0="00040001" w:csb1="00000000"/>
    <w:embedRegular r:id="rId6" w:subsetted="1" w:fontKey="{3327F15E-053A-4F7C-AFEA-ABAB2A34944D}"/>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5515D2"/>
    <w:rsid w:val="008E3A84"/>
    <w:rsid w:val="00F730DE"/>
    <w:rsid w:val="12A25A17"/>
    <w:rsid w:val="175515D2"/>
    <w:rsid w:val="1D444728"/>
    <w:rsid w:val="2B6526BF"/>
    <w:rsid w:val="2D430559"/>
    <w:rsid w:val="3C6C37AC"/>
    <w:rsid w:val="3DD56E38"/>
    <w:rsid w:val="41130C2D"/>
    <w:rsid w:val="41230975"/>
    <w:rsid w:val="4A314103"/>
    <w:rsid w:val="51D610EC"/>
    <w:rsid w:val="69A91168"/>
    <w:rsid w:val="69DC7ED6"/>
    <w:rsid w:val="71347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31"/>
      <w:szCs w:val="31"/>
      <w:lang w:eastAsia="en-US"/>
    </w:rPr>
  </w:style>
  <w:style w:type="table" w:styleId="a4">
    <w:name w:val="Table Grid"/>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
    <w:name w:val="Table Normal"/>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31"/>
      <w:szCs w:val="31"/>
      <w:lang w:eastAsia="en-US"/>
    </w:rPr>
  </w:style>
  <w:style w:type="table" w:styleId="a4">
    <w:name w:val="Table Grid"/>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1958</Words>
  <Characters>11165</Characters>
  <Application>Microsoft Office Word</Application>
  <DocSecurity>0</DocSecurity>
  <Lines>93</Lines>
  <Paragraphs>26</Paragraphs>
  <ScaleCrop>false</ScaleCrop>
  <Company>Lenovo</Company>
  <LinksUpToDate>false</LinksUpToDate>
  <CharactersWithSpaces>13097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康先生</dc:creator>
  <cp:lastModifiedBy>admin</cp:lastModifiedBy>
  <cp:revision>2</cp:revision>
  <dcterms:created xsi:type="dcterms:W3CDTF">2026-05-07T02:41:00Z</dcterms:created>
  <dcterms:modified xsi:type="dcterms:W3CDTF">2026-08-14T07:44:00Z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E2C45E3EFB9D4FC0BD609F9A8432E5B8_11</vt:lpwstr>
  </property>
  <property fmtid="{D5CDD505-2E9C-101B-9397-08002B2CF9AE}" pid="4" name="KSOTemplateDocerSaveRecord">
    <vt:lpwstr>eyJoZGlkIjoiY2YxNDFiNDZjZTdhODgxOTgzY2Y4Mjc5OGZjOTg3N2IiLCJ1c2VySWQiOiIyOTgyMjYxMzkifQ==</vt:lpwstr>
  </property>
</Properties>
</file>