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639E8">
      <w:pPr>
        <w:jc w:val="center"/>
        <w:rPr>
          <w:rFonts w:hint="eastAsia" w:ascii="方正小标宋简体" w:eastAsia="方正小标宋简体"/>
          <w:sz w:val="44"/>
          <w:szCs w:val="44"/>
        </w:rPr>
      </w:pPr>
      <w:r>
        <w:rPr>
          <w:rFonts w:hint="eastAsia" w:ascii="方正小标宋简体" w:eastAsia="方正小标宋简体"/>
          <w:sz w:val="44"/>
          <w:szCs w:val="44"/>
        </w:rPr>
        <w:t>武汉市东西湖区申办烟草专卖零售许可证排队轮候管理办法（试行）</w:t>
      </w:r>
    </w:p>
    <w:p w14:paraId="5BC0F28B">
      <w:pPr>
        <w:jc w:val="both"/>
        <w:rPr>
          <w:rFonts w:ascii="仿宋_GB2312" w:eastAsia="仿宋_GB2312"/>
          <w:b/>
          <w:bCs/>
          <w:sz w:val="32"/>
          <w:szCs w:val="32"/>
        </w:rPr>
      </w:pPr>
    </w:p>
    <w:p w14:paraId="72A3BD15">
      <w:pPr>
        <w:jc w:val="center"/>
        <w:rPr>
          <w:rFonts w:hint="eastAsia" w:ascii="仿宋_GB2312" w:eastAsia="仿宋_GB2312"/>
          <w:b/>
          <w:bCs/>
          <w:sz w:val="32"/>
          <w:szCs w:val="32"/>
        </w:rPr>
      </w:pPr>
      <w:r>
        <w:rPr>
          <w:rFonts w:hint="eastAsia" w:ascii="仿宋_GB2312" w:eastAsia="仿宋_GB2312"/>
          <w:b/>
          <w:bCs/>
          <w:sz w:val="32"/>
          <w:szCs w:val="32"/>
        </w:rPr>
        <w:t>第一章  总则</w:t>
      </w:r>
    </w:p>
    <w:p w14:paraId="0B0AB780">
      <w:pPr>
        <w:ind w:firstLine="640" w:firstLineChars="200"/>
        <w:rPr>
          <w:rFonts w:ascii="仿宋_GB2312" w:eastAsia="仿宋_GB2312"/>
          <w:sz w:val="32"/>
          <w:szCs w:val="32"/>
        </w:rPr>
      </w:pPr>
      <w:r>
        <w:rPr>
          <w:rFonts w:hint="eastAsia" w:ascii="仿宋_GB2312" w:eastAsia="仿宋_GB2312"/>
          <w:sz w:val="32"/>
          <w:szCs w:val="32"/>
        </w:rPr>
        <w:t>第一条  为贯彻执行《武汉市东西湖区烟草制品零售点合理布局规定》（以下简称《规定》），坚持公平、公正、公开的原则，遵循“总量控制、退一进一”规定，不断完善优化行政服务水平，根据《中华人民共和国行政许可法》、《中华人民共和国烟草专卖法》、《烟草专卖许可证管理办法实施细则》等法律、法规有关规定，结合实际，制定本办法。</w:t>
      </w:r>
    </w:p>
    <w:p w14:paraId="3BAD14AE">
      <w:pPr>
        <w:ind w:firstLine="640" w:firstLineChars="200"/>
        <w:rPr>
          <w:rFonts w:ascii="仿宋_GB2312" w:eastAsia="仿宋_GB2312"/>
          <w:sz w:val="32"/>
          <w:szCs w:val="32"/>
        </w:rPr>
      </w:pPr>
      <w:r>
        <w:rPr>
          <w:rFonts w:hint="eastAsia" w:ascii="仿宋_GB2312" w:eastAsia="仿宋_GB2312"/>
          <w:sz w:val="32"/>
          <w:szCs w:val="32"/>
        </w:rPr>
        <w:t>第二条  本办法适用于东西湖区辖区内申请人申办烟草专卖零售许可证相关事宜。</w:t>
      </w:r>
    </w:p>
    <w:p w14:paraId="12C9F703">
      <w:pPr>
        <w:ind w:firstLine="640" w:firstLineChars="200"/>
        <w:rPr>
          <w:rFonts w:ascii="仿宋_GB2312" w:eastAsia="仿宋_GB2312"/>
          <w:sz w:val="32"/>
          <w:szCs w:val="32"/>
        </w:rPr>
      </w:pPr>
      <w:r>
        <w:rPr>
          <w:rFonts w:hint="eastAsia" w:ascii="仿宋_GB2312" w:eastAsia="仿宋_GB2312"/>
          <w:sz w:val="32"/>
          <w:szCs w:val="32"/>
        </w:rPr>
        <w:t>第三条  东西湖区辖区烟草专卖零售点数量设定。武汉市东西湖区烟草专卖局（以下简称发证机关）根据市场容量、人口数量、经济发展等因素，设定东西湖辖区和各市场单元格零售点数量上限。</w:t>
      </w:r>
    </w:p>
    <w:p w14:paraId="3F0A4DB5">
      <w:pPr>
        <w:jc w:val="center"/>
        <w:rPr>
          <w:rFonts w:hint="eastAsia" w:ascii="仿宋_GB2312" w:eastAsia="仿宋_GB2312"/>
          <w:b/>
          <w:bCs/>
          <w:sz w:val="32"/>
          <w:szCs w:val="32"/>
        </w:rPr>
      </w:pPr>
      <w:r>
        <w:rPr>
          <w:rFonts w:hint="eastAsia" w:ascii="仿宋_GB2312" w:eastAsia="仿宋_GB2312"/>
          <w:b/>
          <w:bCs/>
          <w:sz w:val="32"/>
          <w:szCs w:val="32"/>
        </w:rPr>
        <w:t>第二章  排队轮候规则</w:t>
      </w:r>
    </w:p>
    <w:p w14:paraId="715B56D5">
      <w:pPr>
        <w:ind w:firstLine="640" w:firstLineChars="200"/>
        <w:rPr>
          <w:rFonts w:ascii="仿宋_GB2312" w:eastAsia="仿宋_GB2312"/>
          <w:sz w:val="32"/>
          <w:szCs w:val="32"/>
        </w:rPr>
      </w:pPr>
      <w:r>
        <w:rPr>
          <w:rFonts w:hint="eastAsia" w:ascii="仿宋_GB2312" w:eastAsia="仿宋_GB2312"/>
          <w:sz w:val="32"/>
          <w:szCs w:val="32"/>
        </w:rPr>
        <w:t>第四条  受理时间。发证机关收到申请人申办许可证的申请时间为受理时间，受理时间是排队轮候管理的唯一依据。</w:t>
      </w:r>
    </w:p>
    <w:p w14:paraId="597D0339">
      <w:pPr>
        <w:ind w:firstLine="640" w:firstLineChars="200"/>
        <w:rPr>
          <w:rFonts w:ascii="仿宋_GB2312" w:eastAsia="仿宋_GB2312"/>
          <w:sz w:val="32"/>
          <w:szCs w:val="32"/>
        </w:rPr>
      </w:pPr>
      <w:r>
        <w:rPr>
          <w:rFonts w:hint="eastAsia" w:ascii="仿宋_GB2312" w:eastAsia="仿宋_GB2312"/>
          <w:sz w:val="32"/>
          <w:szCs w:val="32"/>
        </w:rPr>
        <w:t>第五条  信息公示。发证机关每月初在东西湖区政务中心服务大厅烟草窗口</w:t>
      </w:r>
      <w:r>
        <w:rPr>
          <w:rFonts w:hint="eastAsia" w:ascii="仿宋_GB2312" w:eastAsia="仿宋_GB2312"/>
          <w:color w:val="auto"/>
          <w:sz w:val="32"/>
          <w:szCs w:val="32"/>
        </w:rPr>
        <w:t>（三楼35号）</w:t>
      </w:r>
      <w:r>
        <w:rPr>
          <w:rFonts w:hint="eastAsia" w:ascii="仿宋_GB2312" w:eastAsia="仿宋_GB2312"/>
          <w:sz w:val="32"/>
          <w:szCs w:val="32"/>
        </w:rPr>
        <w:t>发布公示，公开当月辖区和辖区市场单元格零售点（含其他类）可办理许可证数量。</w:t>
      </w:r>
    </w:p>
    <w:p w14:paraId="2BF19566">
      <w:pPr>
        <w:ind w:firstLine="640" w:firstLineChars="200"/>
        <w:rPr>
          <w:rFonts w:ascii="仿宋_GB2312" w:eastAsia="仿宋_GB2312"/>
          <w:sz w:val="32"/>
          <w:szCs w:val="32"/>
        </w:rPr>
      </w:pPr>
      <w:r>
        <w:rPr>
          <w:rFonts w:hint="eastAsia" w:ascii="仿宋_GB2312" w:eastAsia="仿宋_GB2312"/>
          <w:sz w:val="32"/>
          <w:szCs w:val="32"/>
        </w:rPr>
        <w:t>申请人符合申办条件纳入排队轮候系统，可关注“楚音雁语”微信公众号，查询辖区和市场单元格排队信息，或致电027-83265520查询排队信息。</w:t>
      </w:r>
    </w:p>
    <w:p w14:paraId="1D33E430">
      <w:pPr>
        <w:numPr>
          <w:ilvl w:val="0"/>
          <w:numId w:val="0"/>
        </w:numPr>
        <w:ind w:firstLine="640" w:firstLineChars="200"/>
        <w:rPr>
          <w:rFonts w:ascii="仿宋_GB2312" w:eastAsia="仿宋_GB2312"/>
          <w:sz w:val="32"/>
          <w:szCs w:val="32"/>
        </w:rPr>
      </w:pPr>
      <w:r>
        <w:rPr>
          <w:rFonts w:hint="eastAsia" w:ascii="仿宋_GB2312" w:eastAsia="仿宋_GB2312" w:hAnsiTheme="minorHAnsi" w:cstheme="minorBidi"/>
          <w:kern w:val="2"/>
          <w:sz w:val="32"/>
          <w:szCs w:val="32"/>
          <w:lang w:val="en-US" w:eastAsia="zh-CN" w:bidi="ar-SA"/>
        </w:rPr>
        <w:t>第六条</w:t>
      </w:r>
      <w:r>
        <w:rPr>
          <w:rFonts w:hint="eastAsia" w:ascii="仿宋_GB2312" w:eastAsia="仿宋_GB2312" w:cstheme="minorBidi"/>
          <w:kern w:val="2"/>
          <w:sz w:val="32"/>
          <w:szCs w:val="32"/>
          <w:lang w:val="en-US" w:eastAsia="zh-CN" w:bidi="ar-SA"/>
        </w:rPr>
        <w:t xml:space="preserve">  </w:t>
      </w:r>
      <w:r>
        <w:rPr>
          <w:rFonts w:hint="eastAsia" w:ascii="仿宋_GB2312" w:eastAsia="仿宋_GB2312"/>
          <w:sz w:val="32"/>
          <w:szCs w:val="32"/>
        </w:rPr>
        <w:t>排队轮候管理。申请人在申办许可证时，所在市场单元格零售点数量未达到市场单元格设定数量上限，且东西湖辖区设定零售点数量未达到上限时，可按照发证机关受理时间，编入所在市场单元格队列排队轮候，依次申办许可证。</w:t>
      </w:r>
    </w:p>
    <w:p w14:paraId="6277D076">
      <w:pPr>
        <w:numPr>
          <w:ilvl w:val="0"/>
          <w:numId w:val="0"/>
        </w:numPr>
        <w:ind w:firstLine="640" w:firstLineChars="200"/>
        <w:rPr>
          <w:rFonts w:ascii="仿宋_GB2312" w:eastAsia="仿宋_GB2312"/>
          <w:sz w:val="32"/>
          <w:szCs w:val="32"/>
        </w:rPr>
      </w:pPr>
      <w:r>
        <w:rPr>
          <w:rFonts w:hint="eastAsia" w:ascii="仿宋_GB2312" w:eastAsia="仿宋_GB2312"/>
          <w:sz w:val="32"/>
          <w:szCs w:val="32"/>
        </w:rPr>
        <w:t>申请人在申办许可证时，所在市场单元格零售点数量已达到或</w:t>
      </w:r>
      <w:r>
        <w:rPr>
          <w:rFonts w:hint="eastAsia" w:ascii="仿宋_GB2312" w:eastAsia="仿宋_GB2312"/>
          <w:sz w:val="32"/>
          <w:szCs w:val="32"/>
          <w:lang w:val="en-US" w:eastAsia="zh-CN"/>
        </w:rPr>
        <w:t>东西湖辖区设定零售数量达到</w:t>
      </w:r>
      <w:r>
        <w:rPr>
          <w:rFonts w:hint="eastAsia" w:ascii="仿宋_GB2312" w:eastAsia="仿宋_GB2312"/>
          <w:sz w:val="32"/>
          <w:szCs w:val="32"/>
        </w:rPr>
        <w:t>数量上限时，可按照发证机关受理时间，编入所在市场单元格队列排队轮候，结合市场单元格零售点退出数量等因素，依次申办许可证。</w:t>
      </w:r>
      <w:r>
        <w:rPr>
          <w:rFonts w:ascii="仿宋_GB2312" w:eastAsia="仿宋_GB2312"/>
          <w:sz w:val="32"/>
          <w:szCs w:val="32"/>
        </w:rPr>
        <w:t xml:space="preserve"> </w:t>
      </w:r>
    </w:p>
    <w:p w14:paraId="12840174">
      <w:pPr>
        <w:ind w:firstLine="640" w:firstLineChars="200"/>
        <w:rPr>
          <w:rFonts w:ascii="仿宋_GB2312" w:eastAsia="仿宋_GB2312"/>
          <w:sz w:val="32"/>
          <w:szCs w:val="32"/>
        </w:rPr>
      </w:pPr>
      <w:r>
        <w:rPr>
          <w:rFonts w:hint="eastAsia" w:ascii="仿宋_GB2312" w:eastAsia="仿宋_GB2312"/>
          <w:sz w:val="32"/>
          <w:szCs w:val="32"/>
        </w:rPr>
        <w:t>第七条  排队轮候</w:t>
      </w:r>
      <w:r>
        <w:rPr>
          <w:rFonts w:hint="eastAsia" w:ascii="仿宋_GB2312" w:eastAsia="仿宋_GB2312"/>
          <w:sz w:val="32"/>
          <w:szCs w:val="32"/>
          <w:lang w:val="en-US" w:eastAsia="zh-CN"/>
        </w:rPr>
        <w:t>终止</w:t>
      </w:r>
      <w:r>
        <w:rPr>
          <w:rFonts w:hint="eastAsia" w:ascii="仿宋_GB2312" w:eastAsia="仿宋_GB2312"/>
          <w:sz w:val="32"/>
          <w:szCs w:val="32"/>
        </w:rPr>
        <w:t>。发证机关对符合申办许可证条件的申请人履行一次性告知义务，申请人在未纳入排队轮候，线下撤回申请的，退回其提交的申请，受理终止；线上撤回申请的，说明退回理由，受理终止。</w:t>
      </w:r>
    </w:p>
    <w:p w14:paraId="7DF31C52">
      <w:pPr>
        <w:ind w:firstLine="640" w:firstLineChars="200"/>
        <w:rPr>
          <w:rFonts w:ascii="仿宋_GB2312" w:eastAsia="仿宋_GB2312"/>
          <w:sz w:val="32"/>
          <w:szCs w:val="32"/>
        </w:rPr>
      </w:pPr>
      <w:r>
        <w:rPr>
          <w:rFonts w:hint="eastAsia" w:ascii="仿宋_GB2312" w:eastAsia="仿宋_GB2312"/>
          <w:sz w:val="32"/>
          <w:szCs w:val="32"/>
        </w:rPr>
        <w:t>申请人排队轮候时撤回申请的，发证机关收到申请人撤回</w:t>
      </w:r>
      <w:r>
        <w:rPr>
          <w:rFonts w:hint="eastAsia" w:ascii="仿宋_GB2312" w:eastAsia="仿宋_GB2312"/>
          <w:sz w:val="32"/>
          <w:szCs w:val="32"/>
          <w:lang w:val="en-US" w:eastAsia="zh-CN"/>
        </w:rPr>
        <w:t>申请</w:t>
      </w:r>
      <w:r>
        <w:rPr>
          <w:rFonts w:hint="eastAsia" w:ascii="仿宋_GB2312" w:eastAsia="仿宋_GB2312"/>
          <w:sz w:val="32"/>
          <w:szCs w:val="32"/>
        </w:rPr>
        <w:t>，留存备查后，受理终止。</w:t>
      </w:r>
    </w:p>
    <w:p w14:paraId="1F84548C">
      <w:pPr>
        <w:ind w:firstLine="640" w:firstLineChars="200"/>
        <w:rPr>
          <w:rFonts w:ascii="仿宋_GB2312" w:eastAsia="仿宋_GB2312"/>
          <w:sz w:val="32"/>
          <w:szCs w:val="32"/>
        </w:rPr>
      </w:pPr>
      <w:r>
        <w:rPr>
          <w:rFonts w:hint="eastAsia" w:ascii="仿宋_GB2312" w:eastAsia="仿宋_GB2312"/>
          <w:sz w:val="32"/>
          <w:szCs w:val="32"/>
        </w:rPr>
        <w:t>申请人撤销申请，或因不符合《规定》条件，发证机关下达不予许可决定的，受理终止。该申请人排队轮候位序由该队列下一位申请人递补。</w:t>
      </w:r>
    </w:p>
    <w:p w14:paraId="333928FC">
      <w:pPr>
        <w:ind w:firstLine="640" w:firstLineChars="200"/>
        <w:rPr>
          <w:rFonts w:ascii="仿宋_GB2312" w:eastAsia="仿宋_GB2312"/>
          <w:color w:val="FF0000"/>
          <w:sz w:val="32"/>
          <w:szCs w:val="32"/>
        </w:rPr>
      </w:pPr>
      <w:r>
        <w:rPr>
          <w:rFonts w:hint="eastAsia" w:ascii="仿宋_GB2312" w:eastAsia="仿宋_GB2312"/>
          <w:sz w:val="32"/>
          <w:szCs w:val="32"/>
        </w:rPr>
        <w:t>申请人撤销申请，受理终止后，再次提交申请的，视同初次申请，按照排队轮候管理受理办理。</w:t>
      </w:r>
    </w:p>
    <w:p w14:paraId="0B97BA57">
      <w:pPr>
        <w:ind w:firstLine="640" w:firstLineChars="200"/>
        <w:rPr>
          <w:rFonts w:ascii="仿宋_GB2312" w:eastAsia="仿宋_GB2312"/>
          <w:sz w:val="32"/>
          <w:szCs w:val="32"/>
        </w:rPr>
      </w:pPr>
      <w:r>
        <w:rPr>
          <w:rFonts w:hint="eastAsia" w:ascii="仿宋_GB2312" w:eastAsia="仿宋_GB2312"/>
          <w:sz w:val="32"/>
          <w:szCs w:val="32"/>
        </w:rPr>
        <w:t xml:space="preserve">第八条  </w:t>
      </w:r>
      <w:r>
        <w:rPr>
          <w:rFonts w:hint="eastAsia" w:ascii="仿宋_GB2312" w:eastAsia="仿宋_GB2312"/>
          <w:sz w:val="32"/>
          <w:szCs w:val="32"/>
          <w:lang w:val="en-US" w:eastAsia="zh-CN"/>
        </w:rPr>
        <w:t>许可证</w:t>
      </w:r>
      <w:r>
        <w:rPr>
          <w:rFonts w:hint="eastAsia" w:ascii="仿宋_GB2312" w:eastAsia="仿宋_GB2312"/>
          <w:sz w:val="32"/>
          <w:szCs w:val="32"/>
        </w:rPr>
        <w:t>申请办理。发证机关依据当月公示辖区和辖区市场单元格零售点（含其他类）可办理许可证数量，按“退一进一”原则办理。</w:t>
      </w:r>
    </w:p>
    <w:p w14:paraId="1C63B4CE">
      <w:pPr>
        <w:ind w:firstLine="640" w:firstLineChars="200"/>
        <w:rPr>
          <w:rFonts w:ascii="仿宋_GB2312" w:eastAsia="仿宋_GB2312"/>
          <w:sz w:val="32"/>
          <w:szCs w:val="32"/>
        </w:rPr>
      </w:pPr>
      <w:r>
        <w:rPr>
          <w:rFonts w:hint="eastAsia" w:ascii="仿宋_GB2312" w:eastAsia="仿宋_GB2312"/>
          <w:sz w:val="32"/>
          <w:szCs w:val="32"/>
        </w:rPr>
        <w:t>发证机关应当通过电话、短信、邮件等方式通知当月拟办理许可证的申请人申办许可证的流程，申请人应自告知之日起10日内提出办证申请，申请人在截止办理日期前3日内仍未提出申请的，发证机关应再次联系申请人，申请人未响应，逾期未申请的，视为放弃申办，申请人放弃申办后同时不再具备排队轮候资格。</w:t>
      </w:r>
    </w:p>
    <w:p w14:paraId="22DA229F">
      <w:pPr>
        <w:ind w:firstLine="640" w:firstLineChars="200"/>
        <w:rPr>
          <w:rFonts w:ascii="仿宋_GB2312" w:eastAsia="仿宋_GB2312"/>
          <w:sz w:val="32"/>
          <w:szCs w:val="32"/>
        </w:rPr>
      </w:pPr>
      <w:r>
        <w:rPr>
          <w:rFonts w:hint="eastAsia" w:ascii="仿宋_GB2312" w:eastAsia="仿宋_GB2312"/>
          <w:sz w:val="32"/>
          <w:szCs w:val="32"/>
        </w:rPr>
        <w:t>第九条  申请人在排队轮候期间存在下列情形时，取消其排队轮候资格：</w:t>
      </w:r>
    </w:p>
    <w:p w14:paraId="2CCD9D10">
      <w:pPr>
        <w:ind w:firstLine="640" w:firstLineChars="200"/>
        <w:rPr>
          <w:rFonts w:hint="eastAsia" w:ascii="仿宋_GB2312" w:eastAsia="仿宋_GB2312"/>
          <w:sz w:val="32"/>
          <w:szCs w:val="32"/>
        </w:rPr>
      </w:pPr>
      <w:r>
        <w:rPr>
          <w:rFonts w:hint="eastAsia" w:ascii="仿宋_GB2312" w:eastAsia="仿宋_GB2312"/>
          <w:sz w:val="32"/>
          <w:szCs w:val="32"/>
        </w:rPr>
        <w:t>（一）未领取烟草专卖零售许可证经营烟草专卖品业务，并且一年内被执法机关处罚两次以上，在三年内申请领取烟草专卖零售许可证的；</w:t>
      </w:r>
    </w:p>
    <w:p w14:paraId="45C32D3B">
      <w:pPr>
        <w:ind w:firstLine="640" w:firstLineChars="200"/>
        <w:rPr>
          <w:rFonts w:hint="eastAsia" w:ascii="仿宋_GB2312" w:eastAsia="仿宋_GB2312"/>
          <w:sz w:val="32"/>
          <w:szCs w:val="32"/>
        </w:rPr>
      </w:pPr>
      <w:r>
        <w:rPr>
          <w:rFonts w:hint="eastAsia" w:ascii="仿宋_GB2312" w:eastAsia="仿宋_GB2312"/>
          <w:sz w:val="32"/>
          <w:szCs w:val="32"/>
        </w:rPr>
        <w:t>（二）因申请人以欺骗、贿赂等不正当手段取得的排队轮候资格</w:t>
      </w:r>
      <w:r>
        <w:rPr>
          <w:rFonts w:hint="eastAsia" w:ascii="仿宋_GB2312" w:eastAsia="仿宋_GB2312"/>
          <w:sz w:val="32"/>
          <w:szCs w:val="32"/>
          <w:lang w:val="en-US" w:eastAsia="zh-CN"/>
        </w:rPr>
        <w:t>的</w:t>
      </w:r>
      <w:r>
        <w:rPr>
          <w:rFonts w:hint="eastAsia" w:ascii="仿宋_GB2312" w:eastAsia="仿宋_GB2312"/>
          <w:sz w:val="32"/>
          <w:szCs w:val="32"/>
        </w:rPr>
        <w:t xml:space="preserve">。 </w:t>
      </w:r>
    </w:p>
    <w:p w14:paraId="6BAB137D">
      <w:pPr>
        <w:jc w:val="center"/>
        <w:rPr>
          <w:rFonts w:hint="eastAsia" w:ascii="仿宋_GB2312" w:eastAsia="仿宋_GB2312"/>
          <w:b/>
          <w:bCs/>
          <w:sz w:val="32"/>
          <w:szCs w:val="32"/>
        </w:rPr>
      </w:pPr>
      <w:r>
        <w:rPr>
          <w:rFonts w:hint="eastAsia" w:ascii="仿宋_GB2312" w:eastAsia="仿宋_GB2312"/>
          <w:b/>
          <w:bCs/>
          <w:sz w:val="32"/>
          <w:szCs w:val="32"/>
        </w:rPr>
        <w:t>第三章  附则</w:t>
      </w:r>
    </w:p>
    <w:p w14:paraId="67C49D07">
      <w:pPr>
        <w:ind w:firstLine="640" w:firstLineChars="200"/>
        <w:rPr>
          <w:rFonts w:ascii="仿宋_GB2312" w:eastAsia="仿宋_GB2312"/>
          <w:sz w:val="32"/>
          <w:szCs w:val="32"/>
        </w:rPr>
      </w:pPr>
      <w:r>
        <w:rPr>
          <w:rFonts w:hint="eastAsia" w:ascii="仿宋_GB2312" w:eastAsia="仿宋_GB2312"/>
          <w:sz w:val="32"/>
          <w:szCs w:val="32"/>
        </w:rPr>
        <w:t>第十条  本办法中的“内”“之前”包含本数，10日指10个自然日。</w:t>
      </w:r>
    </w:p>
    <w:p w14:paraId="5D19704C">
      <w:pPr>
        <w:ind w:firstLine="640" w:firstLineChars="200"/>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一</w:t>
      </w:r>
      <w:r>
        <w:rPr>
          <w:rFonts w:hint="eastAsia" w:ascii="仿宋_GB2312" w:eastAsia="仿宋_GB2312"/>
          <w:sz w:val="32"/>
          <w:szCs w:val="32"/>
        </w:rPr>
        <w:t>条  本办法由武汉市东西湖区烟草专卖局负责解释，自公布之日起施行。</w:t>
      </w:r>
    </w:p>
    <w:p w14:paraId="2917B757">
      <w:pPr>
        <w:rPr>
          <w:rFonts w:hint="eastAsia" w:ascii="仿宋_GB2312" w:eastAsia="仿宋_GB2312"/>
          <w:sz w:val="32"/>
          <w:szCs w:val="32"/>
        </w:rPr>
      </w:pPr>
    </w:p>
    <w:p w14:paraId="0DE147AB">
      <w:pPr>
        <w:wordWrap/>
        <w:jc w:val="right"/>
        <w:rPr>
          <w:rFonts w:hint="eastAsia" w:ascii="仿宋_GB2312" w:eastAsia="仿宋_GB2312"/>
          <w:sz w:val="32"/>
          <w:szCs w:val="32"/>
        </w:rPr>
      </w:pPr>
      <w:r>
        <w:rPr>
          <w:rFonts w:hint="eastAsia" w:ascii="仿宋_GB2312" w:eastAsia="仿宋_GB2312"/>
          <w:sz w:val="32"/>
          <w:szCs w:val="32"/>
        </w:rPr>
        <w:t xml:space="preserve">武汉市东西湖区烟草专卖局        </w:t>
      </w:r>
    </w:p>
    <w:p w14:paraId="7A4F6557">
      <w:pPr>
        <w:wordWrap w:val="0"/>
        <w:jc w:val="right"/>
        <w:rPr>
          <w:rFonts w:hint="eastAsia" w:ascii="仿宋_GB2312" w:eastAsia="仿宋_GB2312"/>
          <w:sz w:val="32"/>
          <w:szCs w:val="32"/>
        </w:rPr>
      </w:pPr>
      <w:r>
        <w:rPr>
          <w:rFonts w:hint="eastAsia" w:ascii="仿宋_GB2312" w:eastAsia="仿宋_GB2312"/>
          <w:sz w:val="32"/>
          <w:szCs w:val="32"/>
        </w:rPr>
        <w:t xml:space="preserve">   </w:t>
      </w:r>
    </w:p>
    <w:p w14:paraId="4F4666BF">
      <w:pPr>
        <w:rPr>
          <w:rFonts w:ascii="仿宋_GB2312" w:eastAsia="仿宋_GB2312"/>
          <w:sz w:val="32"/>
          <w:szCs w:val="32"/>
        </w:rPr>
      </w:pPr>
    </w:p>
    <w:p w14:paraId="44351B7F">
      <w:pPr>
        <w:rPr>
          <w:rFonts w:ascii="仿宋_GB2312" w:eastAsia="仿宋_GB2312"/>
          <w:sz w:val="32"/>
          <w:szCs w:val="32"/>
        </w:rPr>
      </w:pPr>
    </w:p>
    <w:p w14:paraId="4A4F822E">
      <w:pPr>
        <w:rPr>
          <w:rFonts w:ascii="仿宋_GB2312" w:eastAsia="仿宋_GB2312"/>
          <w:sz w:val="32"/>
          <w:szCs w:val="32"/>
        </w:rPr>
      </w:pPr>
    </w:p>
    <w:p w14:paraId="09D4375B">
      <w:pPr>
        <w:rPr>
          <w:rFonts w:ascii="仿宋_GB2312" w:eastAsia="仿宋_GB2312"/>
          <w:sz w:val="32"/>
          <w:szCs w:val="32"/>
        </w:rPr>
      </w:pPr>
    </w:p>
    <w:p w14:paraId="616CE1B4">
      <w:pPr>
        <w:rPr>
          <w:rFonts w:ascii="仿宋_GB2312" w:eastAsia="仿宋_GB2312"/>
          <w:sz w:val="32"/>
          <w:szCs w:val="32"/>
        </w:rPr>
      </w:pPr>
    </w:p>
    <w:p w14:paraId="524F17EE">
      <w:pPr>
        <w:rPr>
          <w:rFonts w:ascii="仿宋_GB2312" w:eastAsia="仿宋_GB2312"/>
          <w:sz w:val="32"/>
          <w:szCs w:val="32"/>
        </w:rPr>
      </w:pPr>
    </w:p>
    <w:p w14:paraId="01440DF5">
      <w:pPr>
        <w:rPr>
          <w:rFonts w:ascii="仿宋_GB2312" w:eastAsia="仿宋_GB2312"/>
          <w:sz w:val="32"/>
          <w:szCs w:val="32"/>
        </w:rPr>
      </w:pPr>
    </w:p>
    <w:p w14:paraId="1855CB86">
      <w:pPr>
        <w:rPr>
          <w:rFonts w:ascii="仿宋_GB2312" w:eastAsia="仿宋_GB2312"/>
          <w:sz w:val="32"/>
          <w:szCs w:val="32"/>
        </w:rPr>
      </w:pPr>
    </w:p>
    <w:p w14:paraId="0E45F264">
      <w:pPr>
        <w:rPr>
          <w:rFonts w:ascii="仿宋_GB2312" w:eastAsia="仿宋_GB2312"/>
          <w:sz w:val="32"/>
          <w:szCs w:val="32"/>
        </w:rPr>
      </w:pPr>
    </w:p>
    <w:p w14:paraId="4E5A938B">
      <w:pPr>
        <w:rPr>
          <w:rFonts w:ascii="仿宋_GB2312" w:eastAsia="仿宋_GB2312"/>
          <w:sz w:val="32"/>
          <w:szCs w:val="32"/>
        </w:rPr>
      </w:pPr>
    </w:p>
    <w:p w14:paraId="6408F304">
      <w:pPr>
        <w:rPr>
          <w:rFonts w:ascii="仿宋_GB2312" w:eastAsia="仿宋_GB2312"/>
          <w:sz w:val="32"/>
          <w:szCs w:val="32"/>
        </w:rPr>
      </w:pPr>
    </w:p>
    <w:p w14:paraId="0F15510F">
      <w:pPr>
        <w:rPr>
          <w:rFonts w:ascii="仿宋_GB2312" w:eastAsia="仿宋_GB2312"/>
          <w:sz w:val="32"/>
          <w:szCs w:val="32"/>
        </w:rPr>
      </w:pPr>
    </w:p>
    <w:p w14:paraId="35E3FE91">
      <w:pPr>
        <w:rPr>
          <w:rFonts w:ascii="仿宋_GB2312" w:eastAsia="仿宋_GB2312"/>
          <w:sz w:val="32"/>
          <w:szCs w:val="32"/>
        </w:rPr>
      </w:pPr>
    </w:p>
    <w:p w14:paraId="5F9C6C7C">
      <w:pPr>
        <w:rPr>
          <w:rFonts w:ascii="仿宋_GB2312" w:eastAsia="仿宋_GB2312"/>
          <w:sz w:val="32"/>
          <w:szCs w:val="32"/>
        </w:rPr>
      </w:pPr>
    </w:p>
    <w:p w14:paraId="311E07D5">
      <w:pPr>
        <w:rPr>
          <w:rFonts w:ascii="仿宋_GB2312" w:eastAsia="仿宋_GB2312"/>
          <w:sz w:val="32"/>
          <w:szCs w:val="32"/>
        </w:rPr>
      </w:pPr>
    </w:p>
    <w:p w14:paraId="4866D15D">
      <w:pPr>
        <w:rPr>
          <w:rFonts w:ascii="仿宋_GB2312" w:eastAsia="仿宋_GB2312"/>
          <w:sz w:val="32"/>
          <w:szCs w:val="32"/>
        </w:rPr>
      </w:pPr>
    </w:p>
    <w:p w14:paraId="11B89710">
      <w:pPr>
        <w:pStyle w:val="5"/>
        <w:widowControl w:val="0"/>
        <w:spacing w:before="0" w:beforeAutospacing="0" w:after="0" w:afterAutospacing="0"/>
        <w:jc w:val="center"/>
        <w:rPr>
          <w:rFonts w:hint="eastAsia" w:ascii="仿宋_GB2312" w:eastAsia="仿宋_GB2312"/>
          <w:b/>
          <w:bCs/>
          <w:sz w:val="44"/>
          <w:szCs w:val="44"/>
          <w:highlight w:val="none"/>
          <w:lang w:val="en-US" w:eastAsia="zh-CN"/>
        </w:rPr>
      </w:pPr>
    </w:p>
    <w:p w14:paraId="52651D8F">
      <w:pPr>
        <w:pStyle w:val="5"/>
        <w:widowControl w:val="0"/>
        <w:spacing w:before="0" w:beforeAutospacing="0" w:after="0" w:afterAutospacing="0"/>
        <w:jc w:val="center"/>
        <w:rPr>
          <w:rFonts w:hint="eastAsia" w:ascii="仿宋_GB2312" w:eastAsia="仿宋_GB2312"/>
          <w:b/>
          <w:bCs/>
          <w:sz w:val="44"/>
          <w:szCs w:val="44"/>
          <w:highlight w:val="none"/>
          <w:lang w:val="en-US" w:eastAsia="zh-CN"/>
        </w:rPr>
      </w:pPr>
      <w:r>
        <w:rPr>
          <w:rFonts w:hint="eastAsia" w:ascii="仿宋_GB2312" w:eastAsia="仿宋_GB2312"/>
          <w:b/>
          <w:bCs/>
          <w:sz w:val="44"/>
          <w:szCs w:val="44"/>
          <w:highlight w:val="none"/>
          <w:lang w:val="en-US" w:eastAsia="zh-CN"/>
        </w:rPr>
        <w:t>东西湖区烟草制品零售点经营场所勘验</w:t>
      </w:r>
    </w:p>
    <w:p w14:paraId="41A699C2">
      <w:pPr>
        <w:pStyle w:val="5"/>
        <w:widowControl w:val="0"/>
        <w:spacing w:before="0" w:beforeAutospacing="0" w:after="0" w:afterAutospacing="0"/>
        <w:jc w:val="center"/>
        <w:rPr>
          <w:rFonts w:hint="eastAsia" w:ascii="仿宋_GB2312" w:eastAsia="仿宋_GB2312"/>
          <w:b/>
          <w:bCs/>
          <w:sz w:val="44"/>
          <w:szCs w:val="44"/>
          <w:highlight w:val="none"/>
          <w:lang w:val="en-US" w:eastAsia="zh-CN"/>
        </w:rPr>
      </w:pPr>
      <w:r>
        <w:rPr>
          <w:rFonts w:hint="eastAsia" w:ascii="仿宋_GB2312" w:eastAsia="仿宋_GB2312"/>
          <w:b/>
          <w:bCs/>
          <w:sz w:val="44"/>
          <w:szCs w:val="44"/>
          <w:highlight w:val="none"/>
          <w:lang w:val="en-US" w:eastAsia="zh-CN"/>
        </w:rPr>
        <w:t>测量标准</w:t>
      </w:r>
    </w:p>
    <w:p w14:paraId="2020D0B3">
      <w:pPr>
        <w:pStyle w:val="5"/>
        <w:widowControl w:val="0"/>
        <w:spacing w:before="0" w:beforeAutospacing="0" w:after="0" w:afterAutospacing="0"/>
        <w:ind w:firstLine="640" w:firstLineChars="200"/>
        <w:rPr>
          <w:rFonts w:hint="eastAsia" w:ascii="仿宋_GB2312" w:eastAsia="仿宋_GB2312"/>
          <w:sz w:val="32"/>
          <w:szCs w:val="32"/>
          <w:highlight w:val="none"/>
        </w:rPr>
      </w:pPr>
      <w:bookmarkStart w:id="0" w:name="content"/>
    </w:p>
    <w:p w14:paraId="29A4E306">
      <w:pPr>
        <w:pStyle w:val="5"/>
        <w:widowControl w:val="0"/>
        <w:spacing w:before="0" w:beforeAutospacing="0" w:after="0" w:afterAutospacing="0"/>
        <w:ind w:firstLine="640" w:firstLineChars="200"/>
        <w:rPr>
          <w:rFonts w:ascii="仿宋_GB2312" w:eastAsia="仿宋_GB2312"/>
          <w:sz w:val="32"/>
          <w:szCs w:val="32"/>
          <w:highlight w:val="none"/>
        </w:rPr>
      </w:pPr>
      <w:r>
        <w:rPr>
          <w:rFonts w:hint="eastAsia" w:ascii="仿宋_GB2312" w:eastAsia="仿宋_GB2312"/>
          <w:sz w:val="32"/>
          <w:szCs w:val="32"/>
          <w:highlight w:val="none"/>
        </w:rPr>
        <w:t>为</w:t>
      </w:r>
      <w:r>
        <w:rPr>
          <w:rFonts w:hint="eastAsia" w:ascii="仿宋_GB2312" w:eastAsia="仿宋_GB2312"/>
          <w:sz w:val="32"/>
          <w:szCs w:val="32"/>
          <w:highlight w:val="none"/>
          <w:lang w:val="en-US" w:eastAsia="zh-CN"/>
        </w:rPr>
        <w:t>全面规范东西湖区烟草制品零售点合理布局规定的实际操作标准</w:t>
      </w:r>
      <w:r>
        <w:rPr>
          <w:rFonts w:hint="eastAsia" w:ascii="仿宋_GB2312" w:eastAsia="仿宋_GB2312"/>
          <w:sz w:val="32"/>
          <w:szCs w:val="32"/>
          <w:highlight w:val="none"/>
        </w:rPr>
        <w:t>，根据相关法律、法规、规章以及国家烟草专卖局有关规定，</w:t>
      </w:r>
      <w:r>
        <w:rPr>
          <w:rFonts w:hint="eastAsia" w:ascii="仿宋_GB2312" w:eastAsia="仿宋_GB2312"/>
          <w:sz w:val="32"/>
          <w:szCs w:val="32"/>
          <w:highlight w:val="none"/>
          <w:lang w:val="en-US" w:eastAsia="zh-CN"/>
        </w:rPr>
        <w:t>综合市政府相关主管部门意见，</w:t>
      </w:r>
      <w:r>
        <w:rPr>
          <w:rFonts w:hint="eastAsia" w:ascii="仿宋_GB2312" w:eastAsia="仿宋_GB2312"/>
          <w:sz w:val="32"/>
          <w:szCs w:val="32"/>
          <w:highlight w:val="none"/>
        </w:rPr>
        <w:t>结合本</w:t>
      </w: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rPr>
        <w:t>实际，现就做好</w:t>
      </w:r>
      <w:r>
        <w:rPr>
          <w:rFonts w:hint="eastAsia" w:ascii="仿宋_GB2312" w:eastAsia="仿宋_GB2312"/>
          <w:sz w:val="32"/>
          <w:szCs w:val="32"/>
          <w:highlight w:val="none"/>
          <w:lang w:val="en-US" w:eastAsia="zh-CN"/>
        </w:rPr>
        <w:t>烟草制品零售点间距测量标准</w:t>
      </w:r>
      <w:r>
        <w:rPr>
          <w:rFonts w:hint="eastAsia" w:ascii="仿宋_GB2312" w:eastAsia="仿宋_GB2312"/>
          <w:sz w:val="32"/>
          <w:szCs w:val="32"/>
          <w:highlight w:val="none"/>
        </w:rPr>
        <w:t>如下。</w:t>
      </w:r>
      <w:bookmarkEnd w:id="0"/>
    </w:p>
    <w:p w14:paraId="0A9A3204">
      <w:pPr>
        <w:pStyle w:val="5"/>
        <w:widowControl w:val="0"/>
        <w:spacing w:before="0" w:beforeAutospacing="0" w:after="0" w:afterAutospacing="0"/>
        <w:ind w:firstLine="643" w:firstLineChars="200"/>
        <w:rPr>
          <w:rFonts w:ascii="黑体" w:hAnsi="黑体" w:eastAsia="黑体"/>
          <w:sz w:val="32"/>
          <w:szCs w:val="32"/>
          <w:highlight w:val="none"/>
        </w:rPr>
      </w:pPr>
      <w:r>
        <w:rPr>
          <w:rFonts w:hint="eastAsia" w:ascii="仿宋" w:hAnsi="仿宋" w:eastAsia="仿宋" w:cs="仿宋"/>
          <w:b/>
          <w:bCs/>
          <w:sz w:val="32"/>
          <w:szCs w:val="32"/>
          <w:highlight w:val="none"/>
        </w:rPr>
        <w:t>一、指导思想</w:t>
      </w:r>
    </w:p>
    <w:p w14:paraId="56F1604F">
      <w:pPr>
        <w:pStyle w:val="5"/>
        <w:widowControl w:val="0"/>
        <w:spacing w:before="0" w:beforeAutospacing="0" w:after="0" w:afterAutospacing="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以《中华人民共和国行政许可法》《中华人民共和国烟草专卖法》《中华人民共和国烟草专卖法实施条例》《烟草专卖许可证管理办法》《烟草专卖许可证管理办法实施细则》等有关</w:t>
      </w:r>
      <w:r>
        <w:rPr>
          <w:rFonts w:hint="eastAsia" w:ascii="仿宋_GB2312" w:eastAsia="仿宋_GB2312"/>
          <w:sz w:val="32"/>
          <w:szCs w:val="32"/>
          <w:highlight w:val="none"/>
          <w:lang w:val="en-US" w:eastAsia="zh-CN"/>
        </w:rPr>
        <w:t>法律法规规章</w:t>
      </w:r>
      <w:r>
        <w:rPr>
          <w:rFonts w:hint="eastAsia" w:ascii="仿宋_GB2312" w:eastAsia="仿宋_GB2312"/>
          <w:sz w:val="32"/>
          <w:szCs w:val="32"/>
          <w:highlight w:val="none"/>
        </w:rPr>
        <w:t>为依据，在</w:t>
      </w:r>
      <w:r>
        <w:rPr>
          <w:rFonts w:hint="eastAsia" w:ascii="仿宋_GB2312" w:eastAsia="仿宋_GB2312"/>
          <w:sz w:val="32"/>
          <w:szCs w:val="32"/>
          <w:highlight w:val="none"/>
          <w:lang w:val="en-US" w:eastAsia="zh-CN"/>
        </w:rPr>
        <w:t>落实</w:t>
      </w:r>
      <w:r>
        <w:rPr>
          <w:rFonts w:hint="eastAsia" w:ascii="仿宋_GB2312" w:eastAsia="仿宋_GB2312"/>
          <w:sz w:val="32"/>
          <w:szCs w:val="32"/>
          <w:highlight w:val="none"/>
        </w:rPr>
        <w:t>烟草制品零售点合理布局规</w:t>
      </w:r>
      <w:r>
        <w:rPr>
          <w:rFonts w:hint="eastAsia" w:ascii="仿宋_GB2312" w:eastAsia="仿宋_GB2312"/>
          <w:sz w:val="32"/>
          <w:szCs w:val="32"/>
          <w:highlight w:val="none"/>
          <w:lang w:val="en-US" w:eastAsia="zh-CN"/>
        </w:rPr>
        <w:t>定</w:t>
      </w:r>
      <w:r>
        <w:rPr>
          <w:rFonts w:hint="eastAsia" w:ascii="仿宋_GB2312" w:eastAsia="仿宋_GB2312"/>
          <w:sz w:val="32"/>
          <w:szCs w:val="32"/>
          <w:highlight w:val="none"/>
        </w:rPr>
        <w:t>时，要切实以</w:t>
      </w:r>
      <w:r>
        <w:rPr>
          <w:rFonts w:hint="eastAsia" w:ascii="仿宋_GB2312" w:eastAsia="仿宋_GB2312"/>
          <w:sz w:val="32"/>
          <w:szCs w:val="32"/>
          <w:highlight w:val="none"/>
          <w:lang w:val="en-US" w:eastAsia="zh-CN"/>
        </w:rPr>
        <w:t>公平、公正</w:t>
      </w:r>
      <w:r>
        <w:rPr>
          <w:rFonts w:hint="eastAsia" w:ascii="仿宋_GB2312" w:eastAsia="仿宋_GB2312"/>
          <w:sz w:val="32"/>
          <w:szCs w:val="32"/>
          <w:highlight w:val="none"/>
        </w:rPr>
        <w:t>为出发点，以满足社会需求、服务人民群众为根本，</w:t>
      </w:r>
      <w:r>
        <w:rPr>
          <w:rFonts w:hint="eastAsia" w:ascii="仿宋_GB2312" w:eastAsia="仿宋_GB2312"/>
          <w:sz w:val="32"/>
          <w:szCs w:val="32"/>
          <w:highlight w:val="none"/>
          <w:lang w:val="en-US" w:eastAsia="zh-CN"/>
        </w:rPr>
        <w:t>以协助维护社会稳定为使命担当</w:t>
      </w:r>
      <w:r>
        <w:rPr>
          <w:rFonts w:hint="eastAsia" w:ascii="仿宋_GB2312" w:eastAsia="仿宋_GB2312"/>
          <w:sz w:val="32"/>
          <w:szCs w:val="32"/>
          <w:highlight w:val="none"/>
        </w:rPr>
        <w:t>，不断提高烟草专卖行政许可的社会公信力。</w:t>
      </w:r>
    </w:p>
    <w:p w14:paraId="4374CA3F">
      <w:pPr>
        <w:pStyle w:val="5"/>
        <w:widowControl w:val="0"/>
        <w:spacing w:before="0" w:beforeAutospacing="0" w:after="0" w:afterAutospacing="0"/>
        <w:ind w:firstLine="643" w:firstLineChars="200"/>
        <w:rPr>
          <w:rFonts w:ascii="黑体" w:hAnsi="黑体" w:eastAsia="黑体"/>
          <w:sz w:val="32"/>
          <w:szCs w:val="32"/>
          <w:highlight w:val="none"/>
        </w:rPr>
      </w:pP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rPr>
        <w:t>、烟草制品零售点间距测量标准</w:t>
      </w:r>
    </w:p>
    <w:p w14:paraId="1792DD52">
      <w:pPr>
        <w:pStyle w:val="5"/>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1</w:t>
      </w:r>
      <w:r>
        <w:rPr>
          <w:rFonts w:hint="eastAsia" w:ascii="仿宋_GB2312" w:eastAsia="仿宋_GB2312"/>
          <w:sz w:val="32"/>
          <w:szCs w:val="32"/>
          <w:highlight w:val="none"/>
        </w:rPr>
        <w:t>、申请烟草制品零售点（以下简称申请点）与周围最近零售点（以下简称零售点）间隔距离的测量根据经营场所位置不同，对应适用以下测量标准：</w:t>
      </w:r>
    </w:p>
    <w:p w14:paraId="68CF7FDA">
      <w:pPr>
        <w:pStyle w:val="5"/>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宋体" w:hAnsi="宋体" w:eastAsia="宋体" w:cs="宋体"/>
          <w:sz w:val="32"/>
          <w:szCs w:val="32"/>
          <w:highlight w:val="none"/>
        </w:rPr>
        <w:t>①</w:t>
      </w:r>
      <w:r>
        <w:rPr>
          <w:rFonts w:hint="eastAsia" w:ascii="仿宋_GB2312" w:eastAsia="仿宋_GB2312"/>
          <w:sz w:val="32"/>
          <w:szCs w:val="32"/>
          <w:highlight w:val="none"/>
        </w:rPr>
        <w:t>申请点与零售点同侧的，按申请点至零售点人可通行的直线最短距离测量：</w:t>
      </w:r>
    </w:p>
    <w:p w14:paraId="2E02A955">
      <w:pPr>
        <w:pStyle w:val="5"/>
        <w:widowControl/>
        <w:spacing w:before="0" w:beforeAutospacing="0" w:after="0" w:afterAutospacing="0" w:line="240" w:lineRule="auto"/>
        <w:rPr>
          <w:rFonts w:hint="eastAsia" w:ascii="仿宋_GB2312" w:eastAsia="仿宋_GB2312"/>
          <w:sz w:val="32"/>
          <w:szCs w:val="32"/>
          <w:highlight w:val="none"/>
        </w:rPr>
      </w:pPr>
      <w:r>
        <w:rPr>
          <w:rFonts w:hint="eastAsia" w:ascii="微软雅黑" w:hAnsi="微软雅黑" w:eastAsia="微软雅黑" w:cs="微软雅黑"/>
          <w:highlight w:val="none"/>
          <w:shd w:val="clear" w:color="auto" w:fill="FFFFFF"/>
          <w:lang w:val="en-US" w:eastAsia="zh-CN"/>
        </w:rPr>
        <w:t xml:space="preserve">          </w:t>
      </w:r>
      <w:r>
        <w:rPr>
          <w:rFonts w:hint="eastAsia" w:ascii="微软雅黑" w:hAnsi="微软雅黑" w:eastAsia="微软雅黑" w:cs="微软雅黑"/>
          <w:highlight w:val="none"/>
          <w:shd w:val="clear" w:color="auto" w:fill="FFFFFF"/>
          <w:lang w:eastAsia="zh-CN"/>
        </w:rPr>
        <w:drawing>
          <wp:inline distT="0" distB="0" distL="114300" distR="114300">
            <wp:extent cx="3455670" cy="1895475"/>
            <wp:effectExtent l="0" t="0" r="11430" b="9525"/>
            <wp:docPr id="149" name="图片 14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1"/>
                    <pic:cNvPicPr>
                      <a:picLocks noChangeAspect="1"/>
                    </pic:cNvPicPr>
                  </pic:nvPicPr>
                  <pic:blipFill>
                    <a:blip r:embed="rId5"/>
                    <a:stretch>
                      <a:fillRect/>
                    </a:stretch>
                  </pic:blipFill>
                  <pic:spPr>
                    <a:xfrm>
                      <a:off x="0" y="0"/>
                      <a:ext cx="3455670" cy="1895475"/>
                    </a:xfrm>
                    <a:prstGeom prst="rect">
                      <a:avLst/>
                    </a:prstGeom>
                  </pic:spPr>
                </pic:pic>
              </a:graphicData>
            </a:graphic>
          </wp:inline>
        </w:drawing>
      </w:r>
    </w:p>
    <w:p w14:paraId="6B0BC523">
      <w:pPr>
        <w:pStyle w:val="5"/>
        <w:widowControl w:val="0"/>
        <w:numPr>
          <w:ilvl w:val="0"/>
          <w:numId w:val="0"/>
        </w:numPr>
        <w:spacing w:before="0" w:beforeAutospacing="0" w:after="0" w:afterAutospacing="0"/>
        <w:rPr>
          <w:rFonts w:hint="eastAsia" w:cs="宋体"/>
          <w:sz w:val="32"/>
          <w:szCs w:val="32"/>
          <w:highlight w:val="none"/>
          <w:lang w:val="en-US" w:eastAsia="zh-CN"/>
        </w:rPr>
      </w:pPr>
      <w:r>
        <w:rPr>
          <w:rFonts w:hint="eastAsia" w:cs="宋体"/>
          <w:sz w:val="32"/>
          <w:szCs w:val="32"/>
          <w:highlight w:val="none"/>
          <w:lang w:val="en-US" w:eastAsia="zh-CN"/>
        </w:rPr>
        <w:t xml:space="preserve">    </w:t>
      </w:r>
    </w:p>
    <w:p w14:paraId="26D2EC17">
      <w:pPr>
        <w:pStyle w:val="5"/>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cs="宋体"/>
          <w:sz w:val="32"/>
          <w:szCs w:val="32"/>
          <w:highlight w:val="none"/>
          <w:lang w:val="en-US" w:eastAsia="zh-CN"/>
        </w:rPr>
        <w:t xml:space="preserve">    </w:t>
      </w:r>
      <w:r>
        <w:rPr>
          <w:rFonts w:hint="eastAsia" w:ascii="宋体" w:hAnsi="宋体" w:eastAsia="宋体" w:cs="宋体"/>
          <w:sz w:val="32"/>
          <w:szCs w:val="32"/>
          <w:highlight w:val="none"/>
          <w:lang w:val="en-US" w:eastAsia="zh-CN"/>
        </w:rPr>
        <w:t>②</w:t>
      </w:r>
      <w:r>
        <w:rPr>
          <w:rFonts w:hint="eastAsia" w:ascii="仿宋_GB2312" w:eastAsia="仿宋_GB2312"/>
          <w:sz w:val="32"/>
          <w:szCs w:val="32"/>
          <w:highlight w:val="none"/>
          <w:lang w:val="en-US" w:eastAsia="zh-CN"/>
        </w:rPr>
        <w:t>申请点与参照零售点不同侧的，按申请点至零售点人可通行的直线最短距离测量：</w:t>
      </w:r>
    </w:p>
    <w:p w14:paraId="4BC46A3F">
      <w:pPr>
        <w:pStyle w:val="5"/>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3565525" cy="1724660"/>
            <wp:effectExtent l="0" t="0" r="15875" b="8890"/>
            <wp:docPr id="150" name="图片 15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2"/>
                    <pic:cNvPicPr>
                      <a:picLocks noChangeAspect="1"/>
                    </pic:cNvPicPr>
                  </pic:nvPicPr>
                  <pic:blipFill>
                    <a:blip r:embed="rId6"/>
                    <a:stretch>
                      <a:fillRect/>
                    </a:stretch>
                  </pic:blipFill>
                  <pic:spPr>
                    <a:xfrm>
                      <a:off x="0" y="0"/>
                      <a:ext cx="3565525" cy="1724660"/>
                    </a:xfrm>
                    <a:prstGeom prst="rect">
                      <a:avLst/>
                    </a:prstGeom>
                  </pic:spPr>
                </pic:pic>
              </a:graphicData>
            </a:graphic>
          </wp:inline>
        </w:drawing>
      </w:r>
    </w:p>
    <w:p w14:paraId="10FCB616">
      <w:pPr>
        <w:pStyle w:val="5"/>
        <w:widowControl w:val="0"/>
        <w:numPr>
          <w:ilvl w:val="0"/>
          <w:numId w:val="0"/>
        </w:numPr>
        <w:spacing w:before="0" w:beforeAutospacing="0" w:after="0" w:afterAutospacing="0"/>
        <w:rPr>
          <w:rFonts w:hint="eastAsia" w:cs="宋体"/>
          <w:sz w:val="32"/>
          <w:szCs w:val="32"/>
          <w:highlight w:val="none"/>
          <w:lang w:val="en-US" w:eastAsia="zh-CN"/>
        </w:rPr>
      </w:pPr>
      <w:r>
        <w:rPr>
          <w:rFonts w:hint="eastAsia" w:cs="宋体"/>
          <w:sz w:val="32"/>
          <w:szCs w:val="32"/>
          <w:highlight w:val="none"/>
          <w:lang w:val="en-US" w:eastAsia="zh-CN"/>
        </w:rPr>
        <w:t xml:space="preserve">     </w:t>
      </w:r>
    </w:p>
    <w:p w14:paraId="36FAEDDD">
      <w:pPr>
        <w:pStyle w:val="5"/>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cs="宋体"/>
          <w:sz w:val="32"/>
          <w:szCs w:val="32"/>
          <w:highlight w:val="none"/>
          <w:lang w:val="en-US" w:eastAsia="zh-CN"/>
        </w:rPr>
        <w:t xml:space="preserve">    </w:t>
      </w:r>
      <w:r>
        <w:rPr>
          <w:rFonts w:hint="eastAsia" w:ascii="宋体" w:hAnsi="宋体" w:eastAsia="宋体" w:cs="宋体"/>
          <w:sz w:val="32"/>
          <w:szCs w:val="32"/>
          <w:highlight w:val="none"/>
          <w:lang w:val="en-US" w:eastAsia="zh-CN"/>
        </w:rPr>
        <w:t>③</w:t>
      </w:r>
      <w:r>
        <w:rPr>
          <w:rFonts w:hint="eastAsia" w:ascii="仿宋_GB2312" w:eastAsia="仿宋_GB2312"/>
          <w:sz w:val="32"/>
          <w:szCs w:val="32"/>
          <w:highlight w:val="none"/>
          <w:lang w:val="en-US" w:eastAsia="zh-CN"/>
        </w:rPr>
        <w:t>两侧设有隔离带、绿化带的（且隔离带、绿化带人不可通行的），按申请点与零售点人可通行的最短距离测量：</w:t>
      </w:r>
    </w:p>
    <w:p w14:paraId="199F5A28">
      <w:pPr>
        <w:pStyle w:val="5"/>
        <w:widowControl w:val="0"/>
        <w:numPr>
          <w:ilvl w:val="0"/>
          <w:numId w:val="0"/>
        </w:numPr>
        <w:spacing w:before="0" w:beforeAutospacing="0" w:after="0" w:afterAutospacing="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drawing>
          <wp:inline distT="0" distB="0" distL="114300" distR="114300">
            <wp:extent cx="3506470" cy="2199005"/>
            <wp:effectExtent l="0" t="0" r="17780" b="10795"/>
            <wp:docPr id="151" name="图片 15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3"/>
                    <pic:cNvPicPr>
                      <a:picLocks noChangeAspect="1"/>
                    </pic:cNvPicPr>
                  </pic:nvPicPr>
                  <pic:blipFill>
                    <a:blip r:embed="rId7"/>
                    <a:stretch>
                      <a:fillRect/>
                    </a:stretch>
                  </pic:blipFill>
                  <pic:spPr>
                    <a:xfrm>
                      <a:off x="0" y="0"/>
                      <a:ext cx="3506470" cy="2199005"/>
                    </a:xfrm>
                    <a:prstGeom prst="rect">
                      <a:avLst/>
                    </a:prstGeom>
                  </pic:spPr>
                </pic:pic>
              </a:graphicData>
            </a:graphic>
          </wp:inline>
        </w:drawing>
      </w:r>
    </w:p>
    <w:p w14:paraId="52C26AF8">
      <w:pPr>
        <w:pStyle w:val="5"/>
        <w:widowControl w:val="0"/>
        <w:numPr>
          <w:ilvl w:val="0"/>
          <w:numId w:val="0"/>
        </w:numPr>
        <w:spacing w:before="0" w:beforeAutospacing="0" w:after="0" w:afterAutospacing="0"/>
        <w:rPr>
          <w:rFonts w:hint="eastAsia" w:cs="宋体"/>
          <w:sz w:val="32"/>
          <w:szCs w:val="32"/>
          <w:highlight w:val="none"/>
          <w:lang w:val="en-US" w:eastAsia="zh-CN"/>
        </w:rPr>
      </w:pPr>
      <w:r>
        <w:rPr>
          <w:rFonts w:hint="eastAsia" w:cs="宋体"/>
          <w:sz w:val="32"/>
          <w:szCs w:val="32"/>
          <w:highlight w:val="none"/>
          <w:lang w:val="en-US" w:eastAsia="zh-CN"/>
        </w:rPr>
        <w:t xml:space="preserve">    </w:t>
      </w:r>
    </w:p>
    <w:p w14:paraId="37AA6F33">
      <w:pPr>
        <w:pStyle w:val="5"/>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cs="宋体"/>
          <w:sz w:val="32"/>
          <w:szCs w:val="32"/>
          <w:highlight w:val="none"/>
          <w:lang w:val="en-US" w:eastAsia="zh-CN"/>
        </w:rPr>
        <w:t xml:space="preserve">    </w:t>
      </w:r>
      <w:r>
        <w:rPr>
          <w:rFonts w:hint="eastAsia" w:ascii="宋体" w:hAnsi="宋体" w:eastAsia="宋体" w:cs="宋体"/>
          <w:sz w:val="32"/>
          <w:szCs w:val="32"/>
          <w:highlight w:val="none"/>
        </w:rPr>
        <w:t>④</w:t>
      </w:r>
      <w:r>
        <w:rPr>
          <w:rFonts w:hint="eastAsia" w:ascii="仿宋_GB2312" w:eastAsia="仿宋_GB2312"/>
          <w:sz w:val="32"/>
          <w:szCs w:val="32"/>
          <w:highlight w:val="none"/>
        </w:rPr>
        <w:t>申请点与零售点成直角或圆角或弧形的，应贴近墙角按人可通行的最短距离测量：</w:t>
      </w:r>
    </w:p>
    <w:p w14:paraId="2AB9533E">
      <w:pPr>
        <w:pStyle w:val="5"/>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3664585" cy="1803400"/>
            <wp:effectExtent l="0" t="0" r="12065" b="6350"/>
            <wp:docPr id="152" name="图片 15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4"/>
                    <pic:cNvPicPr>
                      <a:picLocks noChangeAspect="1"/>
                    </pic:cNvPicPr>
                  </pic:nvPicPr>
                  <pic:blipFill>
                    <a:blip r:embed="rId8"/>
                    <a:stretch>
                      <a:fillRect/>
                    </a:stretch>
                  </pic:blipFill>
                  <pic:spPr>
                    <a:xfrm>
                      <a:off x="0" y="0"/>
                      <a:ext cx="3664585" cy="1803400"/>
                    </a:xfrm>
                    <a:prstGeom prst="rect">
                      <a:avLst/>
                    </a:prstGeom>
                  </pic:spPr>
                </pic:pic>
              </a:graphicData>
            </a:graphic>
          </wp:inline>
        </w:drawing>
      </w:r>
    </w:p>
    <w:p w14:paraId="6C6A96D9">
      <w:pPr>
        <w:pStyle w:val="5"/>
        <w:widowControl w:val="0"/>
        <w:numPr>
          <w:ilvl w:val="0"/>
          <w:numId w:val="0"/>
        </w:numPr>
        <w:spacing w:before="0" w:beforeAutospacing="0" w:after="0" w:afterAutospacing="0"/>
        <w:rPr>
          <w:rFonts w:hint="eastAsia" w:cs="宋体"/>
          <w:sz w:val="32"/>
          <w:szCs w:val="32"/>
          <w:highlight w:val="none"/>
          <w:lang w:val="en-US" w:eastAsia="zh-CN"/>
        </w:rPr>
      </w:pPr>
      <w:r>
        <w:rPr>
          <w:rFonts w:hint="eastAsia" w:cs="宋体"/>
          <w:sz w:val="32"/>
          <w:szCs w:val="32"/>
          <w:highlight w:val="none"/>
          <w:lang w:val="en-US" w:eastAsia="zh-CN"/>
        </w:rPr>
        <w:t xml:space="preserve">    </w:t>
      </w:r>
    </w:p>
    <w:p w14:paraId="5C6024BE">
      <w:pPr>
        <w:pStyle w:val="5"/>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cs="宋体"/>
          <w:sz w:val="32"/>
          <w:szCs w:val="32"/>
          <w:highlight w:val="none"/>
          <w:lang w:val="en-US" w:eastAsia="zh-CN"/>
        </w:rPr>
        <w:t xml:space="preserve">    </w:t>
      </w:r>
      <w:r>
        <w:rPr>
          <w:rFonts w:hint="eastAsia" w:ascii="宋体" w:hAnsi="宋体" w:eastAsia="宋体" w:cs="宋体"/>
          <w:sz w:val="32"/>
          <w:szCs w:val="32"/>
          <w:highlight w:val="none"/>
        </w:rPr>
        <w:t>⑤</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申请点位置位于十字路口的，且零售点位于对面的，按人可通行的最短距离测量：</w:t>
      </w:r>
      <w:r>
        <w:rPr>
          <w:rFonts w:hint="eastAsia" w:ascii="仿宋_GB2312" w:eastAsia="仿宋_GB2312"/>
          <w:sz w:val="32"/>
          <w:szCs w:val="32"/>
          <w:highlight w:val="none"/>
          <w:lang w:val="en-US" w:eastAsia="zh-CN"/>
        </w:rPr>
        <w:t xml:space="preserve">        </w:t>
      </w:r>
    </w:p>
    <w:p w14:paraId="4B16265D">
      <w:pPr>
        <w:pStyle w:val="5"/>
        <w:widowControl w:val="0"/>
        <w:numPr>
          <w:ilvl w:val="0"/>
          <w:numId w:val="0"/>
        </w:numPr>
        <w:spacing w:before="0" w:beforeAutospacing="0" w:after="0" w:afterAutospacing="0"/>
        <w:rPr>
          <w:rFonts w:hint="eastAsia" w:ascii="仿宋_GB2312" w:eastAsia="仿宋_GB2312"/>
          <w:sz w:val="32"/>
          <w:szCs w:val="32"/>
          <w:highlight w:val="none"/>
        </w:rPr>
      </w:pPr>
    </w:p>
    <w:p w14:paraId="2A79CE5C">
      <w:pPr>
        <w:pStyle w:val="5"/>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3057525" cy="2102485"/>
            <wp:effectExtent l="0" t="0" r="9525" b="1206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9"/>
                    <a:stretch>
                      <a:fillRect/>
                    </a:stretch>
                  </pic:blipFill>
                  <pic:spPr>
                    <a:xfrm>
                      <a:off x="0" y="0"/>
                      <a:ext cx="3057525" cy="2102485"/>
                    </a:xfrm>
                    <a:prstGeom prst="rect">
                      <a:avLst/>
                    </a:prstGeom>
                  </pic:spPr>
                </pic:pic>
              </a:graphicData>
            </a:graphic>
          </wp:inline>
        </w:drawing>
      </w:r>
    </w:p>
    <w:p w14:paraId="46CD38EE">
      <w:pPr>
        <w:pStyle w:val="5"/>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⑥</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申请点位置位于十字路口且与零售点呈对角的，以最近一侧有门的最短距离测量：</w:t>
      </w:r>
    </w:p>
    <w:p w14:paraId="6688FFCD">
      <w:pPr>
        <w:pStyle w:val="5"/>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2969895" cy="2160905"/>
            <wp:effectExtent l="0" t="0" r="1905" b="10795"/>
            <wp:docPr id="155" name="图片 15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7"/>
                    <pic:cNvPicPr>
                      <a:picLocks noChangeAspect="1"/>
                    </pic:cNvPicPr>
                  </pic:nvPicPr>
                  <pic:blipFill>
                    <a:blip r:embed="rId10"/>
                    <a:stretch>
                      <a:fillRect/>
                    </a:stretch>
                  </pic:blipFill>
                  <pic:spPr>
                    <a:xfrm>
                      <a:off x="0" y="0"/>
                      <a:ext cx="2969895" cy="2160905"/>
                    </a:xfrm>
                    <a:prstGeom prst="rect">
                      <a:avLst/>
                    </a:prstGeom>
                  </pic:spPr>
                </pic:pic>
              </a:graphicData>
            </a:graphic>
          </wp:inline>
        </w:drawing>
      </w:r>
    </w:p>
    <w:p w14:paraId="66770EFD">
      <w:pPr>
        <w:pStyle w:val="5"/>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⑦</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申请点位置位于十字路口且与参照零售点之间有红绿灯的，并必须按要求以斑马线行走的，可沿斑马线行进的最短距离测量：</w:t>
      </w:r>
    </w:p>
    <w:p w14:paraId="2926B865">
      <w:pPr>
        <w:pStyle w:val="5"/>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3124835" cy="2047240"/>
            <wp:effectExtent l="0" t="0" r="18415" b="10160"/>
            <wp:docPr id="156" name="图片 15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8"/>
                    <pic:cNvPicPr>
                      <a:picLocks noChangeAspect="1"/>
                    </pic:cNvPicPr>
                  </pic:nvPicPr>
                  <pic:blipFill>
                    <a:blip r:embed="rId11"/>
                    <a:stretch>
                      <a:fillRect/>
                    </a:stretch>
                  </pic:blipFill>
                  <pic:spPr>
                    <a:xfrm>
                      <a:off x="0" y="0"/>
                      <a:ext cx="3124835" cy="2047240"/>
                    </a:xfrm>
                    <a:prstGeom prst="rect">
                      <a:avLst/>
                    </a:prstGeom>
                  </pic:spPr>
                </pic:pic>
              </a:graphicData>
            </a:graphic>
          </wp:inline>
        </w:drawing>
      </w:r>
    </w:p>
    <w:p w14:paraId="6BD21FF6">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eastAsia="仿宋_GB2312"/>
          <w:sz w:val="32"/>
          <w:szCs w:val="32"/>
          <w:highlight w:val="none"/>
        </w:rPr>
      </w:pPr>
      <w:r>
        <w:rPr>
          <w:rFonts w:hint="eastAsia" w:ascii="仿宋_GB2312" w:hAnsi="宋体" w:eastAsia="仿宋_GB2312" w:cs="宋体"/>
          <w:kern w:val="0"/>
          <w:sz w:val="32"/>
          <w:szCs w:val="32"/>
          <w:lang w:val="en-US" w:eastAsia="zh-CN" w:bidi="ar-SA"/>
        </w:rPr>
        <w:t>2、</w:t>
      </w:r>
      <w:r>
        <w:rPr>
          <w:rFonts w:hint="eastAsia" w:ascii="仿宋_GB2312" w:eastAsia="仿宋_GB2312"/>
          <w:sz w:val="32"/>
          <w:szCs w:val="32"/>
          <w:highlight w:val="none"/>
        </w:rPr>
        <w:t>测量距离时，以零售点最近的出入口中央为起始申请点最近的出入口中央为终点，以遵守交通规则正常行走的最短线路距离</w:t>
      </w:r>
      <w:r>
        <w:rPr>
          <w:rFonts w:hint="eastAsia" w:ascii="仿宋_GB2312" w:eastAsia="仿宋_GB2312"/>
          <w:sz w:val="32"/>
          <w:szCs w:val="32"/>
          <w:highlight w:val="none"/>
          <w:lang w:val="en-US" w:eastAsia="zh-CN"/>
        </w:rPr>
        <w:t>为标准</w:t>
      </w:r>
      <w:r>
        <w:rPr>
          <w:rFonts w:hint="eastAsia" w:ascii="仿宋_GB2312" w:eastAsia="仿宋_GB2312"/>
          <w:sz w:val="32"/>
          <w:szCs w:val="32"/>
          <w:highlight w:val="none"/>
        </w:rPr>
        <w:t>测量。</w:t>
      </w:r>
    </w:p>
    <w:p w14:paraId="02A7EB80">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、机动车道、非机动车道，路中有单黄、双黄、虚黄线的不得横穿跨越测量，应遵守交通规则正常行走的最短线路距离为标准测量（人行道除外）</w:t>
      </w:r>
    </w:p>
    <w:p w14:paraId="37EFAC70">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、其他特殊道路情况的测量，按照人可通行的最短线路</w:t>
      </w:r>
      <w:r>
        <w:rPr>
          <w:rFonts w:hint="eastAsia" w:ascii="仿宋_GB2312" w:eastAsia="仿宋_GB2312"/>
          <w:sz w:val="32"/>
          <w:szCs w:val="32"/>
          <w:highlight w:val="none"/>
          <w:lang w:val="en-US" w:eastAsia="zh-CN"/>
        </w:rPr>
        <w:t>距离</w:t>
      </w:r>
      <w:r>
        <w:rPr>
          <w:rFonts w:hint="eastAsia" w:ascii="仿宋_GB2312" w:eastAsia="仿宋_GB2312"/>
          <w:sz w:val="32"/>
          <w:szCs w:val="32"/>
          <w:highlight w:val="none"/>
        </w:rPr>
        <w:t>测量。</w:t>
      </w:r>
    </w:p>
    <w:p w14:paraId="5F2A9451">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、幼儿园、中、小学</w:t>
      </w:r>
      <w:r>
        <w:rPr>
          <w:rFonts w:hint="eastAsia" w:ascii="仿宋_GB2312" w:eastAsia="仿宋_GB2312"/>
          <w:sz w:val="32"/>
          <w:szCs w:val="32"/>
          <w:highlight w:val="none"/>
          <w:lang w:val="en-US" w:eastAsia="zh-CN"/>
        </w:rPr>
        <w:t>校</w:t>
      </w:r>
      <w:r>
        <w:rPr>
          <w:rFonts w:hint="eastAsia" w:ascii="仿宋_GB2312" w:eastAsia="仿宋_GB2312"/>
          <w:sz w:val="32"/>
          <w:szCs w:val="32"/>
          <w:highlight w:val="none"/>
        </w:rPr>
        <w:t>的周围经营门店距离测量参照上述方式执行。</w:t>
      </w:r>
    </w:p>
    <w:p w14:paraId="7D67D3D6">
      <w:pPr>
        <w:pStyle w:val="5"/>
        <w:widowControl w:val="0"/>
        <w:spacing w:before="0" w:beforeAutospacing="0" w:after="0" w:afterAutospacing="0"/>
        <w:rPr>
          <w:rFonts w:ascii="仿宋_GB2312" w:eastAsia="仿宋_GB2312"/>
          <w:sz w:val="32"/>
          <w:szCs w:val="32"/>
          <w:highlight w:val="none"/>
        </w:rPr>
      </w:pPr>
    </w:p>
    <w:p w14:paraId="50674C01">
      <w:pPr>
        <w:pStyle w:val="5"/>
        <w:widowControl w:val="0"/>
        <w:spacing w:before="0" w:beforeAutospacing="0" w:after="0" w:afterAutospacing="0"/>
        <w:rPr>
          <w:rFonts w:ascii="仿宋_GB2312" w:eastAsia="仿宋_GB2312"/>
          <w:sz w:val="32"/>
          <w:szCs w:val="32"/>
          <w:highlight w:val="none"/>
        </w:rPr>
      </w:pPr>
    </w:p>
    <w:p w14:paraId="3BFF3261">
      <w:pPr>
        <w:pStyle w:val="5"/>
        <w:widowControl w:val="0"/>
        <w:spacing w:before="0" w:beforeAutospacing="0" w:after="0" w:afterAutospacing="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东西湖区烟草专卖局</w:t>
      </w:r>
    </w:p>
    <w:p w14:paraId="7E2AB93B">
      <w:pPr>
        <w:pStyle w:val="5"/>
        <w:widowControl w:val="0"/>
        <w:spacing w:before="0" w:beforeAutospacing="0" w:after="0" w:afterAutospacing="0"/>
        <w:rPr>
          <w:rFonts w:hint="eastAsia" w:ascii="仿宋_GB2312" w:eastAsia="仿宋_GB2312"/>
          <w:sz w:val="32"/>
          <w:szCs w:val="32"/>
          <w:highlight w:val="none"/>
          <w:lang w:val="en-US" w:eastAsia="zh-CN"/>
        </w:rPr>
      </w:pPr>
    </w:p>
    <w:p w14:paraId="75277FCA">
      <w:pPr>
        <w:pStyle w:val="5"/>
        <w:widowControl w:val="0"/>
        <w:spacing w:before="0" w:beforeAutospacing="0" w:after="0" w:afterAutospacing="0"/>
        <w:rPr>
          <w:rFonts w:hint="eastAsia" w:ascii="仿宋_GB2312" w:eastAsia="仿宋_GB2312"/>
          <w:sz w:val="32"/>
          <w:szCs w:val="32"/>
          <w:highlight w:val="none"/>
          <w:lang w:val="en-US" w:eastAsia="zh-CN"/>
        </w:rPr>
      </w:pPr>
    </w:p>
    <w:p w14:paraId="12258A8D">
      <w:pPr>
        <w:pStyle w:val="5"/>
        <w:widowControl w:val="0"/>
        <w:spacing w:before="0" w:beforeAutospacing="0" w:after="0" w:afterAutospacing="0"/>
        <w:rPr>
          <w:rFonts w:hint="eastAsia" w:ascii="仿宋_GB2312" w:eastAsia="仿宋_GB2312"/>
          <w:sz w:val="32"/>
          <w:szCs w:val="32"/>
          <w:highlight w:val="none"/>
          <w:lang w:val="en-US" w:eastAsia="zh-CN"/>
        </w:rPr>
      </w:pPr>
    </w:p>
    <w:p w14:paraId="105CE92A">
      <w:pPr>
        <w:pStyle w:val="5"/>
        <w:widowControl w:val="0"/>
        <w:spacing w:before="0" w:beforeAutospacing="0" w:after="0" w:afterAutospacing="0"/>
        <w:rPr>
          <w:rFonts w:hint="eastAsia" w:ascii="仿宋_GB2312" w:eastAsia="仿宋_GB2312"/>
          <w:sz w:val="32"/>
          <w:szCs w:val="32"/>
          <w:highlight w:val="none"/>
          <w:lang w:val="en-US" w:eastAsia="zh-CN"/>
        </w:rPr>
      </w:pPr>
    </w:p>
    <w:p w14:paraId="3DDAE5B3">
      <w:pPr>
        <w:pStyle w:val="5"/>
        <w:widowControl w:val="0"/>
        <w:spacing w:before="0" w:beforeAutospacing="0" w:after="0" w:afterAutospacing="0"/>
        <w:rPr>
          <w:rFonts w:hint="eastAsia" w:ascii="仿宋_GB2312" w:eastAsia="仿宋_GB2312"/>
          <w:sz w:val="32"/>
          <w:szCs w:val="32"/>
          <w:highlight w:val="none"/>
          <w:lang w:val="en-US" w:eastAsia="zh-CN"/>
        </w:rPr>
      </w:pPr>
    </w:p>
    <w:p w14:paraId="27F60C98">
      <w:pPr>
        <w:pStyle w:val="5"/>
        <w:widowControl w:val="0"/>
        <w:spacing w:before="0" w:beforeAutospacing="0" w:after="0" w:afterAutospacing="0"/>
        <w:rPr>
          <w:rFonts w:hint="eastAsia" w:ascii="仿宋_GB2312" w:eastAsia="仿宋_GB2312"/>
          <w:sz w:val="32"/>
          <w:szCs w:val="32"/>
          <w:highlight w:val="none"/>
          <w:lang w:val="en-US" w:eastAsia="zh-CN"/>
        </w:rPr>
      </w:pPr>
    </w:p>
    <w:p w14:paraId="239718C9">
      <w:pPr>
        <w:pStyle w:val="5"/>
        <w:widowControl w:val="0"/>
        <w:spacing w:before="0" w:beforeAutospacing="0" w:after="0" w:afterAutospacing="0"/>
        <w:rPr>
          <w:rFonts w:hint="eastAsia" w:ascii="仿宋_GB2312" w:eastAsia="仿宋_GB2312"/>
          <w:sz w:val="32"/>
          <w:szCs w:val="32"/>
          <w:highlight w:val="none"/>
          <w:lang w:val="en-US" w:eastAsia="zh-CN"/>
        </w:rPr>
      </w:pPr>
    </w:p>
    <w:p w14:paraId="0BF425E6">
      <w:pPr>
        <w:pStyle w:val="5"/>
        <w:widowControl w:val="0"/>
        <w:spacing w:before="0" w:beforeAutospacing="0" w:after="0" w:afterAutospacing="0"/>
        <w:rPr>
          <w:rFonts w:hint="eastAsia" w:ascii="仿宋_GB2312" w:eastAsia="仿宋_GB2312"/>
          <w:sz w:val="32"/>
          <w:szCs w:val="32"/>
          <w:highlight w:val="none"/>
          <w:lang w:val="en-US" w:eastAsia="zh-CN"/>
        </w:rPr>
      </w:pPr>
    </w:p>
    <w:p w14:paraId="3DF89B0B">
      <w:pPr>
        <w:pStyle w:val="5"/>
        <w:widowControl w:val="0"/>
        <w:spacing w:before="0" w:beforeAutospacing="0" w:after="0" w:afterAutospacing="0"/>
        <w:rPr>
          <w:rFonts w:hint="eastAsia" w:ascii="仿宋_GB2312" w:eastAsia="仿宋_GB2312"/>
          <w:sz w:val="32"/>
          <w:szCs w:val="32"/>
          <w:highlight w:val="none"/>
          <w:lang w:val="en-US" w:eastAsia="zh-CN"/>
        </w:rPr>
      </w:pPr>
    </w:p>
    <w:p w14:paraId="5D5C3596">
      <w:pPr>
        <w:pStyle w:val="5"/>
        <w:widowControl w:val="0"/>
        <w:spacing w:before="0" w:beforeAutospacing="0" w:after="0" w:afterAutospacing="0"/>
        <w:rPr>
          <w:rFonts w:hint="eastAsia" w:ascii="仿宋_GB2312" w:eastAsia="仿宋_GB2312"/>
          <w:sz w:val="32"/>
          <w:szCs w:val="32"/>
          <w:highlight w:val="none"/>
          <w:lang w:val="en-US" w:eastAsia="zh-CN"/>
        </w:rPr>
      </w:pPr>
    </w:p>
    <w:p w14:paraId="1D48961C">
      <w:pPr>
        <w:pStyle w:val="5"/>
        <w:widowControl w:val="0"/>
        <w:spacing w:before="0" w:beforeAutospacing="0" w:after="0" w:afterAutospacing="0"/>
        <w:rPr>
          <w:rFonts w:hint="eastAsia" w:ascii="仿宋_GB2312" w:eastAsia="仿宋_GB2312"/>
          <w:sz w:val="32"/>
          <w:szCs w:val="32"/>
          <w:highlight w:val="none"/>
          <w:lang w:val="en-US" w:eastAsia="zh-CN"/>
        </w:rPr>
      </w:pPr>
    </w:p>
    <w:p w14:paraId="596B24D5">
      <w:pPr>
        <w:pStyle w:val="5"/>
        <w:widowControl w:val="0"/>
        <w:spacing w:before="0" w:beforeAutospacing="0" w:after="0" w:afterAutospacing="0"/>
        <w:rPr>
          <w:rFonts w:hint="eastAsia" w:ascii="仿宋_GB2312" w:eastAsia="仿宋_GB2312"/>
          <w:sz w:val="32"/>
          <w:szCs w:val="32"/>
          <w:highlight w:val="none"/>
          <w:lang w:val="en-US" w:eastAsia="zh-CN"/>
        </w:rPr>
      </w:pPr>
    </w:p>
    <w:p w14:paraId="3E3ED479">
      <w:pPr>
        <w:pStyle w:val="5"/>
        <w:widowControl w:val="0"/>
        <w:spacing w:before="0" w:beforeAutospacing="0" w:after="0" w:afterAutospacing="0"/>
        <w:rPr>
          <w:rFonts w:hint="eastAsia" w:ascii="仿宋_GB2312" w:eastAsia="仿宋_GB2312"/>
          <w:sz w:val="32"/>
          <w:szCs w:val="32"/>
          <w:highlight w:val="none"/>
          <w:lang w:val="en-US" w:eastAsia="zh-CN"/>
        </w:rPr>
      </w:pPr>
    </w:p>
    <w:p w14:paraId="3223F228">
      <w:pPr>
        <w:pStyle w:val="5"/>
        <w:widowControl w:val="0"/>
        <w:spacing w:before="0" w:beforeAutospacing="0" w:after="0" w:afterAutospacing="0"/>
        <w:rPr>
          <w:rFonts w:hint="eastAsia" w:ascii="仿宋_GB2312" w:eastAsia="仿宋_GB2312"/>
          <w:sz w:val="32"/>
          <w:szCs w:val="32"/>
          <w:highlight w:val="none"/>
          <w:lang w:val="en-US" w:eastAsia="zh-CN"/>
        </w:rPr>
      </w:pPr>
    </w:p>
    <w:p w14:paraId="50D85F3C">
      <w:pPr>
        <w:pStyle w:val="5"/>
        <w:widowControl w:val="0"/>
        <w:spacing w:before="0" w:beforeAutospacing="0" w:after="0" w:afterAutospacing="0"/>
        <w:rPr>
          <w:rFonts w:hint="eastAsia" w:ascii="仿宋_GB2312" w:eastAsia="仿宋_GB2312"/>
          <w:sz w:val="32"/>
          <w:szCs w:val="32"/>
          <w:highlight w:val="none"/>
          <w:lang w:val="en-US" w:eastAsia="zh-CN"/>
        </w:rPr>
      </w:pPr>
    </w:p>
    <w:p w14:paraId="1AB1B814">
      <w:pPr>
        <w:pStyle w:val="5"/>
        <w:widowControl w:val="0"/>
        <w:spacing w:before="0" w:beforeAutospacing="0" w:after="0" w:afterAutospacing="0"/>
        <w:rPr>
          <w:rFonts w:hint="eastAsia" w:ascii="仿宋_GB2312" w:eastAsia="仿宋_GB2312"/>
          <w:sz w:val="32"/>
          <w:szCs w:val="32"/>
          <w:highlight w:val="none"/>
          <w:lang w:val="en-US" w:eastAsia="zh-CN"/>
        </w:rPr>
      </w:pPr>
    </w:p>
    <w:p w14:paraId="14AF881B">
      <w:pPr>
        <w:pStyle w:val="5"/>
        <w:widowControl w:val="0"/>
        <w:spacing w:before="0" w:beforeAutospacing="0" w:after="0" w:afterAutospacing="0"/>
        <w:rPr>
          <w:rFonts w:hint="eastAsia" w:ascii="仿宋_GB2312" w:eastAsia="仿宋_GB2312"/>
          <w:sz w:val="32"/>
          <w:szCs w:val="32"/>
          <w:highlight w:val="none"/>
          <w:lang w:val="en-US" w:eastAsia="zh-CN"/>
        </w:rPr>
      </w:pPr>
    </w:p>
    <w:p w14:paraId="34B74D2A">
      <w:pPr>
        <w:pStyle w:val="5"/>
        <w:keepNext w:val="0"/>
        <w:keepLines w:val="0"/>
        <w:pageBreakBefore w:val="0"/>
        <w:widowControl w:val="0"/>
        <w:kinsoku/>
        <w:wordWrap/>
        <w:overflowPunct/>
        <w:topLinePunct w:val="0"/>
        <w:autoSpaceDE/>
        <w:autoSpaceDN/>
        <w:bidi w:val="0"/>
        <w:adjustRightInd/>
        <w:snapToGrid/>
        <w:spacing w:before="0" w:beforeAutospacing="0" w:after="313" w:afterLines="100" w:afterAutospacing="0"/>
        <w:jc w:val="center"/>
        <w:textAlignment w:val="auto"/>
        <w:rPr>
          <w:rFonts w:hint="eastAsia" w:ascii="仿宋_GB2312" w:eastAsia="仿宋_GB2312"/>
          <w:b/>
          <w:bCs/>
          <w:sz w:val="44"/>
          <w:szCs w:val="44"/>
          <w:highlight w:val="none"/>
          <w:lang w:val="en-US" w:eastAsia="zh-CN"/>
        </w:rPr>
      </w:pPr>
      <w:r>
        <w:rPr>
          <w:rFonts w:hint="eastAsia" w:ascii="仿宋_GB2312" w:eastAsia="仿宋_GB2312"/>
          <w:b/>
          <w:bCs/>
          <w:sz w:val="44"/>
          <w:szCs w:val="44"/>
          <w:highlight w:val="none"/>
          <w:lang w:val="en-US" w:eastAsia="zh-CN"/>
        </w:rPr>
        <w:t>特殊群体享受优待政策核定标准</w:t>
      </w:r>
    </w:p>
    <w:p w14:paraId="572E62DD">
      <w:pPr>
        <w:pStyle w:val="5"/>
        <w:widowControl w:val="0"/>
        <w:spacing w:before="0" w:beforeAutospacing="0" w:after="0" w:afterAutospacing="0"/>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辖区</w:t>
      </w:r>
      <w:r>
        <w:rPr>
          <w:rFonts w:hint="eastAsia" w:ascii="仿宋_GB2312" w:eastAsia="仿宋_GB2312"/>
          <w:color w:val="000000" w:themeColor="text1"/>
          <w:sz w:val="32"/>
          <w:szCs w:val="32"/>
          <w:highlight w:val="none"/>
          <w14:textFill>
            <w14:solidFill>
              <w14:schemeClr w14:val="tx1"/>
            </w14:solidFill>
          </w14:textFill>
        </w:rPr>
        <w:t>内的社会弱势群体、社会优抚对象</w:t>
      </w:r>
      <w:r>
        <w:rPr>
          <w:rFonts w:hint="eastAsia" w:ascii="仿宋_GB2312" w:eastAsia="仿宋_GB2312"/>
          <w:color w:val="000000" w:themeColor="text1"/>
          <w:sz w:val="32"/>
          <w:szCs w:val="32"/>
          <w:highlight w:val="none"/>
          <w:lang w:val="en-US" w:eastAsia="zh-CN"/>
          <w14:textFill>
            <w14:solidFill>
              <w14:schemeClr w14:val="tx1"/>
            </w14:solidFill>
          </w14:textFill>
        </w:rPr>
        <w:t>可分为个体和家庭两类：</w:t>
      </w:r>
    </w:p>
    <w:p w14:paraId="4270B4AA">
      <w:pPr>
        <w:pStyle w:val="5"/>
        <w:widowControl w:val="0"/>
        <w:spacing w:before="0" w:beforeAutospacing="0" w:after="0" w:afterAutospacing="0"/>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1.其中残疾人、残疾退役军人和选择自主就业</w:t>
      </w:r>
      <w:bookmarkStart w:id="1" w:name="_GoBack"/>
      <w:bookmarkEnd w:id="1"/>
      <w:r>
        <w:rPr>
          <w:rFonts w:hint="eastAsia" w:ascii="仿宋_GB2312" w:eastAsia="仿宋_GB2312"/>
          <w:color w:val="000000" w:themeColor="text1"/>
          <w:sz w:val="32"/>
          <w:szCs w:val="32"/>
          <w:highlight w:val="none"/>
          <w:lang w:val="en-US" w:eastAsia="zh-CN"/>
          <w14:textFill>
            <w14:solidFill>
              <w14:schemeClr w14:val="tx1"/>
            </w14:solidFill>
          </w14:textFill>
        </w:rPr>
        <w:t>安置方式退伍之日起三年内的退役军人的享受优惠政策主体为本人；</w:t>
      </w:r>
    </w:p>
    <w:p w14:paraId="48F5A61F">
      <w:pPr>
        <w:pStyle w:val="5"/>
        <w:widowControl w:val="0"/>
        <w:spacing w:before="0" w:beforeAutospacing="0" w:after="0" w:afterAutospacing="0"/>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2.符合武汉市最低生活保障标准的居民、烈士遗属和因公牺牲军人遗属的享受优惠政策的主体为家庭。   </w:t>
      </w:r>
    </w:p>
    <w:p w14:paraId="0977BC8D">
      <w:pPr>
        <w:pStyle w:val="5"/>
        <w:widowControl w:val="0"/>
        <w:spacing w:before="0" w:beforeAutospacing="0" w:after="0" w:afterAutospacing="0"/>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上述群体对象</w:t>
      </w:r>
      <w:r>
        <w:rPr>
          <w:rFonts w:hint="eastAsia" w:ascii="仿宋_GB2312" w:eastAsia="仿宋_GB2312"/>
          <w:color w:val="000000" w:themeColor="text1"/>
          <w:sz w:val="32"/>
          <w:szCs w:val="32"/>
          <w:highlight w:val="none"/>
          <w14:textFill>
            <w14:solidFill>
              <w14:schemeClr w14:val="tx1"/>
            </w14:solidFill>
          </w14:textFill>
        </w:rPr>
        <w:t>首次申请办理烟草专卖零售许可证，按照</w:t>
      </w:r>
      <w:r>
        <w:rPr>
          <w:rFonts w:hint="eastAsia" w:ascii="仿宋_GB2312" w:eastAsia="仿宋_GB2312"/>
          <w:color w:val="000000" w:themeColor="text1"/>
          <w:sz w:val="32"/>
          <w:szCs w:val="32"/>
          <w:highlight w:val="none"/>
          <w:lang w:val="en-US" w:eastAsia="zh-CN"/>
          <w14:textFill>
            <w14:solidFill>
              <w14:schemeClr w14:val="tx1"/>
            </w14:solidFill>
          </w14:textFill>
        </w:rPr>
        <w:t>以下</w:t>
      </w:r>
      <w:r>
        <w:rPr>
          <w:rFonts w:hint="eastAsia" w:ascii="仿宋_GB2312" w:eastAsia="仿宋_GB2312"/>
          <w:color w:val="000000" w:themeColor="text1"/>
          <w:sz w:val="32"/>
          <w:szCs w:val="32"/>
          <w:highlight w:val="none"/>
          <w14:textFill>
            <w14:solidFill>
              <w14:schemeClr w14:val="tx1"/>
            </w14:solidFill>
          </w14:textFill>
        </w:rPr>
        <w:t>标准认定。</w:t>
      </w:r>
    </w:p>
    <w:p w14:paraId="7C75ED6F">
      <w:pPr>
        <w:pStyle w:val="5"/>
        <w:widowControl w:val="0"/>
        <w:spacing w:before="0" w:beforeAutospacing="0" w:after="0" w:afterAutospacing="0"/>
        <w:ind w:firstLine="643" w:firstLineChars="200"/>
        <w:rPr>
          <w:rFonts w:hint="eastAsia" w:ascii="仿宋_GB2312" w:eastAsia="仿宋_GB2312"/>
          <w:b w:val="0"/>
          <w:bCs w:val="0"/>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1、</w:t>
      </w:r>
      <w:r>
        <w:rPr>
          <w:rFonts w:hint="eastAsia" w:ascii="仿宋_GB2312" w:eastAsia="仿宋_GB2312"/>
          <w:b/>
          <w:bCs/>
          <w:color w:val="000000" w:themeColor="text1"/>
          <w:sz w:val="32"/>
          <w:szCs w:val="32"/>
          <w:highlight w:val="none"/>
          <w14:textFill>
            <w14:solidFill>
              <w14:schemeClr w14:val="tx1"/>
            </w14:solidFill>
          </w14:textFill>
        </w:rPr>
        <w:t>社会弱势群体的核验条件如下：</w:t>
      </w:r>
    </w:p>
    <w:p w14:paraId="2C35038E">
      <w:pPr>
        <w:pStyle w:val="5"/>
        <w:widowControl w:val="0"/>
        <w:spacing w:before="0" w:beforeAutospacing="0" w:after="0" w:afterAutospacing="0"/>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①</w:t>
      </w:r>
      <w:r>
        <w:rPr>
          <w:rFonts w:hint="eastAsia" w:cs="宋体"/>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符合武汉市最低生活保障标准的</w:t>
      </w:r>
      <w:r>
        <w:rPr>
          <w:rFonts w:hint="eastAsia" w:ascii="仿宋_GB2312" w:eastAsia="仿宋_GB2312"/>
          <w:color w:val="000000" w:themeColor="text1"/>
          <w:sz w:val="32"/>
          <w:szCs w:val="32"/>
          <w:highlight w:val="none"/>
          <w:lang w:val="en-US" w:eastAsia="zh-CN"/>
          <w14:textFill>
            <w14:solidFill>
              <w14:schemeClr w14:val="tx1"/>
            </w14:solidFill>
          </w14:textFill>
        </w:rPr>
        <w:t>居民</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申请人</w:t>
      </w:r>
      <w:r>
        <w:rPr>
          <w:rFonts w:hint="eastAsia" w:ascii="仿宋_GB2312" w:eastAsia="仿宋_GB2312"/>
          <w:color w:val="000000" w:themeColor="text1"/>
          <w:sz w:val="32"/>
          <w:szCs w:val="32"/>
          <w:highlight w:val="none"/>
          <w14:textFill>
            <w14:solidFill>
              <w14:schemeClr w14:val="tx1"/>
            </w14:solidFill>
          </w14:textFill>
        </w:rPr>
        <w:t>仅限低保家庭中具有完全民事行为能力的成员本人，其本人所在家庭</w:t>
      </w:r>
      <w:r>
        <w:rPr>
          <w:rFonts w:hint="eastAsia" w:ascii="仿宋_GB2312" w:eastAsia="仿宋_GB2312"/>
          <w:color w:val="000000" w:themeColor="text1"/>
          <w:sz w:val="32"/>
          <w:szCs w:val="32"/>
          <w:highlight w:val="none"/>
          <w:lang w:val="en-US" w:eastAsia="zh-CN"/>
          <w14:textFill>
            <w14:solidFill>
              <w14:schemeClr w14:val="tx1"/>
            </w14:solidFill>
          </w14:textFill>
        </w:rPr>
        <w:t>在全市范围内</w:t>
      </w:r>
      <w:r>
        <w:rPr>
          <w:rFonts w:hint="eastAsia" w:ascii="仿宋_GB2312" w:eastAsia="仿宋_GB2312"/>
          <w:color w:val="000000" w:themeColor="text1"/>
          <w:sz w:val="32"/>
          <w:szCs w:val="32"/>
          <w:highlight w:val="none"/>
          <w14:textFill>
            <w14:solidFill>
              <w14:schemeClr w14:val="tx1"/>
            </w14:solidFill>
          </w14:textFill>
        </w:rPr>
        <w:t>只能</w:t>
      </w:r>
      <w:r>
        <w:rPr>
          <w:rFonts w:hint="eastAsia" w:ascii="仿宋_GB2312" w:eastAsia="仿宋_GB2312"/>
          <w:color w:val="000000" w:themeColor="text1"/>
          <w:sz w:val="32"/>
          <w:szCs w:val="32"/>
          <w:highlight w:val="none"/>
          <w:lang w:val="en-US" w:eastAsia="zh-CN"/>
          <w14:textFill>
            <w14:solidFill>
              <w14:schemeClr w14:val="tx1"/>
            </w14:solidFill>
          </w14:textFill>
        </w:rPr>
        <w:t>享受一次优惠政策办理</w:t>
      </w:r>
      <w:r>
        <w:rPr>
          <w:rFonts w:hint="eastAsia" w:ascii="仿宋_GB2312" w:eastAsia="仿宋_GB2312"/>
          <w:color w:val="000000" w:themeColor="text1"/>
          <w:sz w:val="32"/>
          <w:szCs w:val="32"/>
          <w:highlight w:val="none"/>
          <w14:textFill>
            <w14:solidFill>
              <w14:schemeClr w14:val="tx1"/>
            </w14:solidFill>
          </w14:textFill>
        </w:rPr>
        <w:t>烟草专卖零售许可证。</w:t>
      </w:r>
    </w:p>
    <w:p w14:paraId="50444DFA">
      <w:pPr>
        <w:pStyle w:val="5"/>
        <w:widowControl w:val="0"/>
        <w:spacing w:before="0" w:beforeAutospacing="0" w:after="0" w:afterAutospacing="0"/>
        <w:ind w:firstLine="643"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核验</w:t>
      </w:r>
      <w:r>
        <w:rPr>
          <w:rFonts w:hint="eastAsia" w:ascii="仿宋_GB2312" w:eastAsia="仿宋_GB2312"/>
          <w:b/>
          <w:bCs/>
          <w:color w:val="000000" w:themeColor="text1"/>
          <w:sz w:val="32"/>
          <w:szCs w:val="32"/>
          <w:highlight w:val="none"/>
          <w:lang w:val="en-US" w:eastAsia="zh-CN"/>
          <w14:textFill>
            <w14:solidFill>
              <w14:schemeClr w14:val="tx1"/>
            </w14:solidFill>
          </w14:textFill>
        </w:rPr>
        <w:t>材料：</w:t>
      </w:r>
      <w:r>
        <w:rPr>
          <w:rFonts w:hint="eastAsia" w:ascii="仿宋_GB2312" w:eastAsia="仿宋_GB2312"/>
          <w:color w:val="000000" w:themeColor="text1"/>
          <w:sz w:val="32"/>
          <w:szCs w:val="32"/>
          <w:highlight w:val="none"/>
          <w14:textFill>
            <w14:solidFill>
              <w14:schemeClr w14:val="tx1"/>
            </w14:solidFill>
          </w14:textFill>
        </w:rPr>
        <w:t>需提供</w:t>
      </w:r>
      <w:r>
        <w:rPr>
          <w:rFonts w:hint="eastAsia" w:ascii="仿宋_GB2312" w:eastAsia="仿宋_GB2312"/>
          <w:b/>
          <w:bCs/>
          <w:color w:val="000000" w:themeColor="text1"/>
          <w:sz w:val="32"/>
          <w:szCs w:val="32"/>
          <w:highlight w:val="none"/>
          <w14:textFill>
            <w14:solidFill>
              <w14:schemeClr w14:val="tx1"/>
            </w14:solidFill>
          </w14:textFill>
        </w:rPr>
        <w:t>鄂汇办APP</w:t>
      </w:r>
      <w:r>
        <w:rPr>
          <w:rFonts w:hint="eastAsia" w:ascii="仿宋_GB2312" w:eastAsia="仿宋_GB2312"/>
          <w:color w:val="000000" w:themeColor="text1"/>
          <w:sz w:val="32"/>
          <w:szCs w:val="32"/>
          <w:highlight w:val="none"/>
          <w:lang w:val="en-US" w:eastAsia="zh-CN"/>
          <w14:textFill>
            <w14:solidFill>
              <w14:schemeClr w14:val="tx1"/>
            </w14:solidFill>
          </w14:textFill>
        </w:rPr>
        <w:t>中显示的</w:t>
      </w:r>
      <w:r>
        <w:rPr>
          <w:rFonts w:hint="eastAsia" w:ascii="仿宋_GB2312" w:eastAsia="仿宋_GB2312"/>
          <w:color w:val="000000" w:themeColor="text1"/>
          <w:sz w:val="32"/>
          <w:szCs w:val="32"/>
          <w:highlight w:val="none"/>
          <w14:textFill>
            <w14:solidFill>
              <w14:schemeClr w14:val="tx1"/>
            </w14:solidFill>
          </w14:textFill>
        </w:rPr>
        <w:t>当前享受社会救助</w:t>
      </w:r>
      <w:r>
        <w:rPr>
          <w:rFonts w:hint="eastAsia" w:ascii="仿宋_GB2312" w:eastAsia="仿宋_GB2312"/>
          <w:color w:val="000000" w:themeColor="text1"/>
          <w:sz w:val="32"/>
          <w:szCs w:val="32"/>
          <w:highlight w:val="none"/>
          <w:lang w:val="en-US" w:eastAsia="zh-CN"/>
          <w14:textFill>
            <w14:solidFill>
              <w14:schemeClr w14:val="tx1"/>
            </w14:solidFill>
          </w14:textFill>
        </w:rPr>
        <w:t>的信息（或在</w:t>
      </w:r>
      <w:r>
        <w:rPr>
          <w:rFonts w:hint="eastAsia" w:ascii="仿宋_GB2312" w:eastAsia="仿宋_GB2312"/>
          <w:color w:val="000000" w:themeColor="text1"/>
          <w:sz w:val="32"/>
          <w:szCs w:val="32"/>
          <w:highlight w:val="none"/>
          <w14:textFill>
            <w14:solidFill>
              <w14:schemeClr w14:val="tx1"/>
            </w14:solidFill>
          </w14:textFill>
        </w:rPr>
        <w:t>区、街道政府服务中心、市民之家部署的政务服务一体机打印</w:t>
      </w:r>
      <w:r>
        <w:rPr>
          <w:rFonts w:hint="eastAsia" w:ascii="仿宋_GB2312" w:eastAsia="仿宋_GB2312"/>
          <w:color w:val="000000" w:themeColor="text1"/>
          <w:sz w:val="32"/>
          <w:szCs w:val="32"/>
          <w:highlight w:val="none"/>
          <w:lang w:val="en-US" w:eastAsia="zh-CN"/>
          <w14:textFill>
            <w14:solidFill>
              <w14:schemeClr w14:val="tx1"/>
            </w14:solidFill>
          </w14:textFill>
        </w:rPr>
        <w:t>的</w:t>
      </w:r>
      <w:r>
        <w:rPr>
          <w:rFonts w:hint="eastAsia" w:ascii="仿宋_GB2312" w:eastAsia="仿宋_GB2312"/>
          <w:color w:val="000000" w:themeColor="text1"/>
          <w:sz w:val="32"/>
          <w:szCs w:val="32"/>
          <w:highlight w:val="none"/>
          <w14:textFill>
            <w14:solidFill>
              <w14:schemeClr w14:val="tx1"/>
            </w14:solidFill>
          </w14:textFill>
        </w:rPr>
        <w:t>当前享受社会救助</w:t>
      </w:r>
      <w:r>
        <w:rPr>
          <w:rFonts w:hint="eastAsia" w:ascii="仿宋_GB2312" w:eastAsia="仿宋_GB2312"/>
          <w:color w:val="000000" w:themeColor="text1"/>
          <w:sz w:val="32"/>
          <w:szCs w:val="32"/>
          <w:highlight w:val="none"/>
          <w:lang w:val="en-US" w:eastAsia="zh-CN"/>
          <w14:textFill>
            <w14:solidFill>
              <w14:schemeClr w14:val="tx1"/>
            </w14:solidFill>
          </w14:textFill>
        </w:rPr>
        <w:t>信息</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、《家庭户口簿》</w:t>
      </w:r>
      <w:r>
        <w:rPr>
          <w:rFonts w:hint="eastAsia" w:ascii="仿宋_GB2312" w:eastAsia="仿宋_GB2312"/>
          <w:color w:val="000000" w:themeColor="text1"/>
          <w:sz w:val="32"/>
          <w:szCs w:val="32"/>
          <w:highlight w:val="none"/>
          <w:lang w:val="en-US" w:eastAsia="zh-CN"/>
          <w14:textFill>
            <w14:solidFill>
              <w14:schemeClr w14:val="tx1"/>
            </w14:solidFill>
          </w14:textFill>
        </w:rPr>
        <w:t>或家庭经营性质的《工商营业执照》</w:t>
      </w:r>
      <w:r>
        <w:rPr>
          <w:rFonts w:hint="eastAsia" w:ascii="仿宋_GB2312" w:eastAsia="仿宋_GB2312"/>
          <w:color w:val="000000" w:themeColor="text1"/>
          <w:sz w:val="32"/>
          <w:szCs w:val="32"/>
          <w:highlight w:val="none"/>
          <w14:textFill>
            <w14:solidFill>
              <w14:schemeClr w14:val="tx1"/>
            </w14:solidFill>
          </w14:textFill>
        </w:rPr>
        <w:t>。</w:t>
      </w:r>
    </w:p>
    <w:p w14:paraId="3DA6CC76">
      <w:pPr>
        <w:pStyle w:val="5"/>
        <w:widowControl w:val="0"/>
        <w:spacing w:before="0" w:beforeAutospacing="0" w:after="0" w:afterAutospacing="0"/>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②</w:t>
      </w:r>
      <w:r>
        <w:rPr>
          <w:rFonts w:hint="eastAsia" w:cs="宋体"/>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符合</w:t>
      </w:r>
      <w:r>
        <w:rPr>
          <w:rFonts w:hint="eastAsia" w:ascii="仿宋_GB2312" w:eastAsia="仿宋_GB2312"/>
          <w:color w:val="000000" w:themeColor="text1"/>
          <w:sz w:val="32"/>
          <w:szCs w:val="32"/>
          <w:highlight w:val="none"/>
          <w:lang w:val="en-US" w:eastAsia="zh-CN"/>
          <w14:textFill>
            <w14:solidFill>
              <w14:schemeClr w14:val="tx1"/>
            </w14:solidFill>
          </w14:textFill>
        </w:rPr>
        <w:t>规定条件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具有完全民事行为能力的残疾人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精神残疾和智力残疾除外</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，其本人</w:t>
      </w:r>
      <w:r>
        <w:rPr>
          <w:rFonts w:hint="eastAsia" w:ascii="仿宋_GB2312" w:eastAsia="仿宋_GB2312"/>
          <w:color w:val="000000" w:themeColor="text1"/>
          <w:sz w:val="32"/>
          <w:szCs w:val="32"/>
          <w:highlight w:val="none"/>
          <w:lang w:val="en-US" w:eastAsia="zh-CN"/>
          <w14:textFill>
            <w14:solidFill>
              <w14:schemeClr w14:val="tx1"/>
            </w14:solidFill>
          </w14:textFill>
        </w:rPr>
        <w:t>在全市范围内</w:t>
      </w:r>
      <w:r>
        <w:rPr>
          <w:rFonts w:hint="eastAsia" w:ascii="仿宋_GB2312" w:eastAsia="仿宋_GB2312"/>
          <w:color w:val="000000" w:themeColor="text1"/>
          <w:sz w:val="32"/>
          <w:szCs w:val="32"/>
          <w:highlight w:val="none"/>
          <w14:textFill>
            <w14:solidFill>
              <w14:schemeClr w14:val="tx1"/>
            </w14:solidFill>
          </w14:textFill>
        </w:rPr>
        <w:t>只能</w:t>
      </w:r>
      <w:r>
        <w:rPr>
          <w:rFonts w:hint="eastAsia" w:ascii="仿宋_GB2312" w:eastAsia="仿宋_GB2312"/>
          <w:color w:val="000000" w:themeColor="text1"/>
          <w:sz w:val="32"/>
          <w:szCs w:val="32"/>
          <w:highlight w:val="none"/>
          <w:lang w:val="en-US" w:eastAsia="zh-CN"/>
          <w14:textFill>
            <w14:solidFill>
              <w14:schemeClr w14:val="tx1"/>
            </w14:solidFill>
          </w14:textFill>
        </w:rPr>
        <w:t>享受一次优惠政策办理</w:t>
      </w:r>
      <w:r>
        <w:rPr>
          <w:rFonts w:hint="eastAsia" w:ascii="仿宋_GB2312" w:eastAsia="仿宋_GB2312"/>
          <w:color w:val="000000" w:themeColor="text1"/>
          <w:sz w:val="32"/>
          <w:szCs w:val="32"/>
          <w:highlight w:val="none"/>
          <w14:textFill>
            <w14:solidFill>
              <w14:schemeClr w14:val="tx1"/>
            </w14:solidFill>
          </w14:textFill>
        </w:rPr>
        <w:t>烟草专卖零售许可证。</w:t>
      </w:r>
    </w:p>
    <w:p w14:paraId="4EC94336">
      <w:pPr>
        <w:pStyle w:val="5"/>
        <w:widowControl w:val="0"/>
        <w:spacing w:before="0" w:beforeAutospacing="0" w:after="0" w:afterAutospacing="0"/>
        <w:ind w:firstLine="643"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核验</w:t>
      </w:r>
      <w:r>
        <w:rPr>
          <w:rFonts w:hint="eastAsia" w:ascii="仿宋_GB2312" w:eastAsia="仿宋_GB2312"/>
          <w:b/>
          <w:bCs/>
          <w:color w:val="000000" w:themeColor="text1"/>
          <w:sz w:val="32"/>
          <w:szCs w:val="32"/>
          <w:highlight w:val="none"/>
          <w:lang w:val="en-US" w:eastAsia="zh-CN"/>
          <w14:textFill>
            <w14:solidFill>
              <w14:schemeClr w14:val="tx1"/>
            </w14:solidFill>
          </w14:textFill>
        </w:rPr>
        <w:t>材料：</w:t>
      </w:r>
      <w:r>
        <w:rPr>
          <w:rFonts w:hint="eastAsia" w:ascii="仿宋_GB2312" w:eastAsia="仿宋_GB2312"/>
          <w:color w:val="000000" w:themeColor="text1"/>
          <w:sz w:val="32"/>
          <w:szCs w:val="32"/>
          <w:highlight w:val="none"/>
          <w14:textFill>
            <w14:solidFill>
              <w14:schemeClr w14:val="tx1"/>
            </w14:solidFill>
          </w14:textFill>
        </w:rPr>
        <w:t>需提供《残疾人证》。</w:t>
      </w:r>
    </w:p>
    <w:p w14:paraId="6AB38EBC">
      <w:pPr>
        <w:pStyle w:val="5"/>
        <w:widowControl w:val="0"/>
        <w:spacing w:before="0" w:beforeAutospacing="0" w:after="0" w:afterAutospacing="0"/>
        <w:ind w:firstLine="643" w:firstLineChars="200"/>
        <w:rPr>
          <w:rFonts w:hint="eastAsia" w:ascii="仿宋_GB2312" w:eastAsia="仿宋_GB2312"/>
          <w:b w:val="0"/>
          <w:bCs w:val="0"/>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2、</w:t>
      </w:r>
      <w:r>
        <w:rPr>
          <w:rFonts w:hint="eastAsia" w:ascii="仿宋_GB2312" w:eastAsia="仿宋_GB2312"/>
          <w:b/>
          <w:bCs/>
          <w:color w:val="000000" w:themeColor="text1"/>
          <w:sz w:val="32"/>
          <w:szCs w:val="32"/>
          <w:highlight w:val="none"/>
          <w14:textFill>
            <w14:solidFill>
              <w14:schemeClr w14:val="tx1"/>
            </w14:solidFill>
          </w14:textFill>
        </w:rPr>
        <w:t>社会优抚对象的核验条件如下：</w:t>
      </w:r>
    </w:p>
    <w:p w14:paraId="2345C906">
      <w:pPr>
        <w:pStyle w:val="5"/>
        <w:widowControl w:val="0"/>
        <w:spacing w:before="0" w:beforeAutospacing="0" w:after="0" w:afterAutospacing="0"/>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①</w:t>
      </w:r>
      <w:r>
        <w:rPr>
          <w:rFonts w:hint="eastAsia" w:cs="宋体"/>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符合《烈士褒扬条例》规定标准、且具有完全民事行为能力的烈士遗属本人（遗属包括父母、配偶、子女），</w:t>
      </w:r>
      <w:r>
        <w:rPr>
          <w:rFonts w:hint="eastAsia" w:ascii="仿宋_GB2312" w:eastAsia="仿宋_GB2312"/>
          <w:color w:val="000000" w:themeColor="text1"/>
          <w:sz w:val="32"/>
          <w:szCs w:val="32"/>
          <w:highlight w:val="none"/>
          <w:lang w:val="en-US" w:eastAsia="zh-CN"/>
          <w14:textFill>
            <w14:solidFill>
              <w14:schemeClr w14:val="tx1"/>
            </w14:solidFill>
          </w14:textFill>
        </w:rPr>
        <w:t>上述遗属视为一个家庭，在全市范围内</w:t>
      </w:r>
      <w:r>
        <w:rPr>
          <w:rFonts w:hint="eastAsia" w:ascii="仿宋_GB2312" w:eastAsia="仿宋_GB2312"/>
          <w:color w:val="000000" w:themeColor="text1"/>
          <w:sz w:val="32"/>
          <w:szCs w:val="32"/>
          <w:highlight w:val="none"/>
          <w14:textFill>
            <w14:solidFill>
              <w14:schemeClr w14:val="tx1"/>
            </w14:solidFill>
          </w14:textFill>
        </w:rPr>
        <w:t>只能</w:t>
      </w:r>
      <w:r>
        <w:rPr>
          <w:rFonts w:hint="eastAsia" w:ascii="仿宋_GB2312" w:eastAsia="仿宋_GB2312"/>
          <w:color w:val="000000" w:themeColor="text1"/>
          <w:sz w:val="32"/>
          <w:szCs w:val="32"/>
          <w:highlight w:val="none"/>
          <w:lang w:val="en-US" w:eastAsia="zh-CN"/>
          <w14:textFill>
            <w14:solidFill>
              <w14:schemeClr w14:val="tx1"/>
            </w14:solidFill>
          </w14:textFill>
        </w:rPr>
        <w:t>享受一次优惠政策办理</w:t>
      </w:r>
      <w:r>
        <w:rPr>
          <w:rFonts w:hint="eastAsia" w:ascii="仿宋_GB2312" w:eastAsia="仿宋_GB2312"/>
          <w:color w:val="000000" w:themeColor="text1"/>
          <w:sz w:val="32"/>
          <w:szCs w:val="32"/>
          <w:highlight w:val="none"/>
          <w14:textFill>
            <w14:solidFill>
              <w14:schemeClr w14:val="tx1"/>
            </w14:solidFill>
          </w14:textFill>
        </w:rPr>
        <w:t>烟草专卖零售许可证。</w:t>
      </w:r>
    </w:p>
    <w:p w14:paraId="2E2B1C4F">
      <w:pPr>
        <w:pStyle w:val="5"/>
        <w:widowControl w:val="0"/>
        <w:spacing w:before="0" w:beforeAutospacing="0" w:after="0" w:afterAutospacing="0"/>
        <w:ind w:firstLine="643"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核验</w:t>
      </w:r>
      <w:r>
        <w:rPr>
          <w:rFonts w:hint="eastAsia" w:ascii="仿宋_GB2312" w:eastAsia="仿宋_GB2312"/>
          <w:b/>
          <w:bCs/>
          <w:color w:val="000000" w:themeColor="text1"/>
          <w:sz w:val="32"/>
          <w:szCs w:val="32"/>
          <w:highlight w:val="none"/>
          <w:lang w:val="en-US" w:eastAsia="zh-CN"/>
          <w14:textFill>
            <w14:solidFill>
              <w14:schemeClr w14:val="tx1"/>
            </w14:solidFill>
          </w14:textFill>
        </w:rPr>
        <w:t>材料：</w:t>
      </w:r>
      <w:r>
        <w:rPr>
          <w:rFonts w:hint="eastAsia" w:ascii="仿宋_GB2312" w:eastAsia="仿宋_GB2312"/>
          <w:color w:val="000000" w:themeColor="text1"/>
          <w:sz w:val="32"/>
          <w:szCs w:val="32"/>
          <w:highlight w:val="none"/>
          <w14:textFill>
            <w14:solidFill>
              <w14:schemeClr w14:val="tx1"/>
            </w14:solidFill>
          </w14:textFill>
        </w:rPr>
        <w:t>需提供《中华人民共和国烈士证明书》、《家庭户口簿》</w:t>
      </w:r>
      <w:r>
        <w:rPr>
          <w:rFonts w:hint="eastAsia" w:ascii="仿宋_GB2312" w:eastAsia="仿宋_GB2312"/>
          <w:color w:val="000000" w:themeColor="text1"/>
          <w:sz w:val="32"/>
          <w:szCs w:val="32"/>
          <w:highlight w:val="none"/>
          <w:lang w:val="en-US" w:eastAsia="zh-CN"/>
          <w14:textFill>
            <w14:solidFill>
              <w14:schemeClr w14:val="tx1"/>
            </w14:solidFill>
          </w14:textFill>
        </w:rPr>
        <w:t>或家庭经营性质的《工商营业执照》、</w:t>
      </w:r>
      <w:r>
        <w:rPr>
          <w:rFonts w:hint="eastAsia" w:ascii="仿宋_GB2312" w:eastAsia="仿宋_GB2312"/>
          <w:color w:val="000000" w:themeColor="text1"/>
          <w:sz w:val="32"/>
          <w:szCs w:val="32"/>
          <w:highlight w:val="none"/>
          <w14:textFill>
            <w14:solidFill>
              <w14:schemeClr w14:val="tx1"/>
            </w14:solidFill>
          </w14:textFill>
        </w:rPr>
        <w:t>证明本人为烈士遗属的相关材料。</w:t>
      </w:r>
    </w:p>
    <w:p w14:paraId="429FA38D">
      <w:pPr>
        <w:pStyle w:val="5"/>
        <w:widowControl w:val="0"/>
        <w:spacing w:before="0" w:beforeAutospacing="0" w:after="0" w:afterAutospacing="0"/>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②</w:t>
      </w:r>
      <w:r>
        <w:rPr>
          <w:rFonts w:hint="eastAsia" w:cs="宋体"/>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符合《军人抚恤优待条例》规定标准、且具有完全民事行为能力的因公牺牲军人遗属本人（遗属包括父母、配偶、子女），</w:t>
      </w:r>
      <w:r>
        <w:rPr>
          <w:rFonts w:hint="eastAsia" w:ascii="仿宋_GB2312" w:eastAsia="仿宋_GB2312"/>
          <w:color w:val="000000" w:themeColor="text1"/>
          <w:sz w:val="32"/>
          <w:szCs w:val="32"/>
          <w:highlight w:val="none"/>
          <w:lang w:val="en-US" w:eastAsia="zh-CN"/>
          <w14:textFill>
            <w14:solidFill>
              <w14:schemeClr w14:val="tx1"/>
            </w14:solidFill>
          </w14:textFill>
        </w:rPr>
        <w:t>上述遗属视为一个家庭，在全市范围内</w:t>
      </w:r>
      <w:r>
        <w:rPr>
          <w:rFonts w:hint="eastAsia" w:ascii="仿宋_GB2312" w:eastAsia="仿宋_GB2312"/>
          <w:color w:val="000000" w:themeColor="text1"/>
          <w:sz w:val="32"/>
          <w:szCs w:val="32"/>
          <w:highlight w:val="none"/>
          <w14:textFill>
            <w14:solidFill>
              <w14:schemeClr w14:val="tx1"/>
            </w14:solidFill>
          </w14:textFill>
        </w:rPr>
        <w:t>只能</w:t>
      </w:r>
      <w:r>
        <w:rPr>
          <w:rFonts w:hint="eastAsia" w:ascii="仿宋_GB2312" w:eastAsia="仿宋_GB2312"/>
          <w:color w:val="000000" w:themeColor="text1"/>
          <w:sz w:val="32"/>
          <w:szCs w:val="32"/>
          <w:highlight w:val="none"/>
          <w:lang w:val="en-US" w:eastAsia="zh-CN"/>
          <w14:textFill>
            <w14:solidFill>
              <w14:schemeClr w14:val="tx1"/>
            </w14:solidFill>
          </w14:textFill>
        </w:rPr>
        <w:t>享受一次优惠政策办理</w:t>
      </w:r>
      <w:r>
        <w:rPr>
          <w:rFonts w:hint="eastAsia" w:ascii="仿宋_GB2312" w:eastAsia="仿宋_GB2312"/>
          <w:color w:val="000000" w:themeColor="text1"/>
          <w:sz w:val="32"/>
          <w:szCs w:val="32"/>
          <w:highlight w:val="none"/>
          <w14:textFill>
            <w14:solidFill>
              <w14:schemeClr w14:val="tx1"/>
            </w14:solidFill>
          </w14:textFill>
        </w:rPr>
        <w:t>烟草专卖零售许可证。</w:t>
      </w:r>
    </w:p>
    <w:p w14:paraId="317EB4A9">
      <w:pPr>
        <w:pStyle w:val="5"/>
        <w:widowControl w:val="0"/>
        <w:spacing w:before="0" w:beforeAutospacing="0" w:after="0" w:afterAutospacing="0"/>
        <w:ind w:firstLine="643"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核验</w:t>
      </w:r>
      <w:r>
        <w:rPr>
          <w:rFonts w:hint="eastAsia" w:ascii="仿宋_GB2312" w:eastAsia="仿宋_GB2312"/>
          <w:b/>
          <w:bCs/>
          <w:color w:val="000000" w:themeColor="text1"/>
          <w:sz w:val="32"/>
          <w:szCs w:val="32"/>
          <w:highlight w:val="none"/>
          <w:lang w:val="en-US" w:eastAsia="zh-CN"/>
          <w14:textFill>
            <w14:solidFill>
              <w14:schemeClr w14:val="tx1"/>
            </w14:solidFill>
          </w14:textFill>
        </w:rPr>
        <w:t>材料：</w:t>
      </w:r>
      <w:r>
        <w:rPr>
          <w:rFonts w:hint="eastAsia" w:ascii="仿宋_GB2312" w:eastAsia="仿宋_GB2312"/>
          <w:color w:val="000000" w:themeColor="text1"/>
          <w:sz w:val="32"/>
          <w:szCs w:val="32"/>
          <w:highlight w:val="none"/>
          <w14:textFill>
            <w14:solidFill>
              <w14:schemeClr w14:val="tx1"/>
            </w14:solidFill>
          </w14:textFill>
        </w:rPr>
        <w:t>需提供《中华人民共和国因公牺牲军人证明书》、《家庭户口簿》</w:t>
      </w:r>
      <w:r>
        <w:rPr>
          <w:rFonts w:hint="eastAsia" w:ascii="仿宋_GB2312" w:eastAsia="仿宋_GB2312"/>
          <w:color w:val="000000" w:themeColor="text1"/>
          <w:sz w:val="32"/>
          <w:szCs w:val="32"/>
          <w:highlight w:val="none"/>
          <w:lang w:val="en-US" w:eastAsia="zh-CN"/>
          <w14:textFill>
            <w14:solidFill>
              <w14:schemeClr w14:val="tx1"/>
            </w14:solidFill>
          </w14:textFill>
        </w:rPr>
        <w:t>或家庭经营性质的《工商营业执照》、</w:t>
      </w:r>
      <w:r>
        <w:rPr>
          <w:rFonts w:hint="eastAsia" w:ascii="仿宋_GB2312" w:eastAsia="仿宋_GB2312"/>
          <w:color w:val="000000" w:themeColor="text1"/>
          <w:sz w:val="32"/>
          <w:szCs w:val="32"/>
          <w:highlight w:val="none"/>
          <w14:textFill>
            <w14:solidFill>
              <w14:schemeClr w14:val="tx1"/>
            </w14:solidFill>
          </w14:textFill>
        </w:rPr>
        <w:t>证明本人为因公牺牲军人遗属的相关材料。英烈网上能查到烈士</w:t>
      </w:r>
      <w:r>
        <w:rPr>
          <w:rFonts w:hint="eastAsia" w:ascii="仿宋_GB2312" w:eastAsia="仿宋_GB2312"/>
          <w:color w:val="000000" w:themeColor="text1"/>
          <w:sz w:val="32"/>
          <w:szCs w:val="32"/>
          <w:highlight w:val="none"/>
          <w:lang w:eastAsia="zh-CN"/>
          <w14:textFill>
            <w14:solidFill>
              <w14:schemeClr w14:val="tx1"/>
            </w14:solidFill>
          </w14:textFill>
        </w:rPr>
        <w:t>姓名。</w:t>
      </w:r>
    </w:p>
    <w:p w14:paraId="78D96DAB">
      <w:pPr>
        <w:pStyle w:val="5"/>
        <w:widowControl w:val="0"/>
        <w:spacing w:before="0" w:beforeAutospacing="0" w:after="0" w:afterAutospacing="0"/>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③</w:t>
      </w:r>
      <w:r>
        <w:rPr>
          <w:rFonts w:hint="eastAsia" w:cs="宋体"/>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符合《军人抚恤优待条例》规定标准、且具有完全民事行为能力的残疾退役军人本人，或</w:t>
      </w:r>
      <w:r>
        <w:rPr>
          <w:rFonts w:hint="eastAsia" w:ascii="仿宋_GB2312" w:hAnsi="宋体" w:eastAsia="仿宋_GB2312"/>
          <w:color w:val="000000" w:themeColor="text1"/>
          <w:sz w:val="32"/>
          <w:szCs w:val="32"/>
          <w:highlight w:val="none"/>
          <w:u w:val="none"/>
          <w14:textFill>
            <w14:solidFill>
              <w14:schemeClr w14:val="tx1"/>
            </w14:solidFill>
          </w14:textFill>
        </w:rPr>
        <w:t>选择自主就业（自主择业）安置方式退伍之日起三年内的退役军人</w:t>
      </w:r>
      <w:r>
        <w:rPr>
          <w:rFonts w:hint="eastAsia" w:ascii="仿宋_GB2312" w:eastAsia="仿宋_GB2312"/>
          <w:color w:val="000000" w:themeColor="text1"/>
          <w:sz w:val="32"/>
          <w:szCs w:val="32"/>
          <w:highlight w:val="none"/>
          <w14:textFill>
            <w14:solidFill>
              <w14:schemeClr w14:val="tx1"/>
            </w14:solidFill>
          </w14:textFill>
        </w:rPr>
        <w:t>本人，其本人</w:t>
      </w:r>
      <w:r>
        <w:rPr>
          <w:rFonts w:hint="eastAsia" w:ascii="仿宋_GB2312" w:eastAsia="仿宋_GB2312"/>
          <w:color w:val="000000" w:themeColor="text1"/>
          <w:sz w:val="32"/>
          <w:szCs w:val="32"/>
          <w:highlight w:val="none"/>
          <w:lang w:val="en-US" w:eastAsia="zh-CN"/>
          <w14:textFill>
            <w14:solidFill>
              <w14:schemeClr w14:val="tx1"/>
            </w14:solidFill>
          </w14:textFill>
        </w:rPr>
        <w:t>在全市范围内</w:t>
      </w:r>
      <w:r>
        <w:rPr>
          <w:rFonts w:hint="eastAsia" w:ascii="仿宋_GB2312" w:eastAsia="仿宋_GB2312"/>
          <w:color w:val="000000" w:themeColor="text1"/>
          <w:sz w:val="32"/>
          <w:szCs w:val="32"/>
          <w:highlight w:val="none"/>
          <w14:textFill>
            <w14:solidFill>
              <w14:schemeClr w14:val="tx1"/>
            </w14:solidFill>
          </w14:textFill>
        </w:rPr>
        <w:t>只能</w:t>
      </w:r>
      <w:r>
        <w:rPr>
          <w:rFonts w:hint="eastAsia" w:ascii="仿宋_GB2312" w:eastAsia="仿宋_GB2312"/>
          <w:color w:val="000000" w:themeColor="text1"/>
          <w:sz w:val="32"/>
          <w:szCs w:val="32"/>
          <w:highlight w:val="none"/>
          <w:lang w:val="en-US" w:eastAsia="zh-CN"/>
          <w14:textFill>
            <w14:solidFill>
              <w14:schemeClr w14:val="tx1"/>
            </w14:solidFill>
          </w14:textFill>
        </w:rPr>
        <w:t>享受一次优惠政策办理</w:t>
      </w:r>
      <w:r>
        <w:rPr>
          <w:rFonts w:hint="eastAsia" w:ascii="仿宋_GB2312" w:eastAsia="仿宋_GB2312"/>
          <w:color w:val="000000" w:themeColor="text1"/>
          <w:sz w:val="32"/>
          <w:szCs w:val="32"/>
          <w:highlight w:val="none"/>
          <w14:textFill>
            <w14:solidFill>
              <w14:schemeClr w14:val="tx1"/>
            </w14:solidFill>
          </w14:textFill>
        </w:rPr>
        <w:t>烟草专卖零售许可证。</w:t>
      </w:r>
    </w:p>
    <w:p w14:paraId="6E9D8C54">
      <w:pPr>
        <w:pStyle w:val="5"/>
        <w:widowControl w:val="0"/>
        <w:spacing w:before="0" w:beforeAutospacing="0" w:after="0" w:afterAutospacing="0"/>
        <w:ind w:firstLine="643"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核验</w:t>
      </w:r>
      <w:r>
        <w:rPr>
          <w:rFonts w:hint="eastAsia" w:ascii="仿宋_GB2312" w:eastAsia="仿宋_GB2312"/>
          <w:b/>
          <w:bCs/>
          <w:color w:val="000000" w:themeColor="text1"/>
          <w:sz w:val="32"/>
          <w:szCs w:val="32"/>
          <w:highlight w:val="none"/>
          <w:lang w:val="en-US" w:eastAsia="zh-CN"/>
          <w14:textFill>
            <w14:solidFill>
              <w14:schemeClr w14:val="tx1"/>
            </w14:solidFill>
          </w14:textFill>
        </w:rPr>
        <w:t>材料：</w:t>
      </w:r>
      <w:r>
        <w:rPr>
          <w:rFonts w:hint="eastAsia" w:ascii="仿宋_GB2312" w:eastAsia="仿宋_GB2312"/>
          <w:color w:val="000000" w:themeColor="text1"/>
          <w:sz w:val="32"/>
          <w:szCs w:val="32"/>
          <w:highlight w:val="none"/>
          <w14:textFill>
            <w14:solidFill>
              <w14:schemeClr w14:val="tx1"/>
            </w14:solidFill>
          </w14:textFill>
        </w:rPr>
        <w:t>需提供《中华人民共和国残疾军人证》、退役证明等相关材料。</w:t>
      </w:r>
    </w:p>
    <w:p w14:paraId="43BB5A1A">
      <w:pPr>
        <w:numPr>
          <w:ilvl w:val="0"/>
          <w:numId w:val="0"/>
        </w:numPr>
        <w:ind w:firstLine="640"/>
        <w:rPr>
          <w:rFonts w:hint="default" w:ascii="仿宋" w:hAnsi="仿宋" w:eastAsia="仿宋" w:cs="仿宋"/>
          <w:sz w:val="28"/>
          <w:szCs w:val="28"/>
          <w:lang w:val="en-US" w:eastAsia="zh-CN"/>
        </w:rPr>
      </w:pPr>
    </w:p>
    <w:p w14:paraId="409138BF">
      <w:pPr>
        <w:pStyle w:val="5"/>
        <w:widowControl w:val="0"/>
        <w:spacing w:before="0" w:beforeAutospacing="0" w:after="0" w:afterAutospacing="0"/>
        <w:jc w:val="righ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东西湖区烟草专卖局</w:t>
      </w:r>
    </w:p>
    <w:p w14:paraId="1DB0C6FB">
      <w:pPr>
        <w:rPr>
          <w:rFonts w:ascii="仿宋_GB2312" w:eastAsia="仿宋_GB2312"/>
          <w:sz w:val="32"/>
          <w:szCs w:val="32"/>
        </w:rPr>
      </w:pPr>
    </w:p>
    <w:p w14:paraId="4D7DBFBD">
      <w:pPr>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DAAD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4A1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A4A1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mYWU4ZTYwYjA3YjM4Nzc2NDlmZjlhMzgzM2FkMGIifQ=="/>
  </w:docVars>
  <w:rsids>
    <w:rsidRoot w:val="003F5A8A"/>
    <w:rsid w:val="00140119"/>
    <w:rsid w:val="0025197F"/>
    <w:rsid w:val="002D252B"/>
    <w:rsid w:val="003244F8"/>
    <w:rsid w:val="0033533D"/>
    <w:rsid w:val="00390D45"/>
    <w:rsid w:val="003D5BD3"/>
    <w:rsid w:val="003E6EB3"/>
    <w:rsid w:val="003F5A8A"/>
    <w:rsid w:val="00527516"/>
    <w:rsid w:val="00531FAC"/>
    <w:rsid w:val="0065465E"/>
    <w:rsid w:val="006634B4"/>
    <w:rsid w:val="00761268"/>
    <w:rsid w:val="008C5605"/>
    <w:rsid w:val="009A0A4B"/>
    <w:rsid w:val="009C0F89"/>
    <w:rsid w:val="00A74E76"/>
    <w:rsid w:val="00AF048A"/>
    <w:rsid w:val="00B82B3A"/>
    <w:rsid w:val="00B96ED7"/>
    <w:rsid w:val="00BA1F1C"/>
    <w:rsid w:val="00C00D9D"/>
    <w:rsid w:val="00C143BC"/>
    <w:rsid w:val="00C17FFC"/>
    <w:rsid w:val="05544226"/>
    <w:rsid w:val="0F416B8A"/>
    <w:rsid w:val="2D4C5A84"/>
    <w:rsid w:val="39AD2329"/>
    <w:rsid w:val="3CD236A7"/>
    <w:rsid w:val="3D8C1AA8"/>
    <w:rsid w:val="3EB85E78"/>
    <w:rsid w:val="4E147A31"/>
    <w:rsid w:val="60CB3F49"/>
    <w:rsid w:val="624A590A"/>
    <w:rsid w:val="63C10893"/>
    <w:rsid w:val="6FCD39E2"/>
    <w:rsid w:val="700F2163"/>
    <w:rsid w:val="78D06001"/>
    <w:rsid w:val="7AD60C26"/>
    <w:rsid w:val="7E6F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日期 字符"/>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3140</Words>
  <Characters>3159</Characters>
  <Lines>13</Lines>
  <Paragraphs>3</Paragraphs>
  <TotalTime>1</TotalTime>
  <ScaleCrop>false</ScaleCrop>
  <LinksUpToDate>false</LinksUpToDate>
  <CharactersWithSpaces>3360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2024-06-13T00:11:00Z</dcterms:created>
  <dc:creator>海涛 海涛</dc:creator>
  <cp:lastModifiedBy>刘斯燕</cp:lastModifiedBy>
  <cp:lastPrinted>2024-06-14T00:30:00Z</cp:lastPrinted>
  <dcterms:modified xsi:type="dcterms:W3CDTF">2024-12-04T08:07:04Z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898144B0E0A247E5985A2BAD8375E353_13</vt:lpwstr>
  </property>
</Properties>
</file>