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宋体" w:eastAsia="方正小标宋简体"/>
          <w:bCs/>
          <w:sz w:val="44"/>
          <w:szCs w:val="44"/>
          <w:lang w:eastAsia="zh-CN"/>
        </w:rPr>
      </w:pP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武汉市</w:t>
      </w:r>
      <w:r>
        <w:rPr>
          <w:rFonts w:hint="eastAsia" w:ascii="方正小标宋简体" w:hAnsi="宋体" w:eastAsia="方正小标宋简体"/>
          <w:bCs/>
          <w:sz w:val="44"/>
          <w:szCs w:val="44"/>
          <w:lang w:eastAsia="zh-CN"/>
        </w:rPr>
        <w:t>东西湖区</w:t>
      </w:r>
      <w:r>
        <w:rPr>
          <w:rFonts w:hint="eastAsia" w:ascii="方正小标宋简体" w:hAnsi="宋体" w:eastAsia="方正小标宋简体"/>
          <w:bCs/>
          <w:sz w:val="44"/>
          <w:szCs w:val="44"/>
        </w:rPr>
        <w:t>烟草制品零售点合理布局规定</w:t>
      </w:r>
    </w:p>
    <w:p>
      <w:pPr>
        <w:adjustRightInd w:val="0"/>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adjustRightInd w:val="0"/>
        <w:snapToGrid w:val="0"/>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 xml:space="preserve">                </w:t>
      </w:r>
      <w:r>
        <w:rPr>
          <w:rFonts w:hint="eastAsia" w:ascii="黑体" w:hAnsi="黑体" w:eastAsia="黑体" w:cs="黑体"/>
          <w:sz w:val="30"/>
          <w:szCs w:val="30"/>
        </w:rPr>
        <w:t>第一章  总 则</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第一条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为加强烟草专卖管理，规范烟草市场秩序，切实维护国家、消费者和零售户的利益，根据《中华人民共和国行政许可法》《中华人民共和国烟草专卖法》《中华人民共和国未成年</w:t>
      </w:r>
      <w:r>
        <w:rPr>
          <w:rFonts w:hint="eastAsia" w:ascii="仿宋_GB2312" w:hAnsi="宋体" w:eastAsia="仿宋_GB2312"/>
          <w:color w:val="auto"/>
          <w:sz w:val="32"/>
          <w:szCs w:val="32"/>
          <w:highlight w:val="none"/>
          <w:u w:val="none"/>
          <w:lang w:val="en-US" w:eastAsia="zh-CN"/>
        </w:rPr>
        <w:t>人</w:t>
      </w:r>
      <w:r>
        <w:rPr>
          <w:rFonts w:hint="eastAsia" w:ascii="仿宋_GB2312" w:hAnsi="宋体" w:eastAsia="仿宋_GB2312"/>
          <w:color w:val="auto"/>
          <w:sz w:val="32"/>
          <w:szCs w:val="32"/>
          <w:highlight w:val="none"/>
          <w:u w:val="none"/>
        </w:rPr>
        <w:t>保护法》《中华人民共和国烟草专卖法实施条例》《烟草专卖许可证管理办法》以及相关法律、法规、规章和行业的有关规定，结合武汉市</w:t>
      </w:r>
      <w:r>
        <w:rPr>
          <w:rFonts w:hint="eastAsia" w:ascii="仿宋_GB2312" w:hAnsi="宋体" w:eastAsia="仿宋_GB2312"/>
          <w:color w:val="auto"/>
          <w:sz w:val="32"/>
          <w:szCs w:val="32"/>
          <w:highlight w:val="none"/>
          <w:u w:val="none"/>
          <w:lang w:eastAsia="zh-CN"/>
        </w:rPr>
        <w:t>东西湖</w:t>
      </w:r>
      <w:r>
        <w:rPr>
          <w:rFonts w:hint="eastAsia" w:ascii="仿宋_GB2312" w:hAnsi="宋体" w:eastAsia="仿宋_GB2312"/>
          <w:color w:val="auto"/>
          <w:sz w:val="32"/>
          <w:szCs w:val="32"/>
          <w:highlight w:val="none"/>
          <w:u w:val="none"/>
        </w:rPr>
        <w:t>区实际，制定本规定。</w:t>
      </w:r>
    </w:p>
    <w:p>
      <w:pPr>
        <w:numPr>
          <w:ilvl w:val="0"/>
          <w:numId w:val="0"/>
        </w:numPr>
        <w:adjustRightInd w:val="0"/>
        <w:snapToGrid w:val="0"/>
        <w:spacing w:line="56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lang w:eastAsia="zh-CN"/>
        </w:rPr>
        <w:t>第二条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本规定适用于</w:t>
      </w:r>
      <w:r>
        <w:rPr>
          <w:rFonts w:hint="eastAsia" w:ascii="仿宋_GB2312" w:hAnsi="宋体" w:eastAsia="仿宋_GB2312"/>
          <w:color w:val="auto"/>
          <w:sz w:val="32"/>
          <w:szCs w:val="32"/>
          <w:highlight w:val="none"/>
          <w:u w:val="none"/>
          <w:lang w:eastAsia="zh-CN"/>
        </w:rPr>
        <w:t>东西湖</w:t>
      </w:r>
      <w:r>
        <w:rPr>
          <w:rFonts w:hint="eastAsia" w:ascii="仿宋_GB2312" w:hAnsi="宋体" w:eastAsia="仿宋_GB2312"/>
          <w:color w:val="auto"/>
          <w:sz w:val="32"/>
          <w:szCs w:val="32"/>
          <w:highlight w:val="none"/>
          <w:u w:val="none"/>
        </w:rPr>
        <w:t>区烟草专卖局所管辖区域范围内烟草制品零售点的布局。</w:t>
      </w:r>
    </w:p>
    <w:p>
      <w:pPr>
        <w:snapToGrid w:val="0"/>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color w:val="000000"/>
          <w:spacing w:val="0"/>
          <w:w w:val="100"/>
          <w:kern w:val="2"/>
          <w:sz w:val="32"/>
          <w:szCs w:val="32"/>
          <w:lang w:val="en-US" w:eastAsia="zh-CN" w:bidi="ar-SA"/>
        </w:rPr>
      </w:pPr>
      <w:r>
        <w:rPr>
          <w:rFonts w:hint="eastAsia" w:ascii="楷体_GB2312" w:hAnsi="宋体" w:eastAsia="楷体_GB2312"/>
          <w:sz w:val="32"/>
          <w:szCs w:val="32"/>
        </w:rPr>
        <w:t>第三条</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lang w:eastAsia="zh-CN"/>
        </w:rPr>
        <w:t>东西湖</w:t>
      </w:r>
      <w:r>
        <w:rPr>
          <w:rStyle w:val="7"/>
          <w:rFonts w:ascii="仿宋_GB2312" w:hAnsi="宋体" w:eastAsia="仿宋_GB2312"/>
          <w:b w:val="0"/>
          <w:i w:val="0"/>
          <w:caps w:val="0"/>
          <w:color w:val="000000"/>
          <w:spacing w:val="0"/>
          <w:w w:val="100"/>
          <w:kern w:val="2"/>
          <w:sz w:val="32"/>
          <w:szCs w:val="32"/>
          <w:lang w:val="en-US" w:eastAsia="zh-CN" w:bidi="ar-SA"/>
        </w:rPr>
        <w:t>区烟草专卖局负责所管辖区域范围内的烟草制品零售点合理布局规划。</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第四条</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烟草制品零售点（以下简称零售点）的设置以市场导向为主，遵循依法行政、科学规划、服务社会、均衡发展的原则。</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第五条</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w:t>
      </w:r>
      <w:r>
        <w:rPr>
          <w:rFonts w:hint="eastAsia" w:ascii="仿宋_GB2312" w:hAnsi="宋体" w:eastAsia="仿宋_GB2312"/>
          <w:color w:val="auto"/>
          <w:sz w:val="32"/>
          <w:szCs w:val="32"/>
          <w:highlight w:val="none"/>
          <w:u w:val="none"/>
          <w:lang w:eastAsia="zh-CN"/>
        </w:rPr>
        <w:t>中</w:t>
      </w:r>
      <w:r>
        <w:rPr>
          <w:rFonts w:hint="eastAsia" w:ascii="仿宋_GB2312" w:hAnsi="宋体" w:eastAsia="仿宋_GB2312"/>
          <w:color w:val="auto"/>
          <w:sz w:val="32"/>
          <w:szCs w:val="32"/>
          <w:highlight w:val="none"/>
          <w:u w:val="none"/>
        </w:rPr>
        <w:t>零售点是指经申请人申请，依法取得烟草专卖零售许可证，从事烟草制品零售业务的经营场所。</w:t>
      </w:r>
    </w:p>
    <w:p>
      <w:pPr>
        <w:snapToGrid w:val="0"/>
        <w:spacing w:line="560" w:lineRule="exact"/>
        <w:ind w:firstLine="640" w:firstLineChars="200"/>
        <w:jc w:val="left"/>
        <w:rPr>
          <w:rStyle w:val="7"/>
          <w:rFonts w:hint="eastAsia" w:ascii="仿宋_GB2312" w:hAnsi="宋体" w:eastAsia="仿宋_GB2312"/>
          <w:b w:val="0"/>
          <w:bCs w:val="0"/>
          <w:color w:val="000000" w:themeColor="text1"/>
          <w:sz w:val="32"/>
          <w:szCs w:val="32"/>
          <w14:textFill>
            <w14:solidFill>
              <w14:schemeClr w14:val="tx1"/>
            </w14:solidFill>
          </w14:textFill>
        </w:rPr>
      </w:pPr>
      <w:r>
        <w:rPr>
          <w:rFonts w:hint="eastAsia" w:ascii="楷体_GB2312" w:hAnsi="宋体" w:eastAsia="楷体_GB2312"/>
          <w:b w:val="0"/>
          <w:bCs w:val="0"/>
          <w:color w:val="000000" w:themeColor="text1"/>
          <w:sz w:val="32"/>
          <w:szCs w:val="32"/>
          <w14:textFill>
            <w14:solidFill>
              <w14:schemeClr w14:val="tx1"/>
            </w14:solidFill>
          </w14:textFill>
        </w:rPr>
        <w:t>第</w:t>
      </w:r>
      <w:r>
        <w:rPr>
          <w:rFonts w:hint="eastAsia" w:ascii="楷体_GB2312" w:hAnsi="宋体" w:eastAsia="楷体_GB2312"/>
          <w:b w:val="0"/>
          <w:bCs w:val="0"/>
          <w:color w:val="000000" w:themeColor="text1"/>
          <w:sz w:val="32"/>
          <w:szCs w:val="32"/>
          <w:lang w:val="en-US" w:eastAsia="zh-CN"/>
          <w14:textFill>
            <w14:solidFill>
              <w14:schemeClr w14:val="tx1"/>
            </w14:solidFill>
          </w14:textFill>
        </w:rPr>
        <w:t>六</w:t>
      </w:r>
      <w:r>
        <w:rPr>
          <w:rFonts w:hint="eastAsia" w:ascii="楷体_GB2312" w:hAnsi="宋体" w:eastAsia="楷体_GB2312"/>
          <w:b w:val="0"/>
          <w:bCs w:val="0"/>
          <w:color w:val="000000" w:themeColor="text1"/>
          <w:sz w:val="32"/>
          <w:szCs w:val="32"/>
          <w14:textFill>
            <w14:solidFill>
              <w14:schemeClr w14:val="tx1"/>
            </w14:solidFill>
          </w14:textFill>
        </w:rPr>
        <w:t>条</w:t>
      </w:r>
      <w:r>
        <w:rPr>
          <w:rFonts w:ascii="仿宋_GB2312" w:hAnsi="宋体" w:eastAsia="仿宋_GB2312"/>
          <w:b w:val="0"/>
          <w:bCs w:val="0"/>
          <w:color w:val="000000" w:themeColor="text1"/>
          <w:sz w:val="32"/>
          <w:szCs w:val="32"/>
          <w14:textFill>
            <w14:solidFill>
              <w14:schemeClr w14:val="tx1"/>
            </w14:solidFill>
          </w14:textFill>
        </w:rPr>
        <w:t xml:space="preserve"> </w:t>
      </w:r>
      <w:r>
        <w:rPr>
          <w:rFonts w:hint="eastAsia" w:ascii="仿宋_GB2312" w:hAnsi="宋体" w:eastAsia="仿宋_GB2312"/>
          <w:b w:val="0"/>
          <w:bCs w:val="0"/>
          <w:color w:val="000000" w:themeColor="text1"/>
          <w:sz w:val="32"/>
          <w:szCs w:val="32"/>
          <w14:textFill>
            <w14:solidFill>
              <w14:schemeClr w14:val="tx1"/>
            </w14:solidFill>
          </w14:textFill>
        </w:rPr>
        <w:t xml:space="preserve"> </w:t>
      </w:r>
      <w:r>
        <w:rPr>
          <w:rStyle w:val="7"/>
          <w:rFonts w:hint="eastAsia" w:ascii="仿宋_GB2312" w:hAnsi="宋体" w:eastAsia="仿宋_GB2312"/>
          <w:b w:val="0"/>
          <w:bCs w:val="0"/>
          <w:color w:val="000000" w:themeColor="text1"/>
          <w:sz w:val="32"/>
          <w:szCs w:val="32"/>
          <w14:textFill>
            <w14:solidFill>
              <w14:schemeClr w14:val="tx1"/>
            </w14:solidFill>
          </w14:textFill>
        </w:rPr>
        <w:t>烟草制品零售点数量的确定方式为：以辖区范围内历史平均零售点数量为参考，结合现有的零售点数量，综合考虑</w:t>
      </w:r>
      <w:r>
        <w:rPr>
          <w:rStyle w:val="7"/>
          <w:rFonts w:hint="eastAsia" w:ascii="仿宋_GB2312" w:hAnsi="宋体" w:eastAsia="仿宋_GB2312"/>
          <w:b w:val="0"/>
          <w:bCs w:val="0"/>
          <w:color w:val="000000" w:themeColor="text1"/>
          <w:sz w:val="32"/>
          <w:szCs w:val="32"/>
          <w:lang w:val="en-US" w:eastAsia="zh-CN"/>
          <w14:textFill>
            <w14:solidFill>
              <w14:schemeClr w14:val="tx1"/>
            </w14:solidFill>
          </w14:textFill>
        </w:rPr>
        <w:t>辖区的</w:t>
      </w:r>
      <w:r>
        <w:rPr>
          <w:rStyle w:val="7"/>
          <w:rFonts w:hint="eastAsia" w:ascii="仿宋_GB2312" w:hAnsi="宋体" w:eastAsia="仿宋_GB2312"/>
          <w:b w:val="0"/>
          <w:bCs w:val="0"/>
          <w:color w:val="000000" w:themeColor="text1"/>
          <w:sz w:val="32"/>
          <w:szCs w:val="32"/>
          <w14:textFill>
            <w14:solidFill>
              <w14:schemeClr w14:val="tx1"/>
            </w14:solidFill>
          </w14:textFill>
        </w:rPr>
        <w:t>年销售量、收入水平、市场特点、社会经济发展情况等因素，合理确定零售点数量。</w:t>
      </w:r>
    </w:p>
    <w:p>
      <w:pPr>
        <w:adjustRightInd w:val="0"/>
        <w:snapToGrid w:val="0"/>
        <w:spacing w:line="560" w:lineRule="exact"/>
        <w:jc w:val="both"/>
        <w:rPr>
          <w:rFonts w:hint="eastAsia" w:ascii="黑体" w:hAnsi="黑体" w:eastAsia="黑体" w:cs="黑体"/>
          <w:sz w:val="30"/>
          <w:szCs w:val="30"/>
        </w:rPr>
      </w:pPr>
    </w:p>
    <w:p>
      <w:pPr>
        <w:adjustRightInd w:val="0"/>
        <w:snapToGrid w:val="0"/>
        <w:spacing w:line="560" w:lineRule="exact"/>
        <w:jc w:val="center"/>
        <w:rPr>
          <w:rFonts w:hint="eastAsia" w:ascii="仿宋_GB2312" w:hAnsi="宋体" w:eastAsia="仿宋_GB2312"/>
          <w:sz w:val="32"/>
          <w:szCs w:val="32"/>
        </w:rPr>
      </w:pPr>
      <w:r>
        <w:rPr>
          <w:rFonts w:hint="eastAsia" w:ascii="黑体" w:hAnsi="黑体" w:eastAsia="黑体" w:cs="黑体"/>
          <w:sz w:val="30"/>
          <w:szCs w:val="30"/>
        </w:rPr>
        <w:t>第二章  合理布局规定标准</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七</w:t>
      </w:r>
      <w:r>
        <w:rPr>
          <w:rFonts w:hint="eastAsia" w:ascii="楷体_GB2312" w:hAnsi="宋体" w:eastAsia="楷体_GB2312"/>
          <w:sz w:val="32"/>
          <w:szCs w:val="32"/>
        </w:rPr>
        <w:t>条</w:t>
      </w:r>
      <w:r>
        <w:rPr>
          <w:rFonts w:hint="eastAsia" w:ascii="仿宋_GB2312" w:hAnsi="宋体" w:eastAsia="仿宋_GB2312"/>
          <w:sz w:val="32"/>
          <w:szCs w:val="32"/>
        </w:rPr>
        <w:t xml:space="preserve">  本区烟草制品零售点布局以街道、乡镇作为基础，划分出最小市场单元，并按区域功能对最小市场单元进行分类，不同类型市场单元合理布局标准不同，具体分为：住宅区、集贸市场、商业综合体、公共（轨道）交通区域、文化体育场馆、高等院校、施工工地、物流园、工业园、旅游景区、自然村、高速公路服务区（驿站）1</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类。      </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八</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不同市场单元合理布局的设置标准可单独采取间距控制模式或数量控制模式，也可采取间距和数量组合控制模式。</w:t>
      </w:r>
    </w:p>
    <w:p>
      <w:pPr>
        <w:adjustRightInd w:val="0"/>
        <w:snapToGrid w:val="0"/>
        <w:spacing w:line="560" w:lineRule="exact"/>
        <w:ind w:firstLine="640"/>
        <w:rPr>
          <w:rFonts w:hint="eastAsia" w:ascii="仿宋_GB2312" w:hAnsi="宋体" w:eastAsia="仿宋_GB2312"/>
          <w:sz w:val="32"/>
          <w:szCs w:val="32"/>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九</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住宅区市场单元合理布局的设置标准采取间距和数量组合控制模式，具体为：</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s="宋体"/>
          <w:color w:val="auto"/>
          <w:sz w:val="32"/>
          <w:szCs w:val="32"/>
          <w:highlight w:val="none"/>
          <w:u w:val="none"/>
        </w:rPr>
        <w:t>各类临街商铺的</w:t>
      </w:r>
      <w:r>
        <w:rPr>
          <w:rFonts w:hint="eastAsia" w:ascii="仿宋_GB2312" w:hAnsi="宋体" w:eastAsia="仿宋_GB2312"/>
          <w:color w:val="auto"/>
          <w:sz w:val="32"/>
          <w:szCs w:val="32"/>
          <w:highlight w:val="none"/>
          <w:u w:val="none"/>
        </w:rPr>
        <w:t>零售点间距应当在30米以上；</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cs="宋体"/>
          <w:sz w:val="32"/>
          <w:szCs w:val="32"/>
        </w:rPr>
        <w:t>（二）</w:t>
      </w:r>
      <w:r>
        <w:rPr>
          <w:rFonts w:hint="eastAsia" w:ascii="仿宋_GB2312" w:hAnsi="宋体" w:eastAsia="仿宋_GB2312" w:cs="宋体"/>
          <w:color w:val="auto"/>
          <w:sz w:val="32"/>
          <w:szCs w:val="32"/>
          <w:highlight w:val="none"/>
          <w:u w:val="none"/>
        </w:rPr>
        <w:t>各类住宅小区内，按每</w:t>
      </w:r>
      <w:r>
        <w:rPr>
          <w:rFonts w:hint="eastAsia" w:ascii="仿宋_GB2312" w:hAnsi="宋体" w:eastAsia="仿宋_GB2312" w:cs="宋体"/>
          <w:color w:val="auto"/>
          <w:sz w:val="32"/>
          <w:szCs w:val="32"/>
          <w:highlight w:val="none"/>
          <w:u w:val="none"/>
          <w:lang w:val="en-US" w:eastAsia="zh-CN"/>
        </w:rPr>
        <w:t>300</w:t>
      </w:r>
      <w:r>
        <w:rPr>
          <w:rFonts w:hint="eastAsia" w:ascii="仿宋_GB2312" w:hAnsi="宋体" w:eastAsia="仿宋_GB2312" w:cs="宋体"/>
          <w:color w:val="auto"/>
          <w:sz w:val="32"/>
          <w:szCs w:val="32"/>
          <w:highlight w:val="none"/>
          <w:u w:val="none"/>
        </w:rPr>
        <w:t>户设立1个零售点的原则设置</w:t>
      </w:r>
      <w:r>
        <w:rPr>
          <w:rFonts w:hint="eastAsia" w:ascii="仿宋_GB2312" w:hAnsi="宋体" w:eastAsia="仿宋_GB2312" w:cs="宋体"/>
          <w:color w:val="auto"/>
          <w:sz w:val="32"/>
          <w:szCs w:val="32"/>
          <w:highlight w:val="none"/>
          <w:u w:val="none"/>
          <w:lang w:eastAsia="zh-CN"/>
        </w:rPr>
        <w:t>，</w:t>
      </w:r>
      <w:r>
        <w:rPr>
          <w:rFonts w:hint="eastAsia" w:ascii="仿宋_GB2312" w:hAnsi="宋体" w:eastAsia="仿宋_GB2312" w:cs="宋体"/>
          <w:color w:val="auto"/>
          <w:sz w:val="32"/>
          <w:szCs w:val="32"/>
          <w:highlight w:val="none"/>
          <w:u w:val="none"/>
          <w:lang w:val="en-US" w:eastAsia="zh-CN"/>
        </w:rPr>
        <w:t>且各零售点的间距应当在30米以上</w:t>
      </w:r>
      <w:r>
        <w:rPr>
          <w:rFonts w:hint="eastAsia" w:ascii="仿宋_GB2312" w:hAnsi="宋体" w:eastAsia="仿宋_GB2312" w:cs="宋体"/>
          <w:color w:val="auto"/>
          <w:sz w:val="32"/>
          <w:szCs w:val="32"/>
          <w:highlight w:val="none"/>
          <w:u w:val="none"/>
        </w:rPr>
        <w:t>；</w:t>
      </w:r>
    </w:p>
    <w:p>
      <w:pPr>
        <w:adjustRightInd w:val="0"/>
        <w:snapToGrid w:val="0"/>
        <w:spacing w:line="560" w:lineRule="exact"/>
        <w:ind w:firstLine="630"/>
        <w:rPr>
          <w:rFonts w:hint="eastAsia" w:ascii="仿宋_GB2312" w:hAnsi="宋体" w:eastAsia="仿宋_GB2312"/>
          <w:color w:val="auto"/>
          <w:sz w:val="32"/>
          <w:szCs w:val="32"/>
          <w:highlight w:val="none"/>
          <w:u w:val="none"/>
        </w:rPr>
      </w:pPr>
      <w:r>
        <w:rPr>
          <w:rFonts w:hint="eastAsia" w:ascii="仿宋_GB2312" w:hAnsi="宋体" w:eastAsia="仿宋_GB2312"/>
          <w:sz w:val="32"/>
          <w:szCs w:val="32"/>
        </w:rPr>
        <w:t>（三）</w:t>
      </w:r>
      <w:r>
        <w:rPr>
          <w:rFonts w:hint="eastAsia" w:ascii="仿宋_GB2312" w:hAnsi="宋体" w:eastAsia="仿宋_GB2312"/>
          <w:color w:val="auto"/>
          <w:sz w:val="32"/>
          <w:szCs w:val="32"/>
          <w:highlight w:val="none"/>
          <w:u w:val="none"/>
        </w:rPr>
        <w:t>新农村建设整体安置小区，按人口户数</w:t>
      </w:r>
      <w:r>
        <w:rPr>
          <w:rFonts w:hint="eastAsia" w:ascii="仿宋_GB2312" w:hAnsi="宋体" w:eastAsia="仿宋_GB2312"/>
          <w:color w:val="auto"/>
          <w:sz w:val="32"/>
          <w:szCs w:val="32"/>
          <w:highlight w:val="none"/>
          <w:u w:val="none"/>
          <w:lang w:val="en-US" w:eastAsia="zh-CN"/>
        </w:rPr>
        <w:t>300</w:t>
      </w:r>
      <w:r>
        <w:rPr>
          <w:rFonts w:hint="eastAsia" w:ascii="仿宋_GB2312" w:hAnsi="宋体" w:eastAsia="仿宋_GB2312"/>
          <w:color w:val="auto"/>
          <w:sz w:val="32"/>
          <w:szCs w:val="32"/>
          <w:highlight w:val="none"/>
          <w:u w:val="none"/>
        </w:rPr>
        <w:t>户以下的设置零售点不得超过1个，人口户数超过</w:t>
      </w:r>
      <w:r>
        <w:rPr>
          <w:rFonts w:hint="eastAsia" w:ascii="仿宋_GB2312" w:hAnsi="宋体" w:eastAsia="仿宋_GB2312"/>
          <w:color w:val="auto"/>
          <w:sz w:val="32"/>
          <w:szCs w:val="32"/>
          <w:highlight w:val="none"/>
          <w:u w:val="none"/>
          <w:lang w:val="en-US" w:eastAsia="zh-CN"/>
        </w:rPr>
        <w:t>300</w:t>
      </w:r>
      <w:r>
        <w:rPr>
          <w:rFonts w:hint="eastAsia" w:ascii="仿宋_GB2312" w:hAnsi="宋体" w:eastAsia="仿宋_GB2312"/>
          <w:color w:val="auto"/>
          <w:sz w:val="32"/>
          <w:szCs w:val="32"/>
          <w:highlight w:val="none"/>
          <w:u w:val="none"/>
        </w:rPr>
        <w:t>户的按每</w:t>
      </w:r>
      <w:r>
        <w:rPr>
          <w:rFonts w:hint="eastAsia" w:ascii="仿宋_GB2312" w:hAnsi="宋体" w:eastAsia="仿宋_GB2312"/>
          <w:color w:val="auto"/>
          <w:sz w:val="32"/>
          <w:szCs w:val="32"/>
          <w:highlight w:val="none"/>
          <w:u w:val="none"/>
          <w:lang w:val="en-US" w:eastAsia="zh-CN"/>
        </w:rPr>
        <w:t>增加150</w:t>
      </w:r>
      <w:r>
        <w:rPr>
          <w:rFonts w:hint="eastAsia" w:ascii="仿宋_GB2312" w:hAnsi="宋体" w:eastAsia="仿宋_GB2312"/>
          <w:color w:val="auto"/>
          <w:sz w:val="32"/>
          <w:szCs w:val="32"/>
          <w:highlight w:val="none"/>
          <w:u w:val="none"/>
        </w:rPr>
        <w:t>户增设1个零售点，一个还建小区内设置的零售点数量不得超过5个。</w:t>
      </w:r>
    </w:p>
    <w:p>
      <w:pPr>
        <w:adjustRightInd w:val="0"/>
        <w:snapToGrid w:val="0"/>
        <w:spacing w:line="560" w:lineRule="exact"/>
        <w:ind w:firstLine="63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第</w:t>
      </w:r>
      <w:r>
        <w:rPr>
          <w:rFonts w:hint="eastAsia" w:ascii="仿宋_GB2312" w:hAnsi="宋体" w:eastAsia="仿宋_GB2312"/>
          <w:color w:val="auto"/>
          <w:sz w:val="32"/>
          <w:szCs w:val="32"/>
          <w:highlight w:val="none"/>
          <w:u w:val="none"/>
          <w:lang w:val="en-US" w:eastAsia="zh-CN"/>
        </w:rPr>
        <w:t>十</w:t>
      </w:r>
      <w:r>
        <w:rPr>
          <w:rFonts w:hint="eastAsia" w:ascii="仿宋_GB2312" w:hAnsi="宋体" w:eastAsia="仿宋_GB2312"/>
          <w:color w:val="auto"/>
          <w:sz w:val="32"/>
          <w:szCs w:val="32"/>
          <w:highlight w:val="none"/>
          <w:u w:val="none"/>
        </w:rPr>
        <w:t>条  集贸市场、商业综合体市场单元合理布局的设置标准采取间距和数量组合控制模式，具体为：场内经营者200户以下的零售点设置不得超过5个，场内经营者超过200户的按每</w:t>
      </w:r>
      <w:r>
        <w:rPr>
          <w:rFonts w:hint="eastAsia" w:ascii="仿宋_GB2312" w:hAnsi="宋体" w:eastAsia="仿宋_GB2312"/>
          <w:color w:val="auto"/>
          <w:sz w:val="32"/>
          <w:szCs w:val="32"/>
          <w:highlight w:val="none"/>
          <w:u w:val="none"/>
          <w:lang w:val="en-US" w:eastAsia="zh-CN"/>
        </w:rPr>
        <w:t>增加</w:t>
      </w:r>
      <w:r>
        <w:rPr>
          <w:rFonts w:hint="eastAsia" w:ascii="仿宋_GB2312" w:hAnsi="宋体" w:eastAsia="仿宋_GB2312"/>
          <w:color w:val="auto"/>
          <w:sz w:val="32"/>
          <w:szCs w:val="32"/>
          <w:highlight w:val="none"/>
          <w:u w:val="none"/>
        </w:rPr>
        <w:t>50户增设1个零售点；集贸市场、商业综合体的临街商铺零售点间距应当在30米以上；一个集贸市场、商业综合体零售点设置不得超过10个。</w:t>
      </w:r>
    </w:p>
    <w:p>
      <w:pPr>
        <w:adjustRightInd w:val="0"/>
        <w:snapToGrid w:val="0"/>
        <w:spacing w:line="560" w:lineRule="exact"/>
        <w:ind w:firstLine="630"/>
        <w:rPr>
          <w:rFonts w:hint="eastAsia" w:ascii="仿宋_GB2312" w:hAnsi="宋体" w:eastAsia="仿宋_GB2312"/>
          <w:sz w:val="32"/>
          <w:szCs w:val="32"/>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一</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公共（轨道）交通区域市场单元合理布局的设置标准采取间距和数量组合控制模式，具体为：</w:t>
      </w:r>
    </w:p>
    <w:p>
      <w:pPr>
        <w:adjustRightInd w:val="0"/>
        <w:snapToGrid w:val="0"/>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olor w:val="auto"/>
          <w:sz w:val="32"/>
          <w:szCs w:val="32"/>
          <w:highlight w:val="none"/>
          <w:u w:val="none"/>
        </w:rPr>
        <w:t>火车站候车大厅内零售点设置不得超过5个，候车大厅外</w:t>
      </w:r>
      <w:r>
        <w:rPr>
          <w:rFonts w:hint="eastAsia" w:ascii="仿宋_GB2312" w:hAnsi="宋体" w:eastAsia="仿宋_GB2312" w:cs="宋体"/>
          <w:color w:val="auto"/>
          <w:sz w:val="32"/>
          <w:szCs w:val="32"/>
          <w:highlight w:val="none"/>
          <w:u w:val="none"/>
        </w:rPr>
        <w:t>的</w:t>
      </w:r>
      <w:r>
        <w:rPr>
          <w:rFonts w:hint="eastAsia" w:ascii="仿宋_GB2312" w:hAnsi="宋体" w:eastAsia="仿宋_GB2312"/>
          <w:color w:val="auto"/>
          <w:sz w:val="32"/>
          <w:szCs w:val="32"/>
          <w:highlight w:val="none"/>
          <w:u w:val="none"/>
        </w:rPr>
        <w:t>零售点间距应当在30米以上；</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仿宋_GB2312" w:hAnsi="宋体" w:eastAsia="仿宋_GB2312"/>
          <w:sz w:val="32"/>
          <w:szCs w:val="32"/>
        </w:rPr>
        <w:t>（二）</w:t>
      </w:r>
      <w:r>
        <w:rPr>
          <w:rFonts w:hint="eastAsia" w:ascii="仿宋_GB2312" w:hAnsi="宋体" w:eastAsia="仿宋_GB2312"/>
          <w:color w:val="auto"/>
          <w:sz w:val="32"/>
          <w:szCs w:val="32"/>
          <w:highlight w:val="none"/>
          <w:u w:val="none"/>
        </w:rPr>
        <w:t>轨道交通站点，根据站点类型设置零售点，非换乘站的建筑内区域零售点设置不得超过1个；换乘站建筑内区域零售点设置不得超过3个；</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二</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文化体育场馆单元合理布局的设置标准采取数量控制模式，具体为：文化体育场馆内零售点不得超过2个。</w:t>
      </w:r>
    </w:p>
    <w:p>
      <w:pPr>
        <w:adjustRightInd w:val="0"/>
        <w:snapToGrid w:val="0"/>
        <w:spacing w:line="560" w:lineRule="exact"/>
        <w:ind w:firstLine="640"/>
        <w:rPr>
          <w:rFonts w:hint="eastAsia" w:ascii="仿宋_GB2312" w:hAnsi="宋体" w:eastAsia="仿宋_GB2312" w:cs="宋体"/>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三</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s="宋体"/>
          <w:color w:val="auto"/>
          <w:sz w:val="32"/>
          <w:szCs w:val="32"/>
          <w:highlight w:val="none"/>
          <w:u w:val="none"/>
        </w:rPr>
        <w:t>高等院校</w:t>
      </w:r>
      <w:r>
        <w:rPr>
          <w:rFonts w:hint="eastAsia" w:ascii="仿宋_GB2312" w:hAnsi="宋体" w:eastAsia="仿宋_GB2312"/>
          <w:color w:val="auto"/>
          <w:sz w:val="32"/>
          <w:szCs w:val="32"/>
          <w:highlight w:val="none"/>
          <w:u w:val="none"/>
        </w:rPr>
        <w:t>单元合理布局的设置标准</w:t>
      </w:r>
      <w:r>
        <w:rPr>
          <w:rFonts w:hint="eastAsia" w:ascii="仿宋_GB2312" w:hAnsi="宋体" w:eastAsia="仿宋_GB2312" w:cs="宋体"/>
          <w:color w:val="auto"/>
          <w:sz w:val="32"/>
          <w:szCs w:val="32"/>
          <w:highlight w:val="none"/>
          <w:u w:val="none"/>
        </w:rPr>
        <w:t>采取数量控制模式，按校内学生</w:t>
      </w:r>
      <w:r>
        <w:rPr>
          <w:rFonts w:hint="eastAsia" w:ascii="仿宋_GB2312" w:hAnsi="宋体" w:eastAsia="仿宋_GB2312" w:cs="宋体"/>
          <w:color w:val="auto"/>
          <w:sz w:val="32"/>
          <w:szCs w:val="32"/>
          <w:highlight w:val="none"/>
          <w:u w:val="none"/>
          <w:lang w:eastAsia="zh-CN"/>
        </w:rPr>
        <w:t>每</w:t>
      </w:r>
      <w:r>
        <w:rPr>
          <w:rFonts w:hint="eastAsia" w:ascii="仿宋_GB2312" w:hAnsi="宋体" w:eastAsia="仿宋_GB2312" w:cs="宋体"/>
          <w:color w:val="auto"/>
          <w:sz w:val="32"/>
          <w:szCs w:val="32"/>
          <w:highlight w:val="none"/>
          <w:u w:val="none"/>
        </w:rPr>
        <w:t>2000名设置1个零售点的原则设置。</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四</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施工工地市场单元合理布局的设置标准采取数量控制模式，具体为：工期在1年以上且施工人员在300人以上规模较大的施工工地，施工期间可在施工区域内设置1个零售点。</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五</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物流园市场单元合理布局的设置标准采取 间距和数量组合控制模式，具体为：物流园内零售点间距应当在30米以上，一个相对独立的物流园区内零售点不得超过</w:t>
      </w:r>
      <w:r>
        <w:rPr>
          <w:rFonts w:hint="eastAsia" w:ascii="仿宋_GB2312" w:hAnsi="宋体" w:eastAsia="仿宋_GB2312"/>
          <w:color w:val="auto"/>
          <w:sz w:val="32"/>
          <w:szCs w:val="32"/>
          <w:highlight w:val="none"/>
          <w:u w:val="none"/>
          <w:lang w:val="en-US" w:eastAsia="zh-CN"/>
        </w:rPr>
        <w:t>2</w:t>
      </w:r>
      <w:r>
        <w:rPr>
          <w:rFonts w:hint="eastAsia" w:ascii="仿宋_GB2312" w:hAnsi="宋体" w:eastAsia="仿宋_GB2312"/>
          <w:color w:val="auto"/>
          <w:sz w:val="32"/>
          <w:szCs w:val="32"/>
          <w:highlight w:val="none"/>
          <w:u w:val="none"/>
        </w:rPr>
        <w:t>个。</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六</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工业园市场单元合理布局的设置标准采取 间距和数量组合控制模式，具体为：工业园内零售点间距应当在30米以上，一个相对独立的工业园区内零售点不得超过5个。</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七</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旅游景区市场单元合理布局的设置标准采取数量控制模式，具体为：可根据提供问询、餐饮、日杂商品售卖等服务场所的功能不同，分别设置1个卷烟零售点，但各相对独立的封闭区域内零售点不超过2个。</w:t>
      </w:r>
    </w:p>
    <w:p>
      <w:pPr>
        <w:adjustRightInd w:val="0"/>
        <w:snapToGrid w:val="0"/>
        <w:spacing w:line="560" w:lineRule="exact"/>
        <w:ind w:firstLine="640"/>
        <w:rPr>
          <w:rFonts w:hint="eastAsia" w:ascii="仿宋_GB2312" w:hAnsi="宋体" w:eastAsia="仿宋_GB2312"/>
          <w:sz w:val="32"/>
          <w:szCs w:val="32"/>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八</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自然村市场单元合理布局的设置标准采取数量控制模式，具体为：户数150户以下的零售点设置不得超过1个，人口户数超过150户的按</w:t>
      </w:r>
      <w:r>
        <w:rPr>
          <w:rFonts w:hint="eastAsia" w:ascii="仿宋_GB2312" w:hAnsi="宋体" w:eastAsia="仿宋_GB2312"/>
          <w:b w:val="0"/>
          <w:bCs w:val="0"/>
          <w:color w:val="000000" w:themeColor="text1"/>
          <w:sz w:val="32"/>
          <w:szCs w:val="32"/>
          <w:highlight w:val="none"/>
          <w:u w:val="none"/>
          <w14:textFill>
            <w14:solidFill>
              <w14:schemeClr w14:val="tx1"/>
            </w14:solidFill>
          </w14:textFill>
        </w:rPr>
        <w:t>每</w:t>
      </w:r>
      <w:r>
        <w:rPr>
          <w:rFonts w:hint="eastAsia" w:ascii="仿宋_GB2312" w:hAnsi="宋体" w:eastAsia="仿宋_GB2312"/>
          <w:b w:val="0"/>
          <w:bCs w:val="0"/>
          <w:color w:val="000000" w:themeColor="text1"/>
          <w:sz w:val="32"/>
          <w:szCs w:val="32"/>
          <w:highlight w:val="none"/>
          <w:u w:val="none"/>
          <w:lang w:val="en-US" w:eastAsia="zh-CN"/>
          <w14:textFill>
            <w14:solidFill>
              <w14:schemeClr w14:val="tx1"/>
            </w14:solidFill>
          </w14:textFill>
        </w:rPr>
        <w:t>增加</w:t>
      </w:r>
      <w:r>
        <w:rPr>
          <w:rFonts w:hint="eastAsia" w:ascii="仿宋_GB2312" w:hAnsi="宋体" w:eastAsia="仿宋_GB2312"/>
          <w:color w:val="auto"/>
          <w:sz w:val="32"/>
          <w:szCs w:val="32"/>
          <w:highlight w:val="none"/>
          <w:u w:val="none"/>
        </w:rPr>
        <w:t>100户增设1个零售点，一个自然村的零售点设置数量不得超过3个。</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第十</w:t>
      </w:r>
      <w:r>
        <w:rPr>
          <w:rFonts w:hint="eastAsia" w:ascii="楷体_GB2312" w:hAnsi="宋体" w:eastAsia="楷体_GB2312"/>
          <w:sz w:val="32"/>
          <w:szCs w:val="32"/>
          <w:lang w:val="en-US" w:eastAsia="zh-CN"/>
        </w:rPr>
        <w:t>九</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高速公路服务区（驿站）市场单元合理布局的设置标准采取数量控制模式，具体为：可按实际情况适当设置零售点，一个高速公路服务区（驿站）零售点总量不得超过2个。</w:t>
      </w:r>
    </w:p>
    <w:p>
      <w:pPr>
        <w:adjustRightInd w:val="0"/>
        <w:snapToGrid w:val="0"/>
        <w:spacing w:line="560" w:lineRule="exact"/>
        <w:ind w:firstLine="640"/>
        <w:rPr>
          <w:rFonts w:hint="eastAsia" w:ascii="仿宋_GB2312" w:hAnsi="宋体" w:eastAsia="仿宋_GB2312"/>
          <w:sz w:val="32"/>
          <w:szCs w:val="32"/>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二十</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有下列情形之一的，不受间距限制，但应当符合具体所属市场单元合理布局的数量标准：</w:t>
      </w:r>
    </w:p>
    <w:p>
      <w:pPr>
        <w:numPr>
          <w:ilvl w:val="0"/>
          <w:numId w:val="1"/>
        </w:numPr>
        <w:snapToGrid w:val="0"/>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color w:val="000000" w:themeColor="text1"/>
          <w:spacing w:val="0"/>
          <w:w w:val="100"/>
          <w:kern w:val="2"/>
          <w:sz w:val="32"/>
          <w:szCs w:val="32"/>
          <w:highlight w:val="none"/>
          <w:u w:val="none"/>
          <w:lang w:val="en-US" w:eastAsia="zh-CN" w:bidi="ar-SA"/>
          <w14:textFill>
            <w14:solidFill>
              <w14:schemeClr w14:val="tx1"/>
            </w14:solidFill>
          </w14:textFill>
        </w:rPr>
      </w:pPr>
      <w:r>
        <w:rPr>
          <w:rStyle w:val="7"/>
          <w:rFonts w:ascii="仿宋_GB2312" w:hAnsi="宋体" w:eastAsia="仿宋_GB2312"/>
          <w:b w:val="0"/>
          <w:i w:val="0"/>
          <w:caps w:val="0"/>
          <w:color w:val="000000" w:themeColor="text1"/>
          <w:spacing w:val="0"/>
          <w:w w:val="100"/>
          <w:kern w:val="2"/>
          <w:sz w:val="32"/>
          <w:szCs w:val="32"/>
          <w:highlight w:val="none"/>
          <w:u w:val="none"/>
          <w:lang w:val="en-US" w:eastAsia="zh-CN" w:bidi="ar-SA"/>
          <w14:textFill>
            <w14:solidFill>
              <w14:schemeClr w14:val="tx1"/>
            </w14:solidFill>
          </w14:textFill>
        </w:rPr>
        <w:t>营业面积在500平方米以上的大型连锁超市</w:t>
      </w:r>
      <w:r>
        <w:rPr>
          <w:rStyle w:val="7"/>
          <w:rFonts w:hint="eastAsia" w:ascii="仿宋_GB2312" w:hAnsi="宋体" w:eastAsia="仿宋_GB2312"/>
          <w:b w:val="0"/>
          <w:i w:val="0"/>
          <w:caps w:val="0"/>
          <w:color w:val="000000" w:themeColor="text1"/>
          <w:spacing w:val="0"/>
          <w:w w:val="100"/>
          <w:kern w:val="2"/>
          <w:sz w:val="32"/>
          <w:szCs w:val="32"/>
          <w:highlight w:val="none"/>
          <w:u w:val="none"/>
          <w:lang w:val="en-US" w:eastAsia="zh-CN" w:bidi="ar-SA"/>
          <w14:textFill>
            <w14:solidFill>
              <w14:schemeClr w14:val="tx1"/>
            </w14:solidFill>
          </w14:textFill>
        </w:rPr>
        <w:t>，其</w:t>
      </w:r>
      <w:r>
        <w:rPr>
          <w:rStyle w:val="7"/>
          <w:rFonts w:ascii="仿宋_GB2312" w:hAnsi="宋体" w:eastAsia="仿宋_GB2312"/>
          <w:b w:val="0"/>
          <w:i w:val="0"/>
          <w:caps w:val="0"/>
          <w:color w:val="000000" w:themeColor="text1"/>
          <w:spacing w:val="0"/>
          <w:w w:val="100"/>
          <w:kern w:val="2"/>
          <w:sz w:val="32"/>
          <w:szCs w:val="32"/>
          <w:highlight w:val="none"/>
          <w:u w:val="none"/>
          <w:lang w:val="en-US" w:eastAsia="zh-CN" w:bidi="ar-SA"/>
          <w14:textFill>
            <w14:solidFill>
              <w14:schemeClr w14:val="tx1"/>
            </w14:solidFill>
          </w14:textFill>
        </w:rPr>
        <w:t>内部视为一个整体，仅限办理一个烟草专卖零售许可证</w:t>
      </w:r>
      <w:r>
        <w:rPr>
          <w:rStyle w:val="7"/>
          <w:rFonts w:hint="eastAsia" w:ascii="仿宋_GB2312" w:hAnsi="宋体" w:eastAsia="仿宋_GB2312"/>
          <w:b w:val="0"/>
          <w:i w:val="0"/>
          <w:caps w:val="0"/>
          <w:color w:val="000000" w:themeColor="text1"/>
          <w:spacing w:val="0"/>
          <w:w w:val="100"/>
          <w:kern w:val="2"/>
          <w:sz w:val="32"/>
          <w:szCs w:val="32"/>
          <w:highlight w:val="none"/>
          <w:u w:val="none"/>
          <w:lang w:val="en-US" w:eastAsia="zh-CN" w:bidi="ar-SA"/>
          <w14:textFill>
            <w14:solidFill>
              <w14:schemeClr w14:val="tx1"/>
            </w14:solidFill>
          </w14:textFill>
        </w:rPr>
        <w:t>；</w:t>
      </w:r>
    </w:p>
    <w:p>
      <w:pPr>
        <w:adjustRightInd w:val="0"/>
        <w:snapToGrid w:val="0"/>
        <w:spacing w:line="560" w:lineRule="exact"/>
        <w:ind w:firstLine="620" w:firstLineChars="200"/>
        <w:rPr>
          <w:rFonts w:hint="eastAsia"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val="en-US" w:eastAsia="zh-CN" w:bidi="ar"/>
        </w:rPr>
        <w:t>二</w:t>
      </w:r>
      <w:r>
        <w:rPr>
          <w:rFonts w:hint="eastAsia" w:ascii="仿宋_GB2312" w:hAnsi="宋体" w:eastAsia="仿宋_GB2312" w:cs="仿宋_GB2312"/>
          <w:kern w:val="0"/>
          <w:sz w:val="31"/>
          <w:szCs w:val="31"/>
          <w:lang w:bidi="ar"/>
        </w:rPr>
        <w:t>）</w:t>
      </w:r>
      <w:r>
        <w:rPr>
          <w:rFonts w:hint="eastAsia" w:ascii="仿宋_GB2312" w:hAnsi="宋体" w:eastAsia="仿宋_GB2312" w:cs="仿宋_GB2312"/>
          <w:color w:val="auto"/>
          <w:kern w:val="0"/>
          <w:sz w:val="31"/>
          <w:szCs w:val="31"/>
          <w:highlight w:val="none"/>
          <w:u w:val="none"/>
          <w:lang w:bidi="ar"/>
        </w:rPr>
        <w:t>因法院判决、法人或其他组织分立、合并，在原经营场所重新申领许可证的；</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第二十</w:t>
      </w:r>
      <w:r>
        <w:rPr>
          <w:rFonts w:hint="eastAsia" w:ascii="楷体_GB2312" w:hAnsi="宋体" w:eastAsia="楷体_GB2312"/>
          <w:sz w:val="32"/>
          <w:szCs w:val="32"/>
          <w:lang w:val="en-US" w:eastAsia="zh-CN"/>
        </w:rPr>
        <w:t>一</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具有下列情形之一的，可在零售点的间距标准上降低50%，但应当符合具体所属市场单元合理布局的数量标准：</w:t>
      </w:r>
    </w:p>
    <w:p>
      <w:pPr>
        <w:numPr>
          <w:ilvl w:val="0"/>
          <w:numId w:val="0"/>
        </w:numPr>
        <w:snapToGrid w:val="0"/>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color w:val="000000"/>
          <w:spacing w:val="0"/>
          <w:w w:val="100"/>
          <w:kern w:val="2"/>
          <w:sz w:val="32"/>
          <w:szCs w:val="32"/>
          <w:lang w:val="en-US" w:eastAsia="zh-CN" w:bidi="ar-SA"/>
        </w:rPr>
      </w:pPr>
      <w:r>
        <w:rPr>
          <w:rFonts w:hint="eastAsia" w:ascii="仿宋" w:hAnsi="仿宋" w:eastAsia="仿宋" w:cs="仿宋"/>
          <w:sz w:val="32"/>
          <w:szCs w:val="32"/>
          <w:lang w:eastAsia="zh-CN"/>
        </w:rPr>
        <w:t>（一）</w:t>
      </w:r>
      <w:r>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具有完全民事行为能力的残疾人、选择自主就业（自主择业）安置方式退伍之日起三年内的退役军人、享受最低生活保障</w:t>
      </w:r>
      <w:r>
        <w:rPr>
          <w:rStyle w:val="7"/>
          <w:rFonts w:hint="eastAsia"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的</w:t>
      </w:r>
      <w:r>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城镇居民，实际经营者应为本人，且在全市范围内仅限办理一个烟草专卖零售许可证；</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color w:val="auto"/>
          <w:sz w:val="32"/>
          <w:szCs w:val="32"/>
          <w:highlight w:val="none"/>
          <w:u w:val="none"/>
        </w:rPr>
        <w:t>全市门店数量在50家以上的品牌连锁便利店，且1年内无涉烟违法记录；</w:t>
      </w:r>
      <w:r>
        <w:rPr>
          <w:rFonts w:hint="eastAsia" w:ascii="仿宋_GB2312" w:hAnsi="宋体" w:eastAsia="仿宋_GB2312"/>
          <w:sz w:val="32"/>
          <w:szCs w:val="32"/>
        </w:rPr>
        <w:t xml:space="preserve"> </w:t>
      </w:r>
    </w:p>
    <w:p>
      <w:pPr>
        <w:adjustRightInd w:val="0"/>
        <w:snapToGrid w:val="0"/>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color w:val="auto"/>
          <w:sz w:val="32"/>
          <w:szCs w:val="32"/>
          <w:highlight w:val="none"/>
          <w:u w:val="none"/>
        </w:rPr>
        <w:t>因道路规划、城市建设等客观原因申请变更烟草专卖许可证的（新经营地址应属原发证机关管辖）。</w:t>
      </w:r>
    </w:p>
    <w:p>
      <w:pPr>
        <w:adjustRightInd w:val="0"/>
        <w:snapToGrid w:val="0"/>
        <w:spacing w:line="560" w:lineRule="exact"/>
        <w:ind w:firstLine="640"/>
        <w:rPr>
          <w:rFonts w:hint="eastAsia" w:ascii="仿宋_GB2312" w:hAnsi="宋体" w:eastAsia="仿宋_GB2312"/>
          <w:sz w:val="32"/>
          <w:szCs w:val="32"/>
        </w:rPr>
      </w:pPr>
      <w:r>
        <w:rPr>
          <w:rFonts w:hint="eastAsia" w:ascii="楷体_GB2312" w:hAnsi="宋体" w:eastAsia="楷体_GB2312"/>
          <w:sz w:val="32"/>
          <w:szCs w:val="32"/>
        </w:rPr>
        <w:t>第二十</w:t>
      </w:r>
      <w:r>
        <w:rPr>
          <w:rFonts w:hint="eastAsia" w:ascii="楷体_GB2312" w:hAnsi="宋体" w:eastAsia="楷体_GB2312"/>
          <w:sz w:val="32"/>
          <w:szCs w:val="32"/>
          <w:lang w:val="en-US" w:eastAsia="zh-CN"/>
        </w:rPr>
        <w:t>二</w:t>
      </w:r>
      <w:r>
        <w:rPr>
          <w:rFonts w:hint="eastAsia" w:ascii="楷体_GB2312" w:hAnsi="宋体" w:eastAsia="楷体_GB2312"/>
          <w:sz w:val="32"/>
          <w:szCs w:val="32"/>
        </w:rPr>
        <w:t xml:space="preserve">条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具有下列情形之一的，不受具体所属市场单元合理布局标准的规定条件限制：</w:t>
      </w:r>
    </w:p>
    <w:p>
      <w:pPr>
        <w:snapToGrid w:val="0"/>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pPr>
      <w:r>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（一）烈士遗属；</w:t>
      </w:r>
    </w:p>
    <w:p>
      <w:pPr>
        <w:snapToGrid w:val="0"/>
        <w:spacing w:before="0" w:beforeAutospacing="0" w:after="0" w:afterAutospacing="0" w:line="560" w:lineRule="exact"/>
        <w:jc w:val="both"/>
        <w:textAlignment w:val="baseline"/>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pPr>
      <w:r>
        <w:rPr>
          <w:rStyle w:val="7"/>
          <w:rFonts w:ascii="仿宋_GB2312" w:hAnsi="宋体"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 xml:space="preserve">    （二）因公牺牲军人遗属；</w:t>
      </w:r>
    </w:p>
    <w:p>
      <w:pPr>
        <w:adjustRightInd w:val="0"/>
        <w:snapToGrid w:val="0"/>
        <w:spacing w:line="560" w:lineRule="exact"/>
        <w:ind w:firstLine="640"/>
        <w:rPr>
          <w:rFonts w:hint="eastAsia" w:ascii="仿宋_GB2312" w:hAnsi="宋体" w:eastAsia="仿宋_GB2312"/>
          <w:color w:val="auto"/>
          <w:sz w:val="32"/>
          <w:szCs w:val="32"/>
          <w:highlight w:val="none"/>
          <w:u w:val="none"/>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w:t>
      </w:r>
      <w:r>
        <w:rPr>
          <w:rFonts w:hint="eastAsia" w:ascii="仿宋_GB2312" w:hAnsi="宋体" w:eastAsia="仿宋_GB2312"/>
          <w:color w:val="auto"/>
          <w:sz w:val="32"/>
          <w:szCs w:val="32"/>
          <w:highlight w:val="none"/>
          <w:u w:val="none"/>
        </w:rPr>
        <w:t>自愿退出幼儿园、中、小学校周围，另行择址经营的（新经营地址应属原发证机关管辖）。</w:t>
      </w:r>
    </w:p>
    <w:p>
      <w:pPr>
        <w:adjustRightInd w:val="0"/>
        <w:snapToGrid w:val="0"/>
        <w:spacing w:line="560" w:lineRule="exact"/>
        <w:ind w:firstLine="640"/>
        <w:rPr>
          <w:rFonts w:hint="eastAsia" w:ascii="仿宋_GB2312" w:hAnsi="宋体" w:eastAsia="仿宋_GB2312" w:cs="仿宋_GB2312"/>
          <w:kern w:val="0"/>
          <w:sz w:val="31"/>
          <w:szCs w:val="31"/>
          <w:lang w:bidi="ar"/>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w:t>
      </w:r>
      <w:r>
        <w:rPr>
          <w:rFonts w:hint="eastAsia" w:ascii="仿宋_GB2312" w:hAnsi="宋体" w:eastAsia="仿宋_GB2312"/>
          <w:color w:val="auto"/>
          <w:sz w:val="32"/>
          <w:szCs w:val="32"/>
          <w:highlight w:val="none"/>
          <w:u w:val="none"/>
        </w:rPr>
        <w:t>2年内无涉烟违法记录的持证零售户，经营主体为自然人，自然人死亡或丧失民事行为能力，发证机关作出注销决定后3个月内，其配偶、子女、父母在原经营场所重新申领许可证的；</w:t>
      </w:r>
    </w:p>
    <w:p>
      <w:pPr>
        <w:adjustRightInd w:val="0"/>
        <w:snapToGrid w:val="0"/>
        <w:spacing w:line="560" w:lineRule="exact"/>
        <w:rPr>
          <w:rFonts w:ascii="仿宋_GB2312" w:hAnsi="宋体" w:eastAsia="仿宋_GB2312"/>
          <w:sz w:val="32"/>
          <w:szCs w:val="32"/>
        </w:rPr>
      </w:pPr>
      <w:r>
        <w:rPr>
          <w:rFonts w:hint="eastAsia" w:ascii="楷体_GB2312" w:hAnsi="宋体" w:eastAsia="楷体_GB2312"/>
          <w:sz w:val="32"/>
          <w:szCs w:val="32"/>
        </w:rPr>
        <w:t xml:space="preserve">    第二十</w:t>
      </w:r>
      <w:r>
        <w:rPr>
          <w:rFonts w:hint="eastAsia" w:ascii="楷体_GB2312" w:hAnsi="宋体" w:eastAsia="楷体_GB2312"/>
          <w:sz w:val="32"/>
          <w:szCs w:val="32"/>
          <w:lang w:val="en-US" w:eastAsia="zh-CN"/>
        </w:rPr>
        <w:t>三</w:t>
      </w:r>
      <w:r>
        <w:rPr>
          <w:rFonts w:hint="eastAsia" w:ascii="楷体_GB2312" w:hAnsi="宋体" w:eastAsia="楷体_GB2312"/>
          <w:sz w:val="32"/>
          <w:szCs w:val="32"/>
        </w:rPr>
        <w:t>条</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具有下列情形之一的，不予设置零售点：</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color w:val="auto"/>
          <w:sz w:val="32"/>
          <w:szCs w:val="32"/>
          <w:highlight w:val="none"/>
          <w:u w:val="none"/>
        </w:rPr>
        <w:t>流动摊点、简易搭盖、临时建筑、违章建筑、占用公共消防通道等无固定经营场所的（取得合法占道经营证明的书报亭等场所除外，但其实际经营地址应与营业执照所登记注册信息一致）；</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color w:val="auto"/>
          <w:sz w:val="32"/>
          <w:szCs w:val="32"/>
          <w:highlight w:val="none"/>
          <w:u w:val="none"/>
        </w:rPr>
        <w:t>经营场所与住所不相独立的（包括以</w:t>
      </w:r>
      <w:r>
        <w:rPr>
          <w:rFonts w:hint="eastAsia" w:ascii="仿宋_GB2312" w:hAnsi="宋体" w:eastAsia="仿宋_GB2312"/>
          <w:color w:val="auto"/>
          <w:sz w:val="32"/>
          <w:szCs w:val="32"/>
          <w:highlight w:val="none"/>
          <w:u w:val="none"/>
          <w:lang w:eastAsia="zh-CN"/>
        </w:rPr>
        <w:t>住宅楼起居室、</w:t>
      </w:r>
      <w:r>
        <w:rPr>
          <w:rFonts w:hint="eastAsia" w:ascii="仿宋_GB2312" w:hAnsi="宋体" w:eastAsia="仿宋_GB2312"/>
          <w:color w:val="auto"/>
          <w:sz w:val="32"/>
          <w:szCs w:val="32"/>
          <w:highlight w:val="none"/>
          <w:u w:val="none"/>
        </w:rPr>
        <w:t>阳台、窗口、地下室、储藏室等作为经营场所）；</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sz w:val="32"/>
          <w:szCs w:val="32"/>
        </w:rPr>
        <w:t>（三）</w:t>
      </w:r>
      <w:r>
        <w:rPr>
          <w:rFonts w:hint="eastAsia" w:ascii="仿宋_GB2312" w:hAnsi="宋体" w:eastAsia="仿宋_GB2312"/>
          <w:color w:val="auto"/>
          <w:sz w:val="32"/>
          <w:szCs w:val="32"/>
          <w:highlight w:val="none"/>
          <w:u w:val="none"/>
        </w:rPr>
        <w:t>经营场所存在安全隐患，且不具备安全措施保障，不适宜经营卷烟的；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hint="eastAsia" w:ascii="仿宋_GB2312" w:hAnsi="宋体" w:eastAsia="仿宋_GB2312"/>
          <w:color w:val="auto"/>
          <w:sz w:val="32"/>
          <w:szCs w:val="32"/>
          <w:highlight w:val="none"/>
          <w:u w:val="none"/>
        </w:rPr>
        <w:t>经营场所生产、经营、储存有毒有害、易挥发类物质，不符合食品安全标准，容易造成烟草制品污染的；</w:t>
      </w:r>
    </w:p>
    <w:p>
      <w:pPr>
        <w:adjustRightInd w:val="0"/>
        <w:snapToGrid w:val="0"/>
        <w:spacing w:line="560" w:lineRule="exact"/>
        <w:ind w:firstLine="640" w:firstLineChars="200"/>
        <w:rPr>
          <w:rFonts w:ascii="仿宋_GB2312" w:hAnsi="宋体" w:eastAsia="仿宋_GB2312"/>
          <w:color w:val="auto"/>
          <w:sz w:val="32"/>
          <w:szCs w:val="32"/>
          <w:highlight w:val="none"/>
          <w:u w:val="none"/>
        </w:rPr>
      </w:pPr>
      <w:r>
        <w:rPr>
          <w:rFonts w:hint="eastAsia" w:ascii="仿宋_GB2312" w:hAnsi="宋体" w:eastAsia="仿宋_GB2312"/>
          <w:sz w:val="32"/>
          <w:szCs w:val="32"/>
        </w:rPr>
        <w:t>（五）</w:t>
      </w:r>
      <w:r>
        <w:rPr>
          <w:rFonts w:hint="eastAsia" w:ascii="仿宋_GB2312" w:hAnsi="宋体" w:eastAsia="仿宋_GB2312"/>
          <w:bCs/>
          <w:color w:val="auto"/>
          <w:sz w:val="32"/>
          <w:szCs w:val="32"/>
          <w:highlight w:val="none"/>
          <w:u w:val="none"/>
        </w:rPr>
        <w:t>同一经营地址已办理烟草专卖零售许可证且许可证还在有效期内的；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w:t>
      </w:r>
      <w:r>
        <w:rPr>
          <w:rFonts w:hint="eastAsia" w:ascii="仿宋_GB2312" w:hAnsi="宋体" w:eastAsia="仿宋_GB2312"/>
          <w:color w:val="auto"/>
          <w:sz w:val="32"/>
          <w:szCs w:val="32"/>
          <w:highlight w:val="none"/>
          <w:u w:val="none"/>
        </w:rPr>
        <w:t>利用自动售货机（柜）或游戏、博彩等自动设备销售烟草制品的；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宋体" w:eastAsia="仿宋_GB2312"/>
          <w:color w:val="auto"/>
          <w:sz w:val="32"/>
          <w:szCs w:val="32"/>
          <w:highlight w:val="none"/>
          <w:u w:val="none"/>
        </w:rPr>
        <w:t>利用信息网络渠道销售烟草制品的；</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（八）</w:t>
      </w:r>
      <w:r>
        <w:rPr>
          <w:rFonts w:hint="eastAsia" w:ascii="仿宋_GB2312" w:hAnsi="宋体" w:eastAsia="仿宋_GB2312"/>
          <w:color w:val="auto"/>
          <w:sz w:val="32"/>
          <w:szCs w:val="32"/>
          <w:highlight w:val="none"/>
          <w:u w:val="none"/>
        </w:rPr>
        <w:t>幼儿园、中、小学校出入口周围50米范围以内及幼儿园、中、小学校内部；</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（九）</w:t>
      </w:r>
      <w:r>
        <w:rPr>
          <w:rFonts w:hint="eastAsia" w:ascii="仿宋_GB2312" w:hAnsi="宋体" w:eastAsia="仿宋_GB2312"/>
          <w:color w:val="auto"/>
          <w:sz w:val="32"/>
          <w:szCs w:val="32"/>
          <w:highlight w:val="none"/>
          <w:u w:val="none"/>
        </w:rPr>
        <w:t>医院、影剧院、网吧等政府、所属行业行政主管部门明令禁止经营烟草制品的区域；</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（十）</w:t>
      </w:r>
      <w:r>
        <w:rPr>
          <w:rFonts w:hint="eastAsia" w:ascii="仿宋_GB2312" w:hAnsi="宋体" w:eastAsia="仿宋_GB2312"/>
          <w:color w:val="auto"/>
          <w:sz w:val="32"/>
          <w:szCs w:val="32"/>
          <w:highlight w:val="none"/>
          <w:u w:val="none"/>
        </w:rPr>
        <w:t>已被政府纳入征收规划且政府明令禁止办理有关证照的区域；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（十一）</w:t>
      </w:r>
      <w:r>
        <w:rPr>
          <w:rFonts w:hint="eastAsia" w:ascii="仿宋_GB2312" w:hAnsi="宋体" w:eastAsia="仿宋_GB2312"/>
          <w:color w:val="auto"/>
          <w:sz w:val="32"/>
          <w:szCs w:val="32"/>
          <w:highlight w:val="none"/>
          <w:u w:val="none"/>
        </w:rPr>
        <w:t>写字楼、公寓等限制进入、管理方不允许或不配合行政监管的场所（建筑内平层全开放式门店除外）；</w:t>
      </w:r>
      <w:r>
        <w:rPr>
          <w:rFonts w:hint="eastAsia" w:ascii="仿宋_GB2312" w:hAnsi="宋体" w:eastAsia="仿宋_GB2312"/>
          <w:sz w:val="32"/>
          <w:szCs w:val="32"/>
        </w:rPr>
        <w:t xml:space="preserve"> </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ascii="仿宋_GB2312" w:hAnsi="宋体" w:eastAsia="仿宋_GB2312"/>
          <w:sz w:val="32"/>
          <w:szCs w:val="32"/>
        </w:rPr>
        <w:t>（十</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color w:val="auto"/>
          <w:sz w:val="32"/>
          <w:szCs w:val="32"/>
          <w:highlight w:val="none"/>
          <w:u w:val="none"/>
        </w:rPr>
        <w:t>其他不符合法律法规及国家烟草专卖局规定情形的。</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lang w:val="en-US" w:eastAsia="zh-CN"/>
        </w:rPr>
      </w:pPr>
      <w:r>
        <w:rPr>
          <w:rFonts w:hint="eastAsia" w:ascii="仿宋_GB2312" w:hAnsi="宋体" w:eastAsia="仿宋_GB2312"/>
          <w:color w:val="auto"/>
          <w:sz w:val="32"/>
          <w:szCs w:val="32"/>
          <w:highlight w:val="none"/>
          <w:u w:val="none"/>
        </w:rPr>
        <w:t>第</w:t>
      </w:r>
      <w:r>
        <w:rPr>
          <w:rFonts w:hint="eastAsia" w:ascii="仿宋_GB2312" w:hAnsi="宋体" w:eastAsia="仿宋_GB2312"/>
          <w:color w:val="auto"/>
          <w:sz w:val="32"/>
          <w:szCs w:val="32"/>
          <w:highlight w:val="none"/>
          <w:u w:val="none"/>
          <w:lang w:val="en-US" w:eastAsia="zh-CN"/>
        </w:rPr>
        <w:t>二十四</w:t>
      </w:r>
      <w:r>
        <w:rPr>
          <w:rFonts w:hint="eastAsia" w:ascii="仿宋_GB2312" w:hAnsi="宋体" w:eastAsia="仿宋_GB2312"/>
          <w:color w:val="auto"/>
          <w:sz w:val="32"/>
          <w:szCs w:val="32"/>
          <w:highlight w:val="none"/>
          <w:u w:val="none"/>
        </w:rPr>
        <w:t xml:space="preserve">条  </w:t>
      </w:r>
      <w:r>
        <w:rPr>
          <w:rFonts w:hint="eastAsia" w:ascii="仿宋_GB2312" w:hAnsi="宋体" w:eastAsia="仿宋_GB2312"/>
          <w:color w:val="auto"/>
          <w:sz w:val="32"/>
          <w:szCs w:val="32"/>
          <w:highlight w:val="none"/>
          <w:u w:val="none"/>
          <w:lang w:val="en-US" w:eastAsia="zh-CN"/>
        </w:rPr>
        <w:t>对专业性较强，与烟草制品零售业务没有直接或间接互补营销关系的业态类型（烟草零售业态分类中的“其他类”）采取总量控制，包括但不限于主营业务为水果、五金建材、建筑装潢、美容美发、化妆品店、按摩推拿、药妆医械、中草药售卖、宠物店、文化体育用品、音像制品、家电家具、通信器材、移动业务服务、</w:t>
      </w:r>
      <w:bookmarkStart w:id="0" w:name="_GoBack"/>
      <w:bookmarkEnd w:id="0"/>
      <w:r>
        <w:rPr>
          <w:rFonts w:hint="eastAsia" w:ascii="仿宋_GB2312" w:hAnsi="宋体" w:eastAsia="仿宋_GB2312"/>
          <w:color w:val="auto"/>
          <w:sz w:val="32"/>
          <w:szCs w:val="32"/>
          <w:highlight w:val="none"/>
          <w:u w:val="none"/>
          <w:lang w:val="en-US" w:eastAsia="zh-CN"/>
        </w:rPr>
        <w:t>金融证券、仪器仪表、金银珠宝、修理修配、寄递配送、物流企业、洗涤护理、服装制售、鞋帽箱包、中介劳服、寄卖典当、古董店、汽车相关（维修、销售、美容等）、传真打印、照相馆、成人用品店等业态。</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第</w:t>
      </w:r>
      <w:r>
        <w:rPr>
          <w:rFonts w:hint="eastAsia" w:ascii="仿宋_GB2312" w:hAnsi="宋体" w:eastAsia="仿宋_GB2312"/>
          <w:color w:val="auto"/>
          <w:sz w:val="32"/>
          <w:szCs w:val="32"/>
          <w:highlight w:val="none"/>
          <w:u w:val="none"/>
          <w:lang w:val="en-US" w:eastAsia="zh-CN"/>
        </w:rPr>
        <w:t>二十五</w:t>
      </w:r>
      <w:r>
        <w:rPr>
          <w:rFonts w:hint="eastAsia" w:ascii="仿宋_GB2312" w:hAnsi="宋体" w:eastAsia="仿宋_GB2312"/>
          <w:color w:val="auto"/>
          <w:sz w:val="32"/>
          <w:szCs w:val="32"/>
          <w:highlight w:val="none"/>
          <w:u w:val="none"/>
        </w:rPr>
        <w:t>条  雪茄烟专营零售点（许可范围仅为“雪茄烟本店零售”）之间的间距应当在100米以上，且零售点数量不得超出控制的总量。</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测量间距时，仅以最近雪茄烟专营零售点作为参照。</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商业楼宇、商业综合体、以集中交易商品为主的集贸市场等场所设置雪茄烟专营零售点总数不超过</w:t>
      </w:r>
      <w:r>
        <w:rPr>
          <w:rFonts w:hint="eastAsia" w:ascii="仿宋_GB2312" w:hAnsi="宋体" w:eastAsia="仿宋_GB2312"/>
          <w:color w:val="auto"/>
          <w:sz w:val="32"/>
          <w:szCs w:val="32"/>
          <w:highlight w:val="none"/>
          <w:u w:val="none"/>
          <w:lang w:val="en-US"/>
        </w:rPr>
        <w:t>3</w:t>
      </w:r>
      <w:r>
        <w:rPr>
          <w:rFonts w:hint="eastAsia" w:ascii="仿宋_GB2312" w:hAnsi="宋体" w:eastAsia="仿宋_GB2312"/>
          <w:color w:val="auto"/>
          <w:sz w:val="32"/>
          <w:szCs w:val="32"/>
          <w:highlight w:val="none"/>
          <w:u w:val="none"/>
        </w:rPr>
        <w:t>个。</w:t>
      </w:r>
    </w:p>
    <w:p>
      <w:pPr>
        <w:adjustRightInd w:val="0"/>
        <w:snapToGrid w:val="0"/>
        <w:spacing w:line="560" w:lineRule="exact"/>
        <w:ind w:firstLine="640" w:firstLineChars="200"/>
        <w:rPr>
          <w:rFonts w:hint="default" w:ascii="仿宋_GB2312" w:hAnsi="宋体" w:eastAsia="仿宋_GB2312"/>
          <w:color w:val="auto"/>
          <w:sz w:val="32"/>
          <w:szCs w:val="32"/>
          <w:highlight w:val="none"/>
          <w:u w:val="none"/>
          <w:lang w:val="en-US" w:eastAsia="zh-CN"/>
        </w:rPr>
      </w:pPr>
      <w:r>
        <w:rPr>
          <w:rFonts w:hint="eastAsia" w:ascii="仿宋_GB2312" w:hAnsi="宋体" w:eastAsia="仿宋_GB2312"/>
          <w:color w:val="auto"/>
          <w:sz w:val="32"/>
          <w:szCs w:val="32"/>
          <w:highlight w:val="none"/>
          <w:u w:val="none"/>
          <w:lang w:val="en-US" w:eastAsia="zh-CN"/>
        </w:rPr>
        <w:t>雪茄烟专营零售点提出修改经营范围，增加卷烟经营业务的，其与最近卷烟零售点的间距应当在30米以上。</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第</w:t>
      </w:r>
      <w:r>
        <w:rPr>
          <w:rFonts w:hint="eastAsia" w:ascii="仿宋_GB2312" w:hAnsi="宋体" w:eastAsia="仿宋_GB2312"/>
          <w:color w:val="auto"/>
          <w:sz w:val="32"/>
          <w:szCs w:val="32"/>
          <w:highlight w:val="none"/>
          <w:u w:val="none"/>
          <w:lang w:val="en-US" w:eastAsia="zh-CN"/>
        </w:rPr>
        <w:t>二十六</w:t>
      </w:r>
      <w:r>
        <w:rPr>
          <w:rFonts w:hint="eastAsia" w:ascii="仿宋_GB2312" w:hAnsi="宋体" w:eastAsia="仿宋_GB2312"/>
          <w:color w:val="auto"/>
          <w:sz w:val="32"/>
          <w:szCs w:val="32"/>
          <w:highlight w:val="none"/>
          <w:u w:val="none"/>
        </w:rPr>
        <w:t>条  区域零售点数量达到规划总量上限后，应当按照“退一进一”和先申请先办理的原则实施许可。</w:t>
      </w:r>
    </w:p>
    <w:p>
      <w:pPr>
        <w:adjustRightInd w:val="0"/>
        <w:snapToGrid w:val="0"/>
        <w:spacing w:line="560" w:lineRule="exact"/>
        <w:rPr>
          <w:rFonts w:hint="eastAsia" w:ascii="仿宋_GB2312" w:hAnsi="宋体" w:eastAsia="仿宋_GB2312"/>
          <w:color w:val="auto"/>
          <w:sz w:val="32"/>
          <w:szCs w:val="32"/>
          <w:highlight w:val="none"/>
          <w:u w:val="none"/>
        </w:rPr>
      </w:pPr>
    </w:p>
    <w:p>
      <w:pPr>
        <w:adjustRightInd w:val="0"/>
        <w:snapToGrid w:val="0"/>
        <w:spacing w:line="560" w:lineRule="exact"/>
        <w:jc w:val="center"/>
        <w:rPr>
          <w:rFonts w:hint="eastAsia" w:ascii="楷体_GB2312" w:hAnsi="宋体" w:eastAsia="楷体_GB2312"/>
          <w:sz w:val="32"/>
          <w:szCs w:val="32"/>
        </w:rPr>
      </w:pPr>
      <w:r>
        <w:rPr>
          <w:rFonts w:hint="eastAsia" w:ascii="黑体" w:hAnsi="黑体" w:eastAsia="黑体" w:cs="黑体"/>
          <w:sz w:val="30"/>
          <w:szCs w:val="30"/>
        </w:rPr>
        <w:t>第三章  附 则</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第二十</w:t>
      </w:r>
      <w:r>
        <w:rPr>
          <w:rFonts w:hint="eastAsia" w:ascii="仿宋_GB2312" w:hAnsi="宋体" w:eastAsia="仿宋_GB2312"/>
          <w:color w:val="auto"/>
          <w:sz w:val="32"/>
          <w:szCs w:val="32"/>
          <w:highlight w:val="none"/>
          <w:u w:val="none"/>
          <w:lang w:val="en-US" w:eastAsia="zh-CN"/>
        </w:rPr>
        <w:t>七</w:t>
      </w:r>
      <w:r>
        <w:rPr>
          <w:rFonts w:hint="eastAsia" w:ascii="仿宋_GB2312" w:hAnsi="宋体" w:eastAsia="仿宋_GB2312"/>
          <w:color w:val="auto"/>
          <w:sz w:val="32"/>
          <w:szCs w:val="32"/>
          <w:highlight w:val="none"/>
          <w:u w:val="none"/>
        </w:rPr>
        <w:t xml:space="preserve">条 本规定对烟草零售业态的界定，严格按照国家烟草专卖局相关文件执行。 </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第二十</w:t>
      </w:r>
      <w:r>
        <w:rPr>
          <w:rFonts w:hint="eastAsia" w:ascii="仿宋_GB2312" w:hAnsi="宋体" w:eastAsia="仿宋_GB2312"/>
          <w:color w:val="auto"/>
          <w:sz w:val="32"/>
          <w:szCs w:val="32"/>
          <w:highlight w:val="none"/>
          <w:u w:val="none"/>
          <w:lang w:val="en-US" w:eastAsia="zh-CN"/>
        </w:rPr>
        <w:t>八</w:t>
      </w:r>
      <w:r>
        <w:rPr>
          <w:rFonts w:hint="eastAsia" w:ascii="仿宋_GB2312" w:hAnsi="宋体" w:eastAsia="仿宋_GB2312"/>
          <w:color w:val="auto"/>
          <w:sz w:val="32"/>
          <w:szCs w:val="32"/>
          <w:highlight w:val="none"/>
          <w:u w:val="none"/>
        </w:rPr>
        <w:t>条 本规定中的</w:t>
      </w:r>
      <w:r>
        <w:rPr>
          <w:rFonts w:hint="eastAsia" w:ascii="仿宋_GB2312" w:hAnsi="宋体" w:eastAsia="仿宋_GB2312"/>
          <w:color w:val="auto"/>
          <w:sz w:val="32"/>
          <w:szCs w:val="32"/>
          <w:highlight w:val="none"/>
          <w:u w:val="none"/>
          <w:lang w:val="en-US" w:eastAsia="zh-CN"/>
        </w:rPr>
        <w:t>市场单元划分清单以及</w:t>
      </w:r>
      <w:r>
        <w:rPr>
          <w:rFonts w:hint="eastAsia" w:ascii="仿宋_GB2312" w:hAnsi="宋体" w:eastAsia="仿宋_GB2312"/>
          <w:color w:val="auto"/>
          <w:sz w:val="32"/>
          <w:szCs w:val="32"/>
          <w:highlight w:val="none"/>
          <w:u w:val="none"/>
        </w:rPr>
        <w:t>集贸市场、商业综合体和旅游景区的名称、地址等信息，应进行动态调整，并每半年在政务服务窗口公示。</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零售点额度数（含烟草零售业态为“其他类”的零售点数量）</w:t>
      </w:r>
      <w:r>
        <w:rPr>
          <w:rFonts w:hint="eastAsia" w:ascii="仿宋_GB2312" w:hAnsi="宋体" w:eastAsia="仿宋_GB2312"/>
          <w:color w:val="auto"/>
          <w:sz w:val="32"/>
          <w:szCs w:val="32"/>
          <w:highlight w:val="none"/>
          <w:u w:val="none"/>
          <w:lang w:val="en-US" w:eastAsia="zh-CN"/>
        </w:rPr>
        <w:t>和零售点数量达到上限值时的排队轮候名单应</w:t>
      </w:r>
      <w:r>
        <w:rPr>
          <w:rFonts w:hint="eastAsia" w:ascii="仿宋_GB2312" w:hAnsi="宋体" w:eastAsia="仿宋_GB2312"/>
          <w:color w:val="auto"/>
          <w:sz w:val="32"/>
          <w:szCs w:val="32"/>
          <w:highlight w:val="none"/>
          <w:u w:val="none"/>
        </w:rPr>
        <w:t xml:space="preserve">每月对外公示。 </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第二十</w:t>
      </w:r>
      <w:r>
        <w:rPr>
          <w:rFonts w:hint="eastAsia" w:ascii="楷体_GB2312" w:hAnsi="宋体" w:eastAsia="楷体_GB2312"/>
          <w:sz w:val="32"/>
          <w:szCs w:val="32"/>
          <w:lang w:val="en-US" w:eastAsia="zh-CN"/>
        </w:rPr>
        <w:t>九</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w:t>
      </w:r>
      <w:r>
        <w:rPr>
          <w:rFonts w:hint="eastAsia" w:ascii="仿宋_GB2312" w:hAnsi="宋体" w:eastAsia="仿宋_GB2312"/>
          <w:color w:val="auto"/>
          <w:sz w:val="32"/>
          <w:szCs w:val="32"/>
          <w:highlight w:val="none"/>
          <w:u w:val="none"/>
          <w:lang w:eastAsia="zh-CN"/>
        </w:rPr>
        <w:t>中</w:t>
      </w:r>
      <w:r>
        <w:rPr>
          <w:rFonts w:hint="eastAsia" w:ascii="仿宋_GB2312" w:hAnsi="宋体" w:eastAsia="仿宋_GB2312"/>
          <w:color w:val="auto"/>
          <w:sz w:val="32"/>
          <w:szCs w:val="32"/>
          <w:highlight w:val="none"/>
          <w:u w:val="none"/>
        </w:rPr>
        <w:t>的“以上”、“以下”、“以内”和“不超过”均包括本数。</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三十</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“营业面积”是指仅限于开展生产经营活动的实际面积，不含生活、办公、仓储、停车以及其他使用面积。</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三十一</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本规定中“幼儿园”是指经政府教育行政部门依法认定的，对3岁以上学龄前幼儿实施保育和教育的机构。</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本规定中“中、小学校”是指普通中小学、特殊教育学校、中等职业学校、专门学校。</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三十二</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w:t>
      </w:r>
      <w:r>
        <w:rPr>
          <w:rFonts w:hint="eastAsia" w:ascii="仿宋_GB2312" w:hAnsi="宋体" w:eastAsia="仿宋_GB2312"/>
          <w:color w:val="auto"/>
          <w:sz w:val="32"/>
          <w:szCs w:val="32"/>
          <w:highlight w:val="none"/>
          <w:u w:val="none"/>
          <w:lang w:eastAsia="zh-CN"/>
        </w:rPr>
        <w:t>中</w:t>
      </w:r>
      <w:r>
        <w:rPr>
          <w:rFonts w:hint="eastAsia" w:ascii="仿宋_GB2312" w:hAnsi="宋体" w:eastAsia="仿宋_GB2312"/>
          <w:color w:val="auto"/>
          <w:sz w:val="32"/>
          <w:szCs w:val="32"/>
          <w:highlight w:val="none"/>
          <w:u w:val="none"/>
        </w:rPr>
        <w:t>“幼儿园、中、小学</w:t>
      </w:r>
      <w:r>
        <w:rPr>
          <w:rFonts w:hint="eastAsia" w:ascii="仿宋_GB2312" w:hAnsi="宋体" w:eastAsia="仿宋_GB2312"/>
          <w:color w:val="auto"/>
          <w:sz w:val="32"/>
          <w:szCs w:val="32"/>
          <w:highlight w:val="none"/>
          <w:u w:val="none"/>
          <w:lang w:eastAsia="zh-CN"/>
        </w:rPr>
        <w:t>校</w:t>
      </w:r>
      <w:r>
        <w:rPr>
          <w:rFonts w:hint="eastAsia" w:ascii="仿宋_GB2312" w:hAnsi="宋体" w:eastAsia="仿宋_GB2312"/>
          <w:color w:val="auto"/>
          <w:sz w:val="32"/>
          <w:szCs w:val="32"/>
          <w:highlight w:val="none"/>
          <w:u w:val="none"/>
        </w:rPr>
        <w:t>周围”是指自幼儿园、中、小学</w:t>
      </w:r>
      <w:r>
        <w:rPr>
          <w:rFonts w:hint="eastAsia" w:ascii="仿宋_GB2312" w:hAnsi="宋体" w:eastAsia="仿宋_GB2312"/>
          <w:color w:val="auto"/>
          <w:sz w:val="32"/>
          <w:szCs w:val="32"/>
          <w:highlight w:val="none"/>
          <w:u w:val="none"/>
          <w:lang w:eastAsia="zh-CN"/>
        </w:rPr>
        <w:t>校</w:t>
      </w:r>
      <w:r>
        <w:rPr>
          <w:rFonts w:hint="eastAsia" w:ascii="仿宋_GB2312" w:hAnsi="宋体" w:eastAsia="仿宋_GB2312"/>
          <w:color w:val="auto"/>
          <w:sz w:val="32"/>
          <w:szCs w:val="32"/>
          <w:highlight w:val="none"/>
          <w:u w:val="none"/>
        </w:rPr>
        <w:t>供未成年人进出的出入口中央向外延伸一定距离的区域。</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color w:val="auto"/>
          <w:sz w:val="32"/>
          <w:szCs w:val="32"/>
          <w:highlight w:val="none"/>
          <w:u w:val="none"/>
        </w:rPr>
        <w:t>本规定</w:t>
      </w:r>
      <w:r>
        <w:rPr>
          <w:rFonts w:hint="eastAsia" w:ascii="仿宋_GB2312" w:hAnsi="宋体" w:eastAsia="仿宋_GB2312"/>
          <w:color w:val="auto"/>
          <w:sz w:val="32"/>
          <w:szCs w:val="32"/>
          <w:highlight w:val="none"/>
          <w:u w:val="none"/>
          <w:lang w:eastAsia="zh-CN"/>
        </w:rPr>
        <w:t>中</w:t>
      </w:r>
      <w:r>
        <w:rPr>
          <w:rFonts w:hint="eastAsia" w:ascii="仿宋_GB2312" w:hAnsi="宋体" w:eastAsia="仿宋_GB2312"/>
          <w:color w:val="auto"/>
          <w:sz w:val="32"/>
          <w:szCs w:val="32"/>
          <w:highlight w:val="none"/>
          <w:u w:val="none"/>
        </w:rPr>
        <w:t>零售点的“间距”是指从申请零售点的出入口中央到最近零售点出入口中央，以遵守交通规则正常行走的最短距离为标准进行测量的距离。</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本规定</w:t>
      </w:r>
      <w:r>
        <w:rPr>
          <w:rFonts w:hint="eastAsia" w:ascii="仿宋_GB2312" w:hAnsi="宋体" w:eastAsia="仿宋_GB2312"/>
          <w:color w:val="auto"/>
          <w:sz w:val="32"/>
          <w:szCs w:val="32"/>
          <w:highlight w:val="none"/>
          <w:u w:val="none"/>
          <w:lang w:eastAsia="zh-CN"/>
        </w:rPr>
        <w:t>中</w:t>
      </w:r>
      <w:r>
        <w:rPr>
          <w:rFonts w:hint="eastAsia" w:ascii="仿宋_GB2312" w:hAnsi="宋体" w:eastAsia="仿宋_GB2312"/>
          <w:color w:val="auto"/>
          <w:sz w:val="32"/>
          <w:szCs w:val="32"/>
          <w:highlight w:val="none"/>
          <w:u w:val="none"/>
        </w:rPr>
        <w:t>“幼儿园、中、小学</w:t>
      </w:r>
      <w:r>
        <w:rPr>
          <w:rFonts w:hint="eastAsia" w:ascii="仿宋_GB2312" w:hAnsi="宋体" w:eastAsia="仿宋_GB2312"/>
          <w:color w:val="auto"/>
          <w:sz w:val="32"/>
          <w:szCs w:val="32"/>
          <w:highlight w:val="none"/>
          <w:u w:val="none"/>
          <w:lang w:eastAsia="zh-CN"/>
        </w:rPr>
        <w:t>校</w:t>
      </w:r>
      <w:r>
        <w:rPr>
          <w:rFonts w:hint="eastAsia" w:ascii="仿宋_GB2312" w:hAnsi="宋体" w:eastAsia="仿宋_GB2312"/>
          <w:color w:val="auto"/>
          <w:sz w:val="32"/>
          <w:szCs w:val="32"/>
          <w:highlight w:val="none"/>
          <w:u w:val="none"/>
        </w:rPr>
        <w:t>向外延伸的距离”应当按照行人不违反交通管理规定、习惯性行走的最短路径进行测量。需进行距离测量时，申请人和烟草专卖人员应当共同确认。</w:t>
      </w:r>
    </w:p>
    <w:p>
      <w:pPr>
        <w:adjustRightInd w:val="0"/>
        <w:snapToGrid w:val="0"/>
        <w:spacing w:line="560" w:lineRule="exact"/>
        <w:ind w:firstLine="640" w:firstLineChars="200"/>
        <w:rPr>
          <w:rFonts w:hint="eastAsia" w:ascii="仿宋_GB2312" w:hAnsi="宋体" w:eastAsia="仿宋_GB2312"/>
          <w:color w:val="auto"/>
          <w:sz w:val="32"/>
          <w:szCs w:val="32"/>
          <w:highlight w:val="none"/>
          <w:u w:val="none"/>
        </w:rPr>
      </w:pPr>
      <w:r>
        <w:rPr>
          <w:rFonts w:hint="eastAsia" w:ascii="楷体_GB2312" w:hAnsi="宋体" w:eastAsia="楷体_GB2312"/>
          <w:sz w:val="32"/>
          <w:szCs w:val="32"/>
        </w:rPr>
        <w:t>第</w:t>
      </w:r>
      <w:r>
        <w:rPr>
          <w:rFonts w:hint="eastAsia" w:ascii="楷体_GB2312" w:hAnsi="宋体" w:eastAsia="楷体_GB2312"/>
          <w:sz w:val="32"/>
          <w:szCs w:val="32"/>
          <w:lang w:val="en-US" w:eastAsia="zh-CN"/>
        </w:rPr>
        <w:t>三十三</w:t>
      </w:r>
      <w:r>
        <w:rPr>
          <w:rFonts w:hint="eastAsia" w:ascii="楷体_GB2312" w:hAnsi="宋体" w:eastAsia="楷体_GB2312"/>
          <w:sz w:val="32"/>
          <w:szCs w:val="32"/>
        </w:rPr>
        <w:t>条</w:t>
      </w:r>
      <w:r>
        <w:rPr>
          <w:rFonts w:hint="eastAsia" w:ascii="仿宋_GB2312" w:hAnsi="宋体" w:eastAsia="仿宋_GB2312"/>
          <w:sz w:val="32"/>
          <w:szCs w:val="32"/>
        </w:rPr>
        <w:t xml:space="preserve"> </w:t>
      </w:r>
      <w:r>
        <w:rPr>
          <w:rFonts w:hint="eastAsia" w:ascii="仿宋_GB2312" w:hAnsi="宋体" w:eastAsia="仿宋_GB2312"/>
          <w:color w:val="auto"/>
          <w:sz w:val="32"/>
          <w:szCs w:val="32"/>
          <w:highlight w:val="none"/>
          <w:u w:val="none"/>
        </w:rPr>
        <w:t>本规定中品牌连锁便利店，是指统一形象标识、统一门店管控、统一设施配置、统一服务标准、统一商品采购、统一物流配送，以直营或加盟方式开展经营的便利店</w:t>
      </w:r>
      <w:r>
        <w:rPr>
          <w:rFonts w:hint="eastAsia" w:ascii="仿宋_GB2312" w:hAnsi="宋体" w:eastAsia="仿宋_GB2312"/>
          <w:color w:val="auto"/>
          <w:sz w:val="32"/>
          <w:szCs w:val="32"/>
          <w:highlight w:val="none"/>
          <w:u w:val="none"/>
          <w:lang w:eastAsia="zh-CN"/>
        </w:rPr>
        <w:t>，</w:t>
      </w:r>
      <w:r>
        <w:rPr>
          <w:rFonts w:hint="eastAsia" w:ascii="仿宋_GB2312" w:hAnsi="宋体" w:eastAsia="仿宋_GB2312"/>
          <w:color w:val="auto"/>
          <w:sz w:val="32"/>
          <w:szCs w:val="32"/>
          <w:highlight w:val="none"/>
          <w:u w:val="none"/>
          <w:lang w:val="en-US" w:eastAsia="zh-CN"/>
        </w:rPr>
        <w:t>以</w:t>
      </w:r>
      <w:r>
        <w:rPr>
          <w:rFonts w:hint="eastAsia" w:ascii="仿宋_GB2312" w:hAnsi="宋体" w:eastAsia="仿宋_GB2312"/>
          <w:color w:val="auto"/>
          <w:sz w:val="32"/>
          <w:szCs w:val="32"/>
          <w:highlight w:val="none"/>
          <w:u w:val="none"/>
        </w:rPr>
        <w:t>武汉市商务局和武汉市烟草专卖局联合发布的名录为准。</w:t>
      </w:r>
    </w:p>
    <w:p>
      <w:pPr>
        <w:adjustRightInd w:val="0"/>
        <w:snapToGrid w:val="0"/>
        <w:spacing w:line="560" w:lineRule="exact"/>
        <w:ind w:firstLine="640" w:firstLineChars="200"/>
        <w:rPr>
          <w:rFonts w:hint="eastAsia" w:ascii="仿宋_GB2312" w:eastAsia="仿宋_GB2312"/>
          <w:color w:val="auto"/>
          <w:sz w:val="32"/>
          <w:szCs w:val="32"/>
          <w:highlight w:val="none"/>
          <w:u w:val="none"/>
        </w:rPr>
      </w:pPr>
      <w:r>
        <w:rPr>
          <w:rFonts w:hint="eastAsia" w:ascii="楷体_GB2312" w:hAnsi="宋体" w:eastAsia="楷体_GB2312"/>
          <w:sz w:val="32"/>
          <w:szCs w:val="32"/>
        </w:rPr>
        <w:t>第三十</w:t>
      </w:r>
      <w:r>
        <w:rPr>
          <w:rFonts w:hint="eastAsia" w:ascii="楷体_GB2312" w:hAnsi="宋体" w:eastAsia="楷体_GB2312"/>
          <w:sz w:val="32"/>
          <w:szCs w:val="32"/>
          <w:lang w:val="en-US" w:eastAsia="zh-CN"/>
        </w:rPr>
        <w:t>四</w:t>
      </w:r>
      <w:r>
        <w:rPr>
          <w:rFonts w:hint="eastAsia" w:ascii="楷体_GB2312" w:hAnsi="宋体" w:eastAsia="楷体_GB2312"/>
          <w:sz w:val="32"/>
          <w:szCs w:val="32"/>
        </w:rPr>
        <w:t xml:space="preserve">条 </w:t>
      </w:r>
      <w:r>
        <w:rPr>
          <w:rFonts w:hint="eastAsia" w:ascii="仿宋_GB2312" w:hAnsi="宋体" w:eastAsia="仿宋_GB2312"/>
          <w:color w:val="auto"/>
          <w:sz w:val="32"/>
          <w:szCs w:val="32"/>
          <w:highlight w:val="none"/>
          <w:u w:val="none"/>
        </w:rPr>
        <w:t>本规定中集贸市场是指由专职机构负责管理的用于商品集中交易的</w:t>
      </w:r>
      <w:r>
        <w:rPr>
          <w:rFonts w:hint="eastAsia" w:ascii="仿宋_GB2312" w:eastAsia="仿宋_GB2312"/>
          <w:color w:val="auto"/>
          <w:sz w:val="32"/>
          <w:szCs w:val="32"/>
          <w:highlight w:val="none"/>
          <w:u w:val="none"/>
        </w:rPr>
        <w:t>各类综合性（批发）市场、专业市场、贸易市场。</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第三十</w:t>
      </w:r>
      <w:r>
        <w:rPr>
          <w:rFonts w:hint="eastAsia" w:ascii="楷体_GB2312" w:hAnsi="宋体" w:eastAsia="楷体_GB2312"/>
          <w:sz w:val="32"/>
          <w:szCs w:val="32"/>
          <w:lang w:val="en-US" w:eastAsia="zh-CN"/>
        </w:rPr>
        <w:t>五</w:t>
      </w:r>
      <w:r>
        <w:rPr>
          <w:rFonts w:hint="eastAsia" w:ascii="楷体_GB2312" w:hAnsi="宋体" w:eastAsia="楷体_GB2312"/>
          <w:sz w:val="32"/>
          <w:szCs w:val="32"/>
        </w:rPr>
        <w:t xml:space="preserve">条 </w:t>
      </w:r>
      <w:r>
        <w:rPr>
          <w:rFonts w:hint="eastAsia" w:ascii="仿宋_GB2312" w:hAnsi="宋体" w:eastAsia="仿宋_GB2312"/>
          <w:sz w:val="32"/>
          <w:szCs w:val="32"/>
        </w:rPr>
        <w:t>本规定由东西湖区烟草专卖局负责解释。</w:t>
      </w:r>
    </w:p>
    <w:p>
      <w:pPr>
        <w:adjustRightInd w:val="0"/>
        <w:snapToGrid w:val="0"/>
        <w:spacing w:line="560" w:lineRule="exact"/>
        <w:ind w:firstLine="640" w:firstLineChars="200"/>
        <w:rPr>
          <w:rFonts w:hint="eastAsia" w:ascii="仿宋_GB2312" w:hAnsi="宋体" w:eastAsia="仿宋_GB2312" w:cs="宋体"/>
          <w:color w:val="FF0000"/>
          <w:sz w:val="32"/>
          <w:szCs w:val="32"/>
        </w:rPr>
      </w:pPr>
      <w:r>
        <w:rPr>
          <w:rFonts w:hint="eastAsia" w:ascii="楷体_GB2312" w:hAnsi="宋体" w:eastAsia="楷体_GB2312"/>
          <w:color w:val="auto"/>
          <w:sz w:val="32"/>
          <w:szCs w:val="32"/>
        </w:rPr>
        <w:t>第三十</w:t>
      </w:r>
      <w:r>
        <w:rPr>
          <w:rFonts w:hint="eastAsia" w:ascii="楷体_GB2312" w:hAnsi="宋体" w:eastAsia="楷体_GB2312"/>
          <w:color w:val="auto"/>
          <w:sz w:val="32"/>
          <w:szCs w:val="32"/>
          <w:lang w:val="en-US" w:eastAsia="zh-CN"/>
        </w:rPr>
        <w:t>六</w:t>
      </w:r>
      <w:r>
        <w:rPr>
          <w:rFonts w:hint="eastAsia" w:ascii="楷体_GB2312" w:hAnsi="宋体" w:eastAsia="楷体_GB2312"/>
          <w:color w:val="auto"/>
          <w:sz w:val="32"/>
          <w:szCs w:val="32"/>
        </w:rPr>
        <w:t xml:space="preserve">条 </w:t>
      </w:r>
      <w:r>
        <w:rPr>
          <w:rFonts w:hint="eastAsia" w:ascii="仿宋_GB2312" w:hAnsi="宋体" w:eastAsia="仿宋_GB2312"/>
          <w:color w:val="auto"/>
          <w:sz w:val="32"/>
          <w:szCs w:val="32"/>
        </w:rPr>
        <w:t>本规定自202</w:t>
      </w:r>
      <w:r>
        <w:rPr>
          <w:rFonts w:hint="eastAsia" w:ascii="仿宋_GB2312" w:hAnsi="宋体" w:eastAsia="仿宋_GB2312"/>
          <w:color w:val="auto"/>
          <w:sz w:val="32"/>
          <w:szCs w:val="32"/>
          <w:lang w:val="en-US" w:eastAsia="zh-CN"/>
        </w:rPr>
        <w:t>3</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31</w:t>
      </w:r>
      <w:r>
        <w:rPr>
          <w:rFonts w:hint="eastAsia" w:ascii="仿宋_GB2312" w:hAnsi="宋体" w:eastAsia="仿宋_GB2312"/>
          <w:color w:val="auto"/>
          <w:sz w:val="32"/>
          <w:szCs w:val="32"/>
        </w:rPr>
        <w:t>日起施行</w:t>
      </w:r>
      <w:r>
        <w:rPr>
          <w:rFonts w:hint="eastAsia" w:ascii="仿宋_GB2312" w:hAnsi="宋体" w:eastAsia="仿宋_GB2312"/>
          <w:color w:val="auto"/>
          <w:sz w:val="32"/>
          <w:szCs w:val="32"/>
          <w:lang w:eastAsia="zh-CN"/>
        </w:rPr>
        <w:t>。</w:t>
      </w:r>
      <w:r>
        <w:rPr>
          <w:rFonts w:hint="eastAsia" w:ascii="仿宋_GB2312" w:hAnsi="宋体" w:eastAsia="仿宋_GB2312" w:cs="宋体"/>
          <w:color w:val="auto"/>
          <w:sz w:val="32"/>
          <w:szCs w:val="32"/>
        </w:rPr>
        <w:t>本规定有效期为5年。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88" w:wrap="around" w:vAnchor="text" w:hAnchor="page" w:x="8986" w:y="23"/>
      <w:jc w:val="center"/>
      <w:rPr>
        <w:rStyle w:val="6"/>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93980</wp:posOffset>
              </wp:positionV>
              <wp:extent cx="144145" cy="0"/>
              <wp:effectExtent l="0" t="0" r="0" b="0"/>
              <wp:wrapNone/>
              <wp:docPr id="1" name="直接连接符 1"/>
              <wp:cNvGraphicFramePr/>
              <a:graphic xmlns:a="http://schemas.openxmlformats.org/drawingml/2006/main">
                <a:graphicData uri="http://schemas.microsoft.com/office/word/2010/wordprocessingShape">
                  <wps:wsp>
                    <wps:cNvCnPr/>
                    <wps:spPr>
                      <a:xfrm flipH="1" flipV="1">
                        <a:off x="0" y="0"/>
                        <a:ext cx="1441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3.5pt;margin-top:7.4pt;height:0pt;width:11.35pt;z-index:251659264;mso-width-relative:page;mso-height-relative:page;" filled="f" stroked="t" coordsize="21600,21600" o:gfxdata="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7i40QAAAAkBAAAPAAAAAAAAAAEAIAAAACIAAABkcnMvZG93bnJldi54bWxQ&#10;SwECFAAUAAAACACHTuJAT40nDP4BAAD3AwAADgAAAAAAAAABACAAAAAgAQAAZHJzL2Uyb0RvYy54&#10;bWxQSwUGAAAAAAYABgBZAQAAk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102235</wp:posOffset>
              </wp:positionV>
              <wp:extent cx="144145" cy="0"/>
              <wp:effectExtent l="0" t="0" r="0" b="0"/>
              <wp:wrapNone/>
              <wp:docPr id="2" name="直接连接符 2"/>
              <wp:cNvGraphicFramePr/>
              <a:graphic xmlns:a="http://schemas.openxmlformats.org/drawingml/2006/main">
                <a:graphicData uri="http://schemas.microsoft.com/office/word/2010/wordprocessingShape">
                  <wps:wsp>
                    <wps:cNvCnPr/>
                    <wps:spPr>
                      <a:xfrm flipH="1" flipV="1">
                        <a:off x="0" y="0"/>
                        <a:ext cx="1441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3.5pt;margin-top:8.05pt;height:0pt;width:11.35pt;z-index:251660288;mso-width-relative:page;mso-height-relative:page;" filled="f" stroked="t" coordsize="21600,21600" o:gfxdata="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pNKvdEAAAAHAQAADwAAAAAAAAABACAAAAAiAAAAZHJzL2Rvd25yZXYueG1s&#10;UEsBAhQAFAAAAAgAh07iQJtKueX/AQAA9wMAAA4AAAAAAAAAAQAgAAAAIAEAAGRycy9lMm9Eb2Mu&#10;eG1sUEsFBgAAAAAGAAYAWQEAAJEFAAAAAA==&#10;">
              <v:fill on="f" focussize="0,0"/>
              <v:stroke color="#000000" joinstyle="round"/>
              <v:imagedata o:title=""/>
              <o:lock v:ext="edit" aspectratio="f"/>
            </v:line>
          </w:pict>
        </mc:Fallback>
      </mc:AlternateContent>
    </w:r>
    <w:r>
      <w:rPr>
        <w:rStyle w:val="6"/>
        <w:sz w:val="28"/>
      </w:rPr>
      <w:fldChar w:fldCharType="begin"/>
    </w:r>
    <w:r>
      <w:rPr>
        <w:rStyle w:val="6"/>
        <w:sz w:val="28"/>
      </w:rPr>
      <w:instrText xml:space="preserve">PAGE  </w:instrText>
    </w:r>
    <w:r>
      <w:rPr>
        <w:rStyle w:val="6"/>
        <w:sz w:val="28"/>
      </w:rPr>
      <w:fldChar w:fldCharType="separate"/>
    </w:r>
    <w:r>
      <w:rPr>
        <w:rStyle w:val="6"/>
        <w:sz w:val="28"/>
      </w:rPr>
      <w:t>1</w:t>
    </w:r>
    <w:r>
      <w:rPr>
        <w:rStyle w:val="6"/>
        <w:sz w:val="28"/>
      </w:rPr>
      <w:fldChar w:fldCharType="end"/>
    </w:r>
  </w:p>
  <w:p>
    <w:pPr>
      <w:pStyle w:val="2"/>
      <w:tabs>
        <w:tab w:val="center" w:pos="7797"/>
        <w:tab w:val="clear" w:pos="4153"/>
      </w:tabs>
      <w:ind w:right="360" w:firstLine="360"/>
    </w:pPr>
    <w:r>
      <w:rPr>
        <w:rStyle w:val="6"/>
        <w:rFonts w:hint="eastAsia"/>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7BA26"/>
    <w:multiLevelType w:val="singleLevel"/>
    <w:tmpl w:val="6167BA2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WU4ZTYwYjA3YjM4Nzc2NDlmZjlhMzgzM2FkMGIifQ=="/>
    <w:docVar w:name="KSO_WPS_MARK_KEY" w:val="6965d1d9-ee19-4bd0-837c-f99cc31754ff"/>
  </w:docVars>
  <w:rsids>
    <w:rsidRoot w:val="16EC4844"/>
    <w:rsid w:val="034A2A18"/>
    <w:rsid w:val="04960E16"/>
    <w:rsid w:val="0A14107B"/>
    <w:rsid w:val="0DC51F28"/>
    <w:rsid w:val="15C164C0"/>
    <w:rsid w:val="16EC4844"/>
    <w:rsid w:val="1C84143D"/>
    <w:rsid w:val="22DF5F40"/>
    <w:rsid w:val="252E30BA"/>
    <w:rsid w:val="2D995643"/>
    <w:rsid w:val="2DF82E56"/>
    <w:rsid w:val="2FBE503E"/>
    <w:rsid w:val="319C0EC7"/>
    <w:rsid w:val="3B6042F8"/>
    <w:rsid w:val="3C5A2D6B"/>
    <w:rsid w:val="3E4E0CF0"/>
    <w:rsid w:val="3E936234"/>
    <w:rsid w:val="42932A7F"/>
    <w:rsid w:val="46AA4D52"/>
    <w:rsid w:val="4F547331"/>
    <w:rsid w:val="50695D90"/>
    <w:rsid w:val="51517903"/>
    <w:rsid w:val="5DAA1B3E"/>
    <w:rsid w:val="62FE4397"/>
    <w:rsid w:val="649A673A"/>
    <w:rsid w:val="66EF6F5F"/>
    <w:rsid w:val="67297CF7"/>
    <w:rsid w:val="7616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4014</Words>
  <Characters>4059</Characters>
  <Lines>0</Lines>
  <Paragraphs>0</Paragraphs>
  <TotalTime>11</TotalTime>
  <ScaleCrop>false</ScaleCrop>
  <LinksUpToDate>false</LinksUpToDate>
  <CharactersWithSpaces>4178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2021-12-07T23:43:00Z</dcterms:created>
  <dc:creator>低调奢华的小彦彦</dc:creator>
  <cp:lastModifiedBy>低调奢华的小彦彦</cp:lastModifiedBy>
  <cp:lastPrinted>2023-03-21T03:15:00Z</cp:lastPrinted>
  <dcterms:modified xsi:type="dcterms:W3CDTF">2023-03-28T03:35:33Z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AAAB055673DE4C2E8202CBDDFEF366A7</vt:lpwstr>
  </property>
</Properties>
</file>