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C8BCE">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Chars="0"/>
        <w:jc w:val="center"/>
        <w:textAlignment w:val="auto"/>
        <w:outlineLvl w:val="0"/>
        <w:rPr>
          <w:rFonts w:hint="eastAsia" w:ascii="宋体" w:hAnsi="宋体" w:eastAsia="宋体" w:cs="宋体"/>
          <w:b/>
          <w:bCs/>
          <w:color w:val="auto"/>
          <w:kern w:val="2"/>
          <w:sz w:val="24"/>
          <w:szCs w:val="24"/>
          <w:highlight w:val="none"/>
          <w:lang w:val="zh-CN" w:eastAsia="zh-CN" w:bidi="ar-SA"/>
        </w:rPr>
      </w:pPr>
      <w:bookmarkStart w:id="0" w:name="_Toc2348"/>
      <w:r>
        <w:rPr>
          <w:rFonts w:hint="eastAsia" w:ascii="宋体" w:hAnsi="宋体" w:eastAsia="宋体" w:cs="宋体"/>
          <w:b/>
          <w:bCs/>
          <w:color w:val="auto"/>
          <w:kern w:val="2"/>
          <w:sz w:val="28"/>
          <w:szCs w:val="28"/>
          <w:highlight w:val="none"/>
          <w:lang w:val="zh-CN" w:eastAsia="zh-CN" w:bidi="ar-SA"/>
        </w:rPr>
        <w:t>采购需求</w:t>
      </w:r>
      <w:bookmarkStart w:id="25" w:name="_GoBack"/>
      <w:bookmarkEnd w:id="25"/>
    </w:p>
    <w:p w14:paraId="0F1DA828">
      <w:pPr>
        <w:keepNext w:val="0"/>
        <w:keepLines w:val="0"/>
        <w:pageBreakBefore w:val="0"/>
        <w:widowControl w:val="0"/>
        <w:kinsoku/>
        <w:wordWrap/>
        <w:overflowPunct/>
        <w:topLinePunct w:val="0"/>
        <w:autoSpaceDE/>
        <w:autoSpaceDN/>
        <w:bidi w:val="0"/>
        <w:adjustRightInd/>
        <w:snapToGrid/>
        <w:spacing w:line="480" w:lineRule="auto"/>
        <w:ind w:firstLine="482" w:firstLineChars="200"/>
        <w:textAlignment w:val="auto"/>
        <w:outlineLvl w:val="9"/>
        <w:rPr>
          <w:rFonts w:hint="eastAsia" w:ascii="宋体" w:hAnsi="宋体" w:eastAsia="宋体" w:cs="宋体"/>
          <w:b w:val="0"/>
          <w:bCs w:val="0"/>
          <w:color w:val="auto"/>
          <w:kern w:val="2"/>
          <w:sz w:val="24"/>
          <w:szCs w:val="24"/>
          <w:highlight w:val="none"/>
          <w:lang w:val="zh-CN" w:eastAsia="zh-CN" w:bidi="ar-SA"/>
        </w:rPr>
      </w:pPr>
      <w:r>
        <w:rPr>
          <w:rFonts w:hint="eastAsia" w:ascii="宋体" w:hAnsi="宋体" w:eastAsia="宋体" w:cs="宋体"/>
          <w:b/>
          <w:bCs/>
          <w:color w:val="auto"/>
          <w:kern w:val="2"/>
          <w:sz w:val="24"/>
          <w:szCs w:val="24"/>
          <w:highlight w:val="none"/>
          <w:lang w:val="zh-CN" w:eastAsia="zh-CN" w:bidi="ar-SA"/>
        </w:rPr>
        <w:t>特别说明：本文中标注“★”项条款为实质性要求，供应商需按文件要求提供相应的证明材料或承诺函，否则视为无效投标。</w:t>
      </w:r>
    </w:p>
    <w:p w14:paraId="283BB5B3">
      <w:pPr>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outlineLvl w:val="1"/>
        <w:rPr>
          <w:rFonts w:hint="eastAsia" w:ascii="宋体" w:hAnsi="宋体" w:eastAsia="宋体" w:cs="宋体"/>
          <w:b/>
          <w:bCs/>
          <w:color w:val="auto"/>
          <w:highlight w:val="none"/>
        </w:rPr>
      </w:pPr>
      <w:bookmarkStart w:id="1" w:name="_Toc156490321"/>
      <w:bookmarkStart w:id="2" w:name="_Toc6360"/>
      <w:bookmarkStart w:id="3" w:name="_Toc7837"/>
      <w:bookmarkStart w:id="4" w:name="_Toc23168"/>
      <w:bookmarkStart w:id="5" w:name="_Toc28445"/>
      <w:bookmarkStart w:id="6" w:name="_Toc11315"/>
      <w:bookmarkStart w:id="7" w:name="_Toc27869"/>
      <w:bookmarkStart w:id="8" w:name="_Toc21980"/>
      <w:bookmarkStart w:id="9" w:name="_Toc7760"/>
      <w:bookmarkStart w:id="10" w:name="_Toc27724"/>
      <w:bookmarkStart w:id="11" w:name="_Toc20930"/>
      <w:bookmarkStart w:id="12" w:name="_Toc22648"/>
      <w:bookmarkStart w:id="13" w:name="_Toc5948"/>
      <w:bookmarkStart w:id="14" w:name="_Toc152"/>
      <w:bookmarkStart w:id="15" w:name="_Toc21146"/>
      <w:bookmarkStart w:id="16" w:name="_Toc13559"/>
      <w:r>
        <w:rPr>
          <w:rFonts w:hint="eastAsia" w:ascii="宋体" w:hAnsi="宋体" w:eastAsia="宋体" w:cs="宋体"/>
          <w:b/>
          <w:bCs/>
          <w:color w:val="auto"/>
          <w:highlight w:val="none"/>
          <w:lang w:eastAsia="zh-CN"/>
        </w:rPr>
        <w:t>（一）</w:t>
      </w:r>
      <w:r>
        <w:rPr>
          <w:rFonts w:hint="eastAsia" w:ascii="宋体" w:hAnsi="宋体" w:eastAsia="宋体" w:cs="宋体"/>
          <w:b/>
          <w:bCs/>
          <w:color w:val="auto"/>
          <w:highlight w:val="none"/>
        </w:rPr>
        <w:t>采购清单</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tbl>
      <w:tblPr>
        <w:tblStyle w:val="3"/>
        <w:tblW w:w="56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2340"/>
        <w:gridCol w:w="820"/>
        <w:gridCol w:w="728"/>
        <w:gridCol w:w="1850"/>
        <w:gridCol w:w="3203"/>
      </w:tblGrid>
      <w:tr w14:paraId="2DFC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82" w:type="pct"/>
            <w:noWrap w:val="0"/>
            <w:vAlign w:val="center"/>
          </w:tcPr>
          <w:p w14:paraId="386C8A5E">
            <w:pPr>
              <w:pStyle w:val="6"/>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highlight w:val="none"/>
              </w:rPr>
            </w:pPr>
            <w:bookmarkStart w:id="17" w:name="_Toc339378680"/>
            <w:bookmarkStart w:id="18" w:name="_Toc338065594"/>
            <w:r>
              <w:rPr>
                <w:rFonts w:hint="eastAsia" w:ascii="宋体" w:hAnsi="宋体" w:eastAsia="宋体" w:cs="宋体"/>
                <w:b/>
                <w:bCs/>
                <w:color w:val="auto"/>
                <w:highlight w:val="none"/>
              </w:rPr>
              <w:t>序号</w:t>
            </w:r>
          </w:p>
        </w:tc>
        <w:tc>
          <w:tcPr>
            <w:tcW w:w="1208" w:type="pct"/>
            <w:noWrap w:val="0"/>
            <w:vAlign w:val="center"/>
          </w:tcPr>
          <w:p w14:paraId="7ED63830">
            <w:pPr>
              <w:pStyle w:val="6"/>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采购标的名称</w:t>
            </w:r>
          </w:p>
        </w:tc>
        <w:tc>
          <w:tcPr>
            <w:tcW w:w="423" w:type="pct"/>
            <w:noWrap w:val="0"/>
            <w:vAlign w:val="center"/>
          </w:tcPr>
          <w:p w14:paraId="78E142BD">
            <w:pPr>
              <w:pStyle w:val="6"/>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数量</w:t>
            </w:r>
          </w:p>
        </w:tc>
        <w:tc>
          <w:tcPr>
            <w:tcW w:w="376" w:type="pct"/>
            <w:noWrap w:val="0"/>
            <w:vAlign w:val="center"/>
          </w:tcPr>
          <w:p w14:paraId="01F09ABE">
            <w:pPr>
              <w:pStyle w:val="6"/>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单位</w:t>
            </w:r>
          </w:p>
        </w:tc>
        <w:tc>
          <w:tcPr>
            <w:tcW w:w="955" w:type="pct"/>
            <w:noWrap w:val="0"/>
            <w:vAlign w:val="center"/>
          </w:tcPr>
          <w:p w14:paraId="61406DCB">
            <w:pPr>
              <w:pStyle w:val="6"/>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所属行业</w:t>
            </w:r>
          </w:p>
        </w:tc>
        <w:tc>
          <w:tcPr>
            <w:tcW w:w="1653" w:type="pct"/>
            <w:noWrap w:val="0"/>
            <w:vAlign w:val="center"/>
          </w:tcPr>
          <w:p w14:paraId="6030C641">
            <w:pPr>
              <w:pStyle w:val="6"/>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要求/备注</w:t>
            </w:r>
          </w:p>
        </w:tc>
      </w:tr>
      <w:tr w14:paraId="343E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7" w:hRule="atLeast"/>
          <w:jc w:val="center"/>
        </w:trPr>
        <w:tc>
          <w:tcPr>
            <w:tcW w:w="382" w:type="pct"/>
            <w:noWrap w:val="0"/>
            <w:vAlign w:val="center"/>
          </w:tcPr>
          <w:p w14:paraId="36AE4C27">
            <w:pPr>
              <w:pStyle w:val="6"/>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08" w:type="pct"/>
            <w:noWrap w:val="0"/>
            <w:vAlign w:val="center"/>
          </w:tcPr>
          <w:p w14:paraId="1A2664AA">
            <w:pPr>
              <w:pStyle w:val="6"/>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4"/>
                <w:szCs w:val="28"/>
                <w:highlight w:val="none"/>
                <w:lang w:eastAsia="zh-CN"/>
              </w:rPr>
            </w:pPr>
            <w:r>
              <w:rPr>
                <w:rFonts w:hint="eastAsia" w:ascii="宋体" w:hAnsi="宋体" w:eastAsia="宋体" w:cs="宋体"/>
                <w:color w:val="auto"/>
                <w:sz w:val="24"/>
                <w:szCs w:val="28"/>
                <w:highlight w:val="none"/>
                <w:lang w:val="en-US" w:eastAsia="zh-CN"/>
              </w:rPr>
              <w:t>走马岭街2026年市政设施维护服务</w:t>
            </w:r>
          </w:p>
        </w:tc>
        <w:tc>
          <w:tcPr>
            <w:tcW w:w="423" w:type="pct"/>
            <w:noWrap w:val="0"/>
            <w:vAlign w:val="center"/>
          </w:tcPr>
          <w:p w14:paraId="118E4735">
            <w:pPr>
              <w:pStyle w:val="6"/>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4"/>
                <w:szCs w:val="28"/>
                <w:highlight w:val="none"/>
                <w:lang w:val="en-US" w:eastAsia="zh-CN"/>
              </w:rPr>
            </w:pPr>
            <w:r>
              <w:rPr>
                <w:rFonts w:hint="eastAsia" w:ascii="宋体" w:hAnsi="宋体" w:eastAsia="宋体" w:cs="宋体"/>
                <w:color w:val="auto"/>
                <w:sz w:val="24"/>
                <w:szCs w:val="28"/>
                <w:highlight w:val="none"/>
                <w:lang w:val="en-US" w:eastAsia="zh-CN"/>
              </w:rPr>
              <w:t>1</w:t>
            </w:r>
          </w:p>
        </w:tc>
        <w:tc>
          <w:tcPr>
            <w:tcW w:w="376" w:type="pct"/>
            <w:noWrap w:val="0"/>
            <w:vAlign w:val="center"/>
          </w:tcPr>
          <w:p w14:paraId="742843BE">
            <w:pPr>
              <w:pStyle w:val="6"/>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4"/>
                <w:szCs w:val="28"/>
                <w:highlight w:val="none"/>
                <w:lang w:eastAsia="zh-CN"/>
              </w:rPr>
            </w:pPr>
            <w:r>
              <w:rPr>
                <w:rFonts w:hint="eastAsia" w:ascii="宋体" w:hAnsi="宋体" w:eastAsia="宋体" w:cs="宋体"/>
                <w:color w:val="auto"/>
                <w:sz w:val="24"/>
                <w:szCs w:val="28"/>
                <w:highlight w:val="none"/>
                <w:lang w:eastAsia="zh-CN"/>
              </w:rPr>
              <w:t>项</w:t>
            </w:r>
          </w:p>
        </w:tc>
        <w:tc>
          <w:tcPr>
            <w:tcW w:w="955" w:type="pct"/>
            <w:noWrap w:val="0"/>
            <w:vAlign w:val="center"/>
          </w:tcPr>
          <w:p w14:paraId="47E28993">
            <w:pPr>
              <w:pStyle w:val="6"/>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4"/>
                <w:szCs w:val="28"/>
                <w:highlight w:val="none"/>
                <w:lang w:val="en-US" w:eastAsia="zh-CN"/>
              </w:rPr>
            </w:pPr>
            <w:r>
              <w:rPr>
                <w:rFonts w:hint="eastAsia" w:ascii="宋体" w:hAnsi="宋体" w:eastAsia="宋体" w:cs="宋体"/>
                <w:color w:val="auto"/>
                <w:sz w:val="24"/>
                <w:szCs w:val="28"/>
                <w:highlight w:val="none"/>
                <w:lang w:val="en-US" w:eastAsia="zh-CN"/>
              </w:rPr>
              <w:t>其他未列明行业</w:t>
            </w:r>
          </w:p>
        </w:tc>
        <w:tc>
          <w:tcPr>
            <w:tcW w:w="1653" w:type="pct"/>
            <w:noWrap w:val="0"/>
            <w:vAlign w:val="center"/>
          </w:tcPr>
          <w:p w14:paraId="1AAAC636">
            <w:pPr>
              <w:pStyle w:val="6"/>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本项目专门面向中小微企 业，投标人应提供中小企业 声明函，大型企业及未提供 中小企业声明函的企业其</w:t>
            </w:r>
            <w:r>
              <w:rPr>
                <w:rFonts w:hint="eastAsia" w:ascii="宋体" w:hAnsi="宋体" w:eastAsia="宋体" w:cs="宋体"/>
                <w:b w:val="0"/>
                <w:bCs w:val="0"/>
                <w:color w:val="000000"/>
                <w:sz w:val="24"/>
                <w:szCs w:val="24"/>
                <w:highlight w:val="none"/>
              </w:rPr>
              <w:t>投标文件将作无效投标处理。监狱企业及残疾人福利性单位视同小型、微型企 业。本项目所称“中小企业” 详见《政府采购促进中小企 业发展管理办法》第二条。</w:t>
            </w:r>
          </w:p>
        </w:tc>
      </w:tr>
      <w:bookmarkEnd w:id="0"/>
      <w:bookmarkEnd w:id="17"/>
      <w:bookmarkEnd w:id="18"/>
    </w:tbl>
    <w:p w14:paraId="54C16F95">
      <w:pPr>
        <w:pStyle w:val="2"/>
        <w:spacing w:before="78" w:line="219" w:lineRule="auto"/>
        <w:ind w:left="12"/>
        <w:outlineLvl w:val="1"/>
        <w:rPr>
          <w:sz w:val="24"/>
          <w:szCs w:val="24"/>
          <w:highlight w:val="none"/>
        </w:rPr>
      </w:pPr>
      <w:bookmarkStart w:id="19" w:name="_Toc18199"/>
      <w:r>
        <w:rPr>
          <w:b/>
          <w:bCs/>
          <w:spacing w:val="-5"/>
          <w:sz w:val="24"/>
          <w:szCs w:val="24"/>
          <w:highlight w:val="none"/>
        </w:rPr>
        <w:t>（</w:t>
      </w:r>
      <w:r>
        <w:rPr>
          <w:rFonts w:hint="eastAsia"/>
          <w:b/>
          <w:bCs/>
          <w:spacing w:val="-5"/>
          <w:sz w:val="24"/>
          <w:szCs w:val="24"/>
          <w:highlight w:val="none"/>
          <w:lang w:val="en-US" w:eastAsia="zh-CN"/>
        </w:rPr>
        <w:t>二</w:t>
      </w:r>
      <w:r>
        <w:rPr>
          <w:b/>
          <w:bCs/>
          <w:spacing w:val="-5"/>
          <w:sz w:val="24"/>
          <w:szCs w:val="24"/>
          <w:highlight w:val="none"/>
        </w:rPr>
        <w:t>）项目概况</w:t>
      </w:r>
      <w:bookmarkEnd w:id="19"/>
    </w:p>
    <w:p w14:paraId="383E2053">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1.项目名称：</w:t>
      </w:r>
      <w:r>
        <w:rPr>
          <w:rFonts w:hint="eastAsia" w:ascii="宋体" w:hAnsi="宋体" w:eastAsia="宋体" w:cs="宋体"/>
          <w:b w:val="0"/>
          <w:bCs w:val="0"/>
          <w:kern w:val="2"/>
          <w:sz w:val="24"/>
          <w:szCs w:val="24"/>
          <w:highlight w:val="none"/>
          <w:lang w:val="en-US" w:eastAsia="zh-CN" w:bidi="ar-SA"/>
        </w:rPr>
        <w:t>走马岭街2026年市政设施维护服务</w:t>
      </w:r>
    </w:p>
    <w:p w14:paraId="637C95BC">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2.服务期：合同期限1年，</w:t>
      </w:r>
      <w:r>
        <w:rPr>
          <w:rFonts w:hint="eastAsia" w:ascii="宋体" w:hAnsi="宋体" w:eastAsia="宋体" w:cs="宋体"/>
          <w:b w:val="0"/>
          <w:bCs w:val="0"/>
          <w:kern w:val="2"/>
          <w:sz w:val="24"/>
          <w:szCs w:val="24"/>
          <w:highlight w:val="none"/>
          <w:lang w:val="en-US" w:eastAsia="zh-CN" w:bidi="ar-SA"/>
        </w:rPr>
        <w:t>服</w:t>
      </w:r>
      <w:r>
        <w:rPr>
          <w:rFonts w:hint="eastAsia" w:ascii="宋体" w:hAnsi="宋体" w:eastAsia="宋体" w:cs="宋体"/>
          <w:b w:val="0"/>
          <w:bCs w:val="0"/>
          <w:kern w:val="2"/>
          <w:sz w:val="24"/>
          <w:szCs w:val="24"/>
          <w:highlight w:val="none"/>
          <w:lang w:val="zh-CN" w:eastAsia="zh-CN" w:bidi="ar-SA"/>
        </w:rPr>
        <w:t>务期满后采购人可根据预算安排及考核情况决定是否续签下一年度合同，最多续签两次。</w:t>
      </w:r>
    </w:p>
    <w:p w14:paraId="2969959D">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3.预算金额：167万元</w:t>
      </w:r>
      <w:r>
        <w:rPr>
          <w:rFonts w:hint="eastAsia" w:ascii="宋体" w:hAnsi="宋体" w:cs="宋体"/>
          <w:b w:val="0"/>
          <w:bCs w:val="0"/>
          <w:kern w:val="2"/>
          <w:sz w:val="24"/>
          <w:szCs w:val="24"/>
          <w:highlight w:val="none"/>
          <w:lang w:val="en-US" w:eastAsia="zh-CN" w:bidi="ar-SA"/>
        </w:rPr>
        <w:t>，预算控制最高价165.33万元。</w:t>
      </w:r>
    </w:p>
    <w:p w14:paraId="41A0D492">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4.付款方式：</w:t>
      </w:r>
    </w:p>
    <w:p w14:paraId="1E0C337C">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4.1. 预付款（3</w:t>
      </w:r>
      <w:r>
        <w:rPr>
          <w:rFonts w:hint="eastAsia" w:ascii="宋体" w:hAnsi="宋体" w:cs="宋体"/>
          <w:b w:val="0"/>
          <w:bCs w:val="0"/>
          <w:kern w:val="2"/>
          <w:sz w:val="24"/>
          <w:szCs w:val="24"/>
          <w:highlight w:val="none"/>
          <w:lang w:val="en-US" w:eastAsia="zh-CN" w:bidi="ar-SA"/>
        </w:rPr>
        <w:t>5</w:t>
      </w:r>
      <w:r>
        <w:rPr>
          <w:rFonts w:hint="eastAsia" w:ascii="宋体" w:hAnsi="宋体" w:eastAsia="宋体" w:cs="宋体"/>
          <w:b w:val="0"/>
          <w:bCs w:val="0"/>
          <w:kern w:val="2"/>
          <w:sz w:val="24"/>
          <w:szCs w:val="24"/>
          <w:highlight w:val="none"/>
          <w:lang w:val="en-US" w:eastAsia="zh-CN" w:bidi="ar-SA"/>
        </w:rPr>
        <w:t>%） 金额：*万元 × 3</w:t>
      </w:r>
      <w:r>
        <w:rPr>
          <w:rFonts w:hint="eastAsia" w:ascii="宋体" w:hAnsi="宋体" w:cs="宋体"/>
          <w:b w:val="0"/>
          <w:bCs w:val="0"/>
          <w:kern w:val="2"/>
          <w:sz w:val="24"/>
          <w:szCs w:val="24"/>
          <w:highlight w:val="none"/>
          <w:lang w:val="en-US" w:eastAsia="zh-CN" w:bidi="ar-SA"/>
        </w:rPr>
        <w:t>5</w:t>
      </w:r>
      <w:r>
        <w:rPr>
          <w:rFonts w:hint="eastAsia" w:ascii="宋体" w:hAnsi="宋体" w:eastAsia="宋体" w:cs="宋体"/>
          <w:b w:val="0"/>
          <w:bCs w:val="0"/>
          <w:kern w:val="2"/>
          <w:sz w:val="24"/>
          <w:szCs w:val="24"/>
          <w:highlight w:val="none"/>
          <w:lang w:val="en-US" w:eastAsia="zh-CN" w:bidi="ar-SA"/>
        </w:rPr>
        <w:t xml:space="preserve">% </w:t>
      </w:r>
    </w:p>
    <w:p w14:paraId="5E33B59D">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支付条件：合同签订后，供应商人员、设备进场，采购人凭发票一次性支付。</w:t>
      </w:r>
    </w:p>
    <w:p w14:paraId="0E602D65">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4.2. 进度款（</w:t>
      </w:r>
      <w:r>
        <w:rPr>
          <w:rFonts w:hint="eastAsia" w:ascii="宋体" w:hAnsi="宋体" w:cs="宋体"/>
          <w:b w:val="0"/>
          <w:bCs w:val="0"/>
          <w:kern w:val="2"/>
          <w:sz w:val="24"/>
          <w:szCs w:val="24"/>
          <w:highlight w:val="none"/>
          <w:lang w:val="en-US" w:eastAsia="zh-CN" w:bidi="ar-SA"/>
        </w:rPr>
        <w:t>55</w:t>
      </w:r>
      <w:r>
        <w:rPr>
          <w:rFonts w:hint="eastAsia" w:ascii="宋体" w:hAnsi="宋体" w:eastAsia="宋体" w:cs="宋体"/>
          <w:b w:val="0"/>
          <w:bCs w:val="0"/>
          <w:kern w:val="2"/>
          <w:sz w:val="24"/>
          <w:szCs w:val="24"/>
          <w:highlight w:val="none"/>
          <w:lang w:val="en-US" w:eastAsia="zh-CN" w:bidi="ar-SA"/>
        </w:rPr>
        <w:t xml:space="preserve">%） 金额：*万元 × </w:t>
      </w:r>
      <w:r>
        <w:rPr>
          <w:rFonts w:hint="eastAsia" w:ascii="宋体" w:hAnsi="宋体" w:cs="宋体"/>
          <w:b w:val="0"/>
          <w:bCs w:val="0"/>
          <w:kern w:val="2"/>
          <w:sz w:val="24"/>
          <w:szCs w:val="24"/>
          <w:highlight w:val="none"/>
          <w:lang w:val="en-US" w:eastAsia="zh-CN" w:bidi="ar-SA"/>
        </w:rPr>
        <w:t>55</w:t>
      </w:r>
      <w:r>
        <w:rPr>
          <w:rFonts w:hint="eastAsia" w:ascii="宋体" w:hAnsi="宋体" w:eastAsia="宋体" w:cs="宋体"/>
          <w:b w:val="0"/>
          <w:bCs w:val="0"/>
          <w:kern w:val="2"/>
          <w:sz w:val="24"/>
          <w:szCs w:val="24"/>
          <w:highlight w:val="none"/>
          <w:lang w:val="en-US" w:eastAsia="zh-CN" w:bidi="ar-SA"/>
        </w:rPr>
        <w:t xml:space="preserve">% </w:t>
      </w:r>
    </w:p>
    <w:p w14:paraId="0B1C715C">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支付节点：第10个月底考核通过后，第11个月初支付进度款（以巡检记录、维修记录等为依据）。</w:t>
      </w:r>
    </w:p>
    <w:p w14:paraId="5A299911">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提交材料：第1-10个月服务进度相关资料及采购人签字的《考核评分表》，开具对应发票。</w:t>
      </w:r>
    </w:p>
    <w:p w14:paraId="7B31C5AF">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 xml:space="preserve">4.3. 尾款（10%） 金额：*万元 × 10% </w:t>
      </w:r>
    </w:p>
    <w:p w14:paraId="594DD6EF">
      <w:pPr>
        <w:pStyle w:val="2"/>
        <w:spacing w:before="173" w:line="221" w:lineRule="auto"/>
        <w:rPr>
          <w:rFonts w:hint="eastAsia" w:ascii="宋体" w:hAnsi="宋体" w:eastAsia="宋体" w:cs="宋体"/>
          <w:b w:val="0"/>
          <w:bCs w:val="0"/>
          <w:kern w:val="2"/>
          <w:sz w:val="24"/>
          <w:szCs w:val="24"/>
          <w:highlight w:val="none"/>
          <w:lang w:val="en-US" w:eastAsia="zh-CN" w:bidi="ar-SA"/>
        </w:rPr>
      </w:pPr>
    </w:p>
    <w:p w14:paraId="78B85927">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支付节点：第12个月综合考核支付尾款，四项工作基本全部完成，提交采购人签字的《完工服务验收单》（含泵站运行数据、疏通记录、双方签字确认的电费汇总表等），且通过综合考核。</w:t>
      </w:r>
    </w:p>
    <w:p w14:paraId="68FDF3E3">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提交材料：第11-12个月服务进度相关资料及采购人签字的《考核评分表》，开具对应发票及考核评分表。</w:t>
      </w:r>
    </w:p>
    <w:p w14:paraId="0352137C">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 xml:space="preserve">付款关联：  </w:t>
      </w:r>
    </w:p>
    <w:p w14:paraId="4EE9A2D1">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 xml:space="preserve">1. 综合评分≥80分：全额支付尾款*万元；  </w:t>
      </w:r>
    </w:p>
    <w:p w14:paraId="6205A150">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 xml:space="preserve">2. 60-79分：按（得分/100）×*万元支付；  </w:t>
      </w:r>
    </w:p>
    <w:p w14:paraId="6FA16A0C">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 xml:space="preserve">3. ＜60分：不予支付尾款，采购人有权终止合同。  </w:t>
      </w:r>
    </w:p>
    <w:p w14:paraId="48A12BAC">
      <w:pPr>
        <w:pStyle w:val="2"/>
        <w:spacing w:before="173" w:line="221" w:lineRule="auto"/>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（注：年度综合评分依据《考核评分表》计算，满分100分）</w:t>
      </w:r>
    </w:p>
    <w:p w14:paraId="74586E11">
      <w:pPr>
        <w:pStyle w:val="2"/>
        <w:spacing w:before="1" w:line="218" w:lineRule="auto"/>
        <w:ind w:left="12"/>
        <w:outlineLvl w:val="1"/>
        <w:rPr>
          <w:sz w:val="24"/>
          <w:szCs w:val="24"/>
          <w:highlight w:val="none"/>
        </w:rPr>
      </w:pPr>
      <w:bookmarkStart w:id="20" w:name="_Toc7489"/>
      <w:r>
        <w:rPr>
          <w:b/>
          <w:bCs/>
          <w:spacing w:val="-5"/>
          <w:sz w:val="24"/>
          <w:szCs w:val="24"/>
          <w:highlight w:val="none"/>
        </w:rPr>
        <w:t>（</w:t>
      </w:r>
      <w:r>
        <w:rPr>
          <w:rFonts w:hint="eastAsia"/>
          <w:b/>
          <w:bCs/>
          <w:spacing w:val="-5"/>
          <w:sz w:val="24"/>
          <w:szCs w:val="24"/>
          <w:highlight w:val="none"/>
          <w:lang w:val="en-US" w:eastAsia="zh-CN"/>
        </w:rPr>
        <w:t>三</w:t>
      </w:r>
      <w:r>
        <w:rPr>
          <w:b/>
          <w:bCs/>
          <w:spacing w:val="-5"/>
          <w:sz w:val="24"/>
          <w:szCs w:val="24"/>
          <w:highlight w:val="none"/>
        </w:rPr>
        <w:t>）采购内容</w:t>
      </w:r>
      <w:bookmarkEnd w:id="20"/>
    </w:p>
    <w:p w14:paraId="158758CF">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（1）涵洞泵站管理,包括街道负责管养的涵洞泵站日常巡检、小型维修、值守保养以及承担电费支出等；</w:t>
      </w:r>
    </w:p>
    <w:p w14:paraId="04B185FD">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（2）公共设施维护,包括全街11个社区的填埋废弃井、维修与更换井盖、市政道路旁的花坛维修、维修阻车桩和站石,以及配合占道设施整治等；</w:t>
      </w:r>
    </w:p>
    <w:p w14:paraId="4F787F65">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（3）下水道疏通和抽污,针对全街11个社区的下水道,定期或应急性开展疏通与抽污作业；</w:t>
      </w:r>
    </w:p>
    <w:p w14:paraId="1ED34882">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（4）道路应急小修,对街道负责管养的道路（除农村公路与农业生产路外）出现的各类突发损坏情况,及时进行小修养护；</w:t>
      </w:r>
    </w:p>
    <w:p w14:paraId="5C3C3713">
      <w:pPr>
        <w:pStyle w:val="2"/>
        <w:spacing w:before="173" w:line="221" w:lineRule="auto"/>
        <w:rPr>
          <w:rFonts w:hint="eastAsia" w:ascii="宋体" w:hAnsi="宋体" w:eastAsia="宋体" w:cs="宋体"/>
          <w:b w:val="0"/>
          <w:bCs w:val="0"/>
          <w:kern w:val="2"/>
          <w:sz w:val="24"/>
          <w:szCs w:val="24"/>
          <w:highlight w:val="none"/>
          <w:lang w:val="en-US" w:eastAsia="zh-CN" w:bidi="ar-SA"/>
        </w:rPr>
        <w:sectPr>
          <w:pgSz w:w="11906" w:h="16838"/>
          <w:pgMar w:top="1440" w:right="1800" w:bottom="1440" w:left="1800" w:header="851" w:footer="992" w:gutter="0"/>
          <w:cols w:space="720" w:num="1"/>
          <w:docGrid w:type="lines" w:linePitch="312" w:charSpace="0"/>
        </w:sectPr>
      </w:pPr>
      <w:r>
        <w:rPr>
          <w:rFonts w:hint="eastAsia" w:ascii="宋体" w:hAnsi="宋体" w:eastAsia="宋体" w:cs="宋体"/>
          <w:b w:val="0"/>
          <w:bCs w:val="0"/>
          <w:kern w:val="2"/>
          <w:sz w:val="24"/>
          <w:szCs w:val="24"/>
          <w:highlight w:val="none"/>
          <w:lang w:val="zh-CN" w:eastAsia="zh-CN" w:bidi="ar-SA"/>
        </w:rPr>
        <w:t>（</w:t>
      </w:r>
      <w:r>
        <w:rPr>
          <w:rFonts w:hint="eastAsia" w:ascii="宋体" w:hAnsi="宋体" w:eastAsia="宋体" w:cs="宋体"/>
          <w:b w:val="0"/>
          <w:bCs w:val="0"/>
          <w:kern w:val="2"/>
          <w:sz w:val="24"/>
          <w:szCs w:val="24"/>
          <w:highlight w:val="none"/>
          <w:lang w:val="en-US" w:eastAsia="zh-CN" w:bidi="ar-SA"/>
        </w:rPr>
        <w:t>5</w:t>
      </w:r>
      <w:r>
        <w:rPr>
          <w:rFonts w:hint="eastAsia" w:ascii="宋体" w:hAnsi="宋体" w:eastAsia="宋体" w:cs="宋体"/>
          <w:b w:val="0"/>
          <w:bCs w:val="0"/>
          <w:kern w:val="2"/>
          <w:sz w:val="24"/>
          <w:szCs w:val="24"/>
          <w:highlight w:val="none"/>
          <w:lang w:val="zh-CN" w:eastAsia="zh-CN" w:bidi="ar-SA"/>
        </w:rPr>
        <w:t>）</w:t>
      </w:r>
      <w:r>
        <w:rPr>
          <w:rFonts w:hint="eastAsia" w:ascii="宋体" w:hAnsi="宋体" w:eastAsia="宋体" w:cs="宋体"/>
          <w:b w:val="0"/>
          <w:bCs w:val="0"/>
          <w:kern w:val="2"/>
          <w:sz w:val="24"/>
          <w:szCs w:val="24"/>
          <w:highlight w:val="none"/>
          <w:lang w:val="en-US" w:eastAsia="zh-CN" w:bidi="ar-SA"/>
        </w:rPr>
        <w:t>服务工作</w:t>
      </w:r>
    </w:p>
    <w:tbl>
      <w:tblPr>
        <w:tblStyle w:val="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
        <w:gridCol w:w="798"/>
        <w:gridCol w:w="2068"/>
        <w:gridCol w:w="6219"/>
        <w:gridCol w:w="3451"/>
        <w:gridCol w:w="1210"/>
      </w:tblGrid>
      <w:tr w14:paraId="510B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47" w:type="pct"/>
            <w:noWrap w:val="0"/>
            <w:vAlign w:val="center"/>
          </w:tcPr>
          <w:p w14:paraId="44008D91">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宋体" w:eastAsia="黑体" w:cs="黑体"/>
                <w:b/>
                <w:i w:val="0"/>
                <w:iCs w:val="0"/>
                <w:snapToGrid w:val="0"/>
                <w:color w:val="000000"/>
                <w:kern w:val="0"/>
                <w:sz w:val="20"/>
                <w:szCs w:val="20"/>
                <w:u w:val="none"/>
                <w:lang w:val="en-US" w:eastAsia="zh-CN" w:bidi="ar-SA"/>
              </w:rPr>
            </w:pPr>
            <w:r>
              <w:rPr>
                <w:rFonts w:hint="eastAsia" w:ascii="黑体" w:hAnsi="宋体" w:eastAsia="黑体" w:cs="黑体"/>
                <w:b/>
                <w:i w:val="0"/>
                <w:iCs w:val="0"/>
                <w:snapToGrid w:val="0"/>
                <w:color w:val="000000"/>
                <w:kern w:val="0"/>
                <w:sz w:val="20"/>
                <w:szCs w:val="20"/>
                <w:u w:val="none"/>
                <w:lang w:val="en-US" w:eastAsia="zh-CN" w:bidi="ar"/>
              </w:rPr>
              <w:t>序号</w:t>
            </w:r>
          </w:p>
        </w:tc>
        <w:tc>
          <w:tcPr>
            <w:tcW w:w="282" w:type="pct"/>
            <w:noWrap w:val="0"/>
            <w:vAlign w:val="center"/>
          </w:tcPr>
          <w:p w14:paraId="7A7F4393">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宋体" w:eastAsia="黑体" w:cs="黑体"/>
                <w:b/>
                <w:i w:val="0"/>
                <w:iCs w:val="0"/>
                <w:snapToGrid w:val="0"/>
                <w:color w:val="000000"/>
                <w:kern w:val="0"/>
                <w:sz w:val="20"/>
                <w:szCs w:val="20"/>
                <w:u w:val="none"/>
                <w:lang w:val="en-US" w:eastAsia="zh-CN" w:bidi="ar-SA"/>
              </w:rPr>
            </w:pPr>
            <w:r>
              <w:rPr>
                <w:rFonts w:hint="eastAsia" w:ascii="黑体" w:hAnsi="宋体" w:eastAsia="黑体" w:cs="黑体"/>
                <w:b/>
                <w:i w:val="0"/>
                <w:iCs w:val="0"/>
                <w:snapToGrid w:val="0"/>
                <w:color w:val="000000"/>
                <w:kern w:val="0"/>
                <w:sz w:val="20"/>
                <w:szCs w:val="20"/>
                <w:u w:val="none"/>
                <w:lang w:val="en-US" w:eastAsia="zh-CN" w:bidi="ar"/>
              </w:rPr>
              <w:t>工作项目</w:t>
            </w:r>
          </w:p>
        </w:tc>
        <w:tc>
          <w:tcPr>
            <w:tcW w:w="2925" w:type="pct"/>
            <w:gridSpan w:val="2"/>
            <w:noWrap w:val="0"/>
            <w:vAlign w:val="center"/>
          </w:tcPr>
          <w:p w14:paraId="6EDB15A2">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仿宋" w:eastAsia="黑体" w:cs="仿宋"/>
                <w:b/>
                <w:snapToGrid w:val="0"/>
                <w:color w:val="000000"/>
                <w:spacing w:val="5"/>
                <w:kern w:val="0"/>
                <w:sz w:val="20"/>
                <w:szCs w:val="21"/>
                <w:vertAlign w:val="baseline"/>
                <w:lang w:val="en-US" w:eastAsia="zh-CN" w:bidi="ar-SA"/>
              </w:rPr>
            </w:pPr>
            <w:r>
              <w:rPr>
                <w:rFonts w:hint="eastAsia" w:ascii="黑体" w:hAnsi="宋体" w:eastAsia="黑体" w:cs="黑体"/>
                <w:b/>
                <w:i w:val="0"/>
                <w:iCs w:val="0"/>
                <w:snapToGrid w:val="0"/>
                <w:color w:val="000000"/>
                <w:kern w:val="0"/>
                <w:sz w:val="20"/>
                <w:szCs w:val="20"/>
                <w:u w:val="none"/>
                <w:lang w:val="en-US" w:eastAsia="zh-CN" w:bidi="ar"/>
              </w:rPr>
              <w:t>具体工作内容</w:t>
            </w:r>
          </w:p>
        </w:tc>
        <w:tc>
          <w:tcPr>
            <w:tcW w:w="1217" w:type="pct"/>
            <w:noWrap w:val="0"/>
            <w:vAlign w:val="center"/>
          </w:tcPr>
          <w:p w14:paraId="33CCAE4B">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宋体" w:eastAsia="黑体" w:cs="黑体"/>
                <w:b/>
                <w:i w:val="0"/>
                <w:iCs w:val="0"/>
                <w:snapToGrid w:val="0"/>
                <w:color w:val="000000"/>
                <w:kern w:val="0"/>
                <w:sz w:val="20"/>
                <w:szCs w:val="20"/>
                <w:u w:val="none"/>
                <w:lang w:val="en-US" w:eastAsia="zh-CN" w:bidi="ar-SA"/>
              </w:rPr>
            </w:pPr>
            <w:r>
              <w:rPr>
                <w:rFonts w:hint="eastAsia" w:ascii="黑体" w:hAnsi="宋体" w:eastAsia="黑体" w:cs="黑体"/>
                <w:b/>
                <w:i w:val="0"/>
                <w:iCs w:val="0"/>
                <w:snapToGrid w:val="0"/>
                <w:color w:val="000000"/>
                <w:kern w:val="0"/>
                <w:sz w:val="20"/>
                <w:szCs w:val="20"/>
                <w:u w:val="none"/>
                <w:lang w:val="en-US" w:eastAsia="zh-CN" w:bidi="ar"/>
              </w:rPr>
              <w:t>具体点位</w:t>
            </w:r>
          </w:p>
        </w:tc>
        <w:tc>
          <w:tcPr>
            <w:tcW w:w="427" w:type="pct"/>
            <w:noWrap w:val="0"/>
            <w:vAlign w:val="center"/>
          </w:tcPr>
          <w:p w14:paraId="526E35D2">
            <w:pPr>
              <w:keepNext w:val="0"/>
              <w:keepLines w:val="0"/>
              <w:pageBreakBefore w:val="0"/>
              <w:widowControl w:val="0"/>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黑体" w:hAnsi="宋体" w:eastAsia="黑体" w:cs="黑体"/>
                <w:b/>
                <w:i w:val="0"/>
                <w:iCs w:val="0"/>
                <w:snapToGrid w:val="0"/>
                <w:color w:val="000000"/>
                <w:kern w:val="0"/>
                <w:sz w:val="20"/>
                <w:szCs w:val="20"/>
                <w:u w:val="none"/>
                <w:lang w:val="en-US" w:eastAsia="zh-CN" w:bidi="ar"/>
              </w:rPr>
            </w:pPr>
            <w:r>
              <w:rPr>
                <w:rFonts w:hint="eastAsia" w:ascii="黑体" w:eastAsia="黑体" w:cs="黑体"/>
                <w:b/>
                <w:i w:val="0"/>
                <w:iCs w:val="0"/>
                <w:snapToGrid w:val="0"/>
                <w:color w:val="000000"/>
                <w:kern w:val="0"/>
                <w:sz w:val="20"/>
                <w:szCs w:val="20"/>
                <w:u w:val="none"/>
                <w:lang w:val="en-US" w:eastAsia="zh-CN" w:bidi="ar"/>
              </w:rPr>
              <w:t>预算金额（万元）</w:t>
            </w:r>
          </w:p>
        </w:tc>
      </w:tr>
      <w:tr w14:paraId="5EFE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 w:type="pct"/>
            <w:vMerge w:val="restart"/>
            <w:noWrap w:val="0"/>
            <w:vAlign w:val="center"/>
          </w:tcPr>
          <w:p w14:paraId="2E278D0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eastAsia" w:ascii="仿宋" w:hAnsi="仿宋" w:eastAsia="仿宋" w:cs="仿宋"/>
                <w:snapToGrid w:val="0"/>
                <w:color w:val="000000"/>
                <w:spacing w:val="5"/>
                <w:kern w:val="0"/>
                <w:sz w:val="21"/>
                <w:szCs w:val="21"/>
                <w:highlight w:val="none"/>
                <w:vertAlign w:val="baseline"/>
                <w:lang w:val="en-US" w:eastAsia="zh-CN" w:bidi="ar-SA"/>
              </w:rPr>
              <w:t>1</w:t>
            </w:r>
          </w:p>
        </w:tc>
        <w:tc>
          <w:tcPr>
            <w:tcW w:w="282" w:type="pct"/>
            <w:vMerge w:val="restart"/>
            <w:noWrap w:val="0"/>
            <w:vAlign w:val="center"/>
          </w:tcPr>
          <w:p w14:paraId="5751F55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default" w:ascii="仿宋" w:hAnsi="仿宋" w:eastAsia="仿宋" w:cs="仿宋"/>
                <w:snapToGrid w:val="0"/>
                <w:color w:val="000000"/>
                <w:spacing w:val="5"/>
                <w:kern w:val="0"/>
                <w:sz w:val="21"/>
                <w:szCs w:val="21"/>
                <w:highlight w:val="none"/>
                <w:vertAlign w:val="baseline"/>
                <w:lang w:val="en-US" w:eastAsia="zh-CN" w:bidi="ar-SA"/>
              </w:rPr>
              <w:t>涵洞泵站管理</w:t>
            </w:r>
          </w:p>
        </w:tc>
        <w:tc>
          <w:tcPr>
            <w:tcW w:w="730" w:type="pct"/>
            <w:noWrap w:val="0"/>
            <w:vAlign w:val="center"/>
          </w:tcPr>
          <w:p w14:paraId="5970D16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default" w:ascii="仿宋" w:hAnsi="仿宋" w:eastAsia="仿宋" w:cs="仿宋"/>
                <w:snapToGrid w:val="0"/>
                <w:color w:val="000000"/>
                <w:spacing w:val="5"/>
                <w:kern w:val="0"/>
                <w:sz w:val="21"/>
                <w:szCs w:val="21"/>
                <w:highlight w:val="none"/>
                <w:vertAlign w:val="baseline"/>
                <w:lang w:val="en-US" w:eastAsia="zh-CN" w:bidi="ar-SA"/>
              </w:rPr>
              <w:t>日常巡检</w:t>
            </w:r>
          </w:p>
        </w:tc>
        <w:tc>
          <w:tcPr>
            <w:tcW w:w="2195" w:type="pct"/>
            <w:noWrap w:val="0"/>
            <w:vAlign w:val="center"/>
          </w:tcPr>
          <w:p w14:paraId="72070EB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default" w:ascii="仿宋" w:hAnsi="仿宋" w:eastAsia="仿宋" w:cs="仿宋"/>
                <w:snapToGrid w:val="0"/>
                <w:color w:val="000000"/>
                <w:spacing w:val="5"/>
                <w:kern w:val="0"/>
                <w:sz w:val="21"/>
                <w:szCs w:val="21"/>
                <w:highlight w:val="none"/>
                <w:vertAlign w:val="baseline"/>
                <w:lang w:val="en-US" w:eastAsia="zh-CN" w:bidi="ar-SA"/>
              </w:rPr>
              <w:t>涵洞供电是否正常、水泵是否正常运行、蓄水池是否有杂物；监控设施是否正常</w:t>
            </w:r>
          </w:p>
        </w:tc>
        <w:tc>
          <w:tcPr>
            <w:tcW w:w="1217" w:type="pct"/>
            <w:vMerge w:val="restart"/>
            <w:noWrap w:val="0"/>
            <w:vAlign w:val="center"/>
          </w:tcPr>
          <w:p w14:paraId="56E07BC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eastAsia" w:ascii="仿宋" w:hAnsi="仿宋" w:eastAsia="仿宋" w:cs="仿宋"/>
                <w:snapToGrid w:val="0"/>
                <w:color w:val="000000"/>
                <w:spacing w:val="5"/>
                <w:kern w:val="0"/>
                <w:sz w:val="21"/>
                <w:szCs w:val="21"/>
                <w:highlight w:val="none"/>
                <w:vertAlign w:val="baseline"/>
                <w:lang w:val="en-US" w:eastAsia="zh-CN" w:bidi="ar-SA"/>
              </w:rPr>
              <w:t>街道负责管养的涵洞泵站</w:t>
            </w:r>
          </w:p>
        </w:tc>
        <w:tc>
          <w:tcPr>
            <w:tcW w:w="427" w:type="pct"/>
            <w:vMerge w:val="restart"/>
            <w:noWrap w:val="0"/>
            <w:vAlign w:val="center"/>
          </w:tcPr>
          <w:p w14:paraId="7A951F6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eastAsia" w:ascii="仿宋" w:hAnsi="仿宋" w:eastAsia="仿宋" w:cs="仿宋"/>
                <w:snapToGrid w:val="0"/>
                <w:color w:val="000000"/>
                <w:spacing w:val="5"/>
                <w:kern w:val="0"/>
                <w:sz w:val="21"/>
                <w:szCs w:val="21"/>
                <w:highlight w:val="none"/>
                <w:vertAlign w:val="baseline"/>
                <w:lang w:val="en-US" w:eastAsia="zh-CN" w:bidi="ar-SA"/>
              </w:rPr>
              <w:t>56</w:t>
            </w:r>
          </w:p>
        </w:tc>
      </w:tr>
      <w:tr w14:paraId="41B4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 w:type="pct"/>
            <w:vMerge w:val="continue"/>
            <w:noWrap w:val="0"/>
            <w:vAlign w:val="center"/>
          </w:tcPr>
          <w:p w14:paraId="6279038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p>
        </w:tc>
        <w:tc>
          <w:tcPr>
            <w:tcW w:w="282" w:type="pct"/>
            <w:vMerge w:val="continue"/>
            <w:noWrap w:val="0"/>
            <w:vAlign w:val="center"/>
          </w:tcPr>
          <w:p w14:paraId="522F53C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p>
        </w:tc>
        <w:tc>
          <w:tcPr>
            <w:tcW w:w="730" w:type="pct"/>
            <w:noWrap w:val="0"/>
            <w:vAlign w:val="center"/>
          </w:tcPr>
          <w:p w14:paraId="63F4136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小型维修</w:t>
            </w:r>
          </w:p>
        </w:tc>
        <w:tc>
          <w:tcPr>
            <w:tcW w:w="2195" w:type="pct"/>
            <w:noWrap w:val="0"/>
            <w:vAlign w:val="center"/>
          </w:tcPr>
          <w:p w14:paraId="2758815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机电设备小修：水泵、控制柜、配电箱；</w:t>
            </w:r>
          </w:p>
          <w:p w14:paraId="578565C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管路及阀门小修：泵房地面、墙面、门窗小面积修补，粉刷，更换小五金；</w:t>
            </w:r>
          </w:p>
          <w:p w14:paraId="19DB037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排水沟、集水井：清淤、疏通。</w:t>
            </w:r>
          </w:p>
        </w:tc>
        <w:tc>
          <w:tcPr>
            <w:tcW w:w="1217" w:type="pct"/>
            <w:vMerge w:val="continue"/>
            <w:noWrap w:val="0"/>
            <w:vAlign w:val="center"/>
          </w:tcPr>
          <w:p w14:paraId="0D60D2B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p>
        </w:tc>
        <w:tc>
          <w:tcPr>
            <w:tcW w:w="427" w:type="pct"/>
            <w:vMerge w:val="continue"/>
            <w:noWrap w:val="0"/>
            <w:vAlign w:val="center"/>
          </w:tcPr>
          <w:p w14:paraId="1406AFB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p>
        </w:tc>
      </w:tr>
      <w:tr w14:paraId="5302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 w:type="pct"/>
            <w:vMerge w:val="continue"/>
            <w:noWrap w:val="0"/>
            <w:vAlign w:val="center"/>
          </w:tcPr>
          <w:p w14:paraId="7CB64B8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p>
        </w:tc>
        <w:tc>
          <w:tcPr>
            <w:tcW w:w="282" w:type="pct"/>
            <w:vMerge w:val="continue"/>
            <w:noWrap w:val="0"/>
            <w:vAlign w:val="center"/>
          </w:tcPr>
          <w:p w14:paraId="1F69449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p>
        </w:tc>
        <w:tc>
          <w:tcPr>
            <w:tcW w:w="730" w:type="pct"/>
            <w:noWrap w:val="0"/>
            <w:vAlign w:val="center"/>
          </w:tcPr>
          <w:p w14:paraId="459BF61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值守保养</w:t>
            </w:r>
          </w:p>
        </w:tc>
        <w:tc>
          <w:tcPr>
            <w:tcW w:w="2195" w:type="pct"/>
            <w:noWrap w:val="0"/>
            <w:vAlign w:val="center"/>
          </w:tcPr>
          <w:p w14:paraId="4489685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设备定期保养，机房卫生、杂物清理。</w:t>
            </w:r>
          </w:p>
        </w:tc>
        <w:tc>
          <w:tcPr>
            <w:tcW w:w="1217" w:type="pct"/>
            <w:vMerge w:val="continue"/>
            <w:noWrap w:val="0"/>
            <w:vAlign w:val="center"/>
          </w:tcPr>
          <w:p w14:paraId="5E05C7F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p>
        </w:tc>
        <w:tc>
          <w:tcPr>
            <w:tcW w:w="427" w:type="pct"/>
            <w:vMerge w:val="continue"/>
            <w:noWrap w:val="0"/>
            <w:vAlign w:val="center"/>
          </w:tcPr>
          <w:p w14:paraId="28573D9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p>
        </w:tc>
      </w:tr>
      <w:tr w14:paraId="0586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 w:type="pct"/>
            <w:vMerge w:val="continue"/>
            <w:noWrap w:val="0"/>
            <w:vAlign w:val="center"/>
          </w:tcPr>
          <w:p w14:paraId="1409B15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p>
        </w:tc>
        <w:tc>
          <w:tcPr>
            <w:tcW w:w="282" w:type="pct"/>
            <w:vMerge w:val="continue"/>
            <w:noWrap w:val="0"/>
            <w:vAlign w:val="center"/>
          </w:tcPr>
          <w:p w14:paraId="6FCB262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p>
        </w:tc>
        <w:tc>
          <w:tcPr>
            <w:tcW w:w="730" w:type="pct"/>
            <w:noWrap w:val="0"/>
            <w:vAlign w:val="center"/>
          </w:tcPr>
          <w:p w14:paraId="5FED1FF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电费支出</w:t>
            </w:r>
          </w:p>
        </w:tc>
        <w:tc>
          <w:tcPr>
            <w:tcW w:w="2195" w:type="pct"/>
            <w:noWrap w:val="0"/>
            <w:vAlign w:val="center"/>
          </w:tcPr>
          <w:p w14:paraId="0AE909FE">
            <w:pPr>
              <w:keepNext w:val="0"/>
              <w:keepLines w:val="0"/>
              <w:pageBreakBefore w:val="0"/>
              <w:widowControl w:val="0"/>
              <w:tabs>
                <w:tab w:val="left" w:pos="1079"/>
              </w:tabs>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r>
              <w:rPr>
                <w:rFonts w:hint="eastAsia" w:ascii="仿宋" w:hAnsi="仿宋" w:eastAsia="仿宋" w:cs="仿宋"/>
                <w:snapToGrid w:val="0"/>
                <w:color w:val="000000"/>
                <w:spacing w:val="5"/>
                <w:kern w:val="0"/>
                <w:sz w:val="21"/>
                <w:szCs w:val="21"/>
                <w:vertAlign w:val="baseline"/>
                <w:lang w:val="en-US" w:eastAsia="zh-CN" w:bidi="ar-SA"/>
              </w:rPr>
              <w:t>涵洞电费</w:t>
            </w:r>
          </w:p>
        </w:tc>
        <w:tc>
          <w:tcPr>
            <w:tcW w:w="1217" w:type="pct"/>
            <w:vMerge w:val="continue"/>
            <w:noWrap w:val="0"/>
            <w:vAlign w:val="center"/>
          </w:tcPr>
          <w:p w14:paraId="434D3BA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p>
        </w:tc>
        <w:tc>
          <w:tcPr>
            <w:tcW w:w="427" w:type="pct"/>
            <w:vMerge w:val="continue"/>
            <w:noWrap w:val="0"/>
            <w:vAlign w:val="center"/>
          </w:tcPr>
          <w:p w14:paraId="58664B4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p>
        </w:tc>
      </w:tr>
      <w:tr w14:paraId="0347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 w:type="pct"/>
            <w:vMerge w:val="restart"/>
            <w:noWrap w:val="0"/>
            <w:vAlign w:val="center"/>
          </w:tcPr>
          <w:p w14:paraId="0985F49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r>
              <w:rPr>
                <w:rFonts w:hint="eastAsia" w:ascii="仿宋" w:hAnsi="仿宋" w:eastAsia="仿宋" w:cs="仿宋"/>
                <w:snapToGrid w:val="0"/>
                <w:color w:val="000000"/>
                <w:spacing w:val="5"/>
                <w:kern w:val="0"/>
                <w:sz w:val="21"/>
                <w:szCs w:val="21"/>
                <w:vertAlign w:val="baseline"/>
                <w:lang w:val="en-US" w:eastAsia="zh-CN" w:bidi="ar-SA"/>
              </w:rPr>
              <w:t>2</w:t>
            </w:r>
          </w:p>
        </w:tc>
        <w:tc>
          <w:tcPr>
            <w:tcW w:w="282" w:type="pct"/>
            <w:vMerge w:val="restart"/>
            <w:noWrap w:val="0"/>
            <w:vAlign w:val="center"/>
          </w:tcPr>
          <w:p w14:paraId="0BC8F5A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公共设施维护</w:t>
            </w:r>
          </w:p>
        </w:tc>
        <w:tc>
          <w:tcPr>
            <w:tcW w:w="730" w:type="pct"/>
            <w:noWrap w:val="0"/>
            <w:vAlign w:val="center"/>
          </w:tcPr>
          <w:p w14:paraId="78AA43D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维修与更换井盖、填埋废弃井；市政道路旁的花坛维修</w:t>
            </w:r>
          </w:p>
        </w:tc>
        <w:tc>
          <w:tcPr>
            <w:tcW w:w="2195" w:type="pct"/>
            <w:noWrap w:val="0"/>
            <w:vAlign w:val="center"/>
          </w:tcPr>
          <w:p w14:paraId="6749257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井盖维护更换（含明渠水泥盖板）等市政设施维修。（井盖特定尺寸需定制）</w:t>
            </w:r>
          </w:p>
        </w:tc>
        <w:tc>
          <w:tcPr>
            <w:tcW w:w="1217" w:type="pct"/>
            <w:noWrap w:val="0"/>
            <w:vAlign w:val="center"/>
          </w:tcPr>
          <w:p w14:paraId="3AEF817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全街11个社区</w:t>
            </w:r>
          </w:p>
        </w:tc>
        <w:tc>
          <w:tcPr>
            <w:tcW w:w="427" w:type="pct"/>
            <w:noWrap w:val="0"/>
            <w:vAlign w:val="center"/>
          </w:tcPr>
          <w:p w14:paraId="3AF1307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r>
              <w:rPr>
                <w:rFonts w:hint="eastAsia" w:ascii="仿宋" w:hAnsi="仿宋" w:eastAsia="仿宋" w:cs="仿宋"/>
                <w:snapToGrid w:val="0"/>
                <w:color w:val="000000"/>
                <w:spacing w:val="5"/>
                <w:kern w:val="0"/>
                <w:sz w:val="21"/>
                <w:szCs w:val="21"/>
                <w:vertAlign w:val="baseline"/>
                <w:lang w:val="en-US" w:eastAsia="zh-CN" w:bidi="ar-SA"/>
              </w:rPr>
              <w:t>20</w:t>
            </w:r>
          </w:p>
        </w:tc>
      </w:tr>
      <w:tr w14:paraId="3328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 w:type="pct"/>
            <w:vMerge w:val="continue"/>
            <w:noWrap w:val="0"/>
            <w:vAlign w:val="center"/>
          </w:tcPr>
          <w:p w14:paraId="60CADEA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highlight w:val="none"/>
                <w:vertAlign w:val="baseline"/>
                <w:lang w:val="en-US" w:eastAsia="zh-CN" w:bidi="ar-SA"/>
              </w:rPr>
            </w:pPr>
          </w:p>
        </w:tc>
        <w:tc>
          <w:tcPr>
            <w:tcW w:w="282" w:type="pct"/>
            <w:vMerge w:val="continue"/>
            <w:noWrap w:val="0"/>
            <w:vAlign w:val="center"/>
          </w:tcPr>
          <w:p w14:paraId="2F3B825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highlight w:val="none"/>
                <w:vertAlign w:val="baseline"/>
                <w:lang w:val="en-US" w:eastAsia="zh-CN" w:bidi="ar-SA"/>
              </w:rPr>
            </w:pPr>
          </w:p>
        </w:tc>
        <w:tc>
          <w:tcPr>
            <w:tcW w:w="730" w:type="pct"/>
            <w:noWrap w:val="0"/>
            <w:vAlign w:val="center"/>
          </w:tcPr>
          <w:p w14:paraId="33EF0E8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default" w:ascii="仿宋" w:hAnsi="仿宋" w:eastAsia="仿宋" w:cs="仿宋"/>
                <w:snapToGrid w:val="0"/>
                <w:color w:val="000000"/>
                <w:spacing w:val="5"/>
                <w:kern w:val="0"/>
                <w:sz w:val="21"/>
                <w:szCs w:val="21"/>
                <w:highlight w:val="none"/>
                <w:vertAlign w:val="baseline"/>
                <w:lang w:val="en-US" w:eastAsia="zh-CN" w:bidi="ar-SA"/>
              </w:rPr>
              <w:t>维修阻车桩和站石</w:t>
            </w:r>
          </w:p>
        </w:tc>
        <w:tc>
          <w:tcPr>
            <w:tcW w:w="2195" w:type="pct"/>
            <w:noWrap w:val="0"/>
            <w:vAlign w:val="center"/>
          </w:tcPr>
          <w:p w14:paraId="040D74B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default" w:ascii="仿宋" w:hAnsi="仿宋" w:eastAsia="仿宋" w:cs="仿宋"/>
                <w:snapToGrid w:val="0"/>
                <w:color w:val="000000"/>
                <w:spacing w:val="5"/>
                <w:kern w:val="0"/>
                <w:sz w:val="21"/>
                <w:szCs w:val="21"/>
                <w:highlight w:val="none"/>
                <w:vertAlign w:val="baseline"/>
                <w:lang w:val="en-US" w:eastAsia="zh-CN" w:bidi="ar-SA"/>
              </w:rPr>
              <w:t>维修阻车桩：检查与加固，更换损坏部件，清理与复位。</w:t>
            </w:r>
          </w:p>
          <w:p w14:paraId="50646F8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default" w:ascii="仿宋" w:hAnsi="仿宋" w:eastAsia="仿宋" w:cs="仿宋"/>
                <w:snapToGrid w:val="0"/>
                <w:color w:val="000000"/>
                <w:spacing w:val="5"/>
                <w:kern w:val="0"/>
                <w:sz w:val="21"/>
                <w:szCs w:val="21"/>
                <w:highlight w:val="none"/>
                <w:vertAlign w:val="baseline"/>
                <w:lang w:val="en-US" w:eastAsia="zh-CN" w:bidi="ar-SA"/>
              </w:rPr>
              <w:t>维修站石：调整与复位，局部修补；更换损坏站石。矫正和切除废弃指示牌。</w:t>
            </w:r>
          </w:p>
        </w:tc>
        <w:tc>
          <w:tcPr>
            <w:tcW w:w="1217" w:type="pct"/>
            <w:noWrap w:val="0"/>
            <w:vAlign w:val="center"/>
          </w:tcPr>
          <w:p w14:paraId="460247F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default" w:ascii="仿宋" w:hAnsi="仿宋" w:eastAsia="仿宋" w:cs="仿宋"/>
                <w:snapToGrid w:val="0"/>
                <w:color w:val="000000"/>
                <w:spacing w:val="5"/>
                <w:kern w:val="0"/>
                <w:sz w:val="21"/>
                <w:szCs w:val="21"/>
                <w:highlight w:val="none"/>
                <w:vertAlign w:val="baseline"/>
                <w:lang w:val="en-US" w:eastAsia="zh-CN" w:bidi="ar-SA"/>
              </w:rPr>
              <w:t>全街11个社区步行砖、阻车桩、减速带、指示牌、广角镜、站石、护栏等市政构件安装维修更换</w:t>
            </w:r>
          </w:p>
        </w:tc>
        <w:tc>
          <w:tcPr>
            <w:tcW w:w="427" w:type="pct"/>
            <w:noWrap w:val="0"/>
            <w:vAlign w:val="center"/>
          </w:tcPr>
          <w:p w14:paraId="6CC6192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eastAsia" w:ascii="仿宋" w:hAnsi="仿宋" w:eastAsia="仿宋" w:cs="仿宋"/>
                <w:snapToGrid w:val="0"/>
                <w:color w:val="000000"/>
                <w:spacing w:val="5"/>
                <w:kern w:val="0"/>
                <w:sz w:val="21"/>
                <w:szCs w:val="21"/>
                <w:highlight w:val="none"/>
                <w:vertAlign w:val="baseline"/>
                <w:lang w:val="en-US" w:eastAsia="zh-CN" w:bidi="ar-SA"/>
              </w:rPr>
              <w:t>9.5</w:t>
            </w:r>
          </w:p>
        </w:tc>
      </w:tr>
      <w:tr w14:paraId="4D26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 w:type="pct"/>
            <w:vMerge w:val="continue"/>
            <w:noWrap w:val="0"/>
            <w:vAlign w:val="center"/>
          </w:tcPr>
          <w:p w14:paraId="5E8AAF2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highlight w:val="none"/>
                <w:vertAlign w:val="baseline"/>
                <w:lang w:val="en-US" w:eastAsia="zh-CN" w:bidi="ar-SA"/>
              </w:rPr>
            </w:pPr>
          </w:p>
        </w:tc>
        <w:tc>
          <w:tcPr>
            <w:tcW w:w="282" w:type="pct"/>
            <w:vMerge w:val="continue"/>
            <w:noWrap w:val="0"/>
            <w:vAlign w:val="center"/>
          </w:tcPr>
          <w:p w14:paraId="786E385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highlight w:val="none"/>
                <w:vertAlign w:val="baseline"/>
                <w:lang w:val="en-US" w:eastAsia="zh-CN" w:bidi="ar-SA"/>
              </w:rPr>
            </w:pPr>
          </w:p>
        </w:tc>
        <w:tc>
          <w:tcPr>
            <w:tcW w:w="730" w:type="pct"/>
            <w:noWrap w:val="0"/>
            <w:vAlign w:val="center"/>
          </w:tcPr>
          <w:p w14:paraId="340F1E9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default" w:ascii="仿宋" w:hAnsi="仿宋" w:eastAsia="仿宋" w:cs="仿宋"/>
                <w:snapToGrid w:val="0"/>
                <w:color w:val="000000"/>
                <w:spacing w:val="5"/>
                <w:kern w:val="0"/>
                <w:sz w:val="21"/>
                <w:szCs w:val="21"/>
                <w:highlight w:val="none"/>
                <w:vertAlign w:val="baseline"/>
                <w:lang w:val="en-US" w:eastAsia="zh-CN" w:bidi="ar-SA"/>
              </w:rPr>
              <w:t>配合占道设施整治</w:t>
            </w:r>
          </w:p>
        </w:tc>
        <w:tc>
          <w:tcPr>
            <w:tcW w:w="2195" w:type="pct"/>
            <w:noWrap w:val="0"/>
            <w:vAlign w:val="center"/>
          </w:tcPr>
          <w:p w14:paraId="00C234C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default" w:ascii="仿宋" w:hAnsi="仿宋" w:eastAsia="仿宋" w:cs="仿宋"/>
                <w:snapToGrid w:val="0"/>
                <w:color w:val="000000"/>
                <w:spacing w:val="5"/>
                <w:kern w:val="0"/>
                <w:sz w:val="21"/>
                <w:szCs w:val="21"/>
                <w:highlight w:val="none"/>
                <w:vertAlign w:val="baseline"/>
                <w:lang w:val="en-US" w:eastAsia="zh-CN" w:bidi="ar-SA"/>
              </w:rPr>
              <w:t>配合站道设施整治，含现状排查、场地清理、破损设施拆除清运、配合路面及附属设施整修。</w:t>
            </w:r>
          </w:p>
        </w:tc>
        <w:tc>
          <w:tcPr>
            <w:tcW w:w="1217" w:type="pct"/>
            <w:noWrap w:val="0"/>
            <w:vAlign w:val="center"/>
          </w:tcPr>
          <w:p w14:paraId="16DB737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default" w:ascii="仿宋" w:hAnsi="仿宋" w:eastAsia="仿宋" w:cs="仿宋"/>
                <w:snapToGrid w:val="0"/>
                <w:color w:val="000000"/>
                <w:spacing w:val="5"/>
                <w:kern w:val="0"/>
                <w:sz w:val="21"/>
                <w:szCs w:val="21"/>
                <w:highlight w:val="none"/>
                <w:vertAlign w:val="baseline"/>
                <w:lang w:val="en-US" w:eastAsia="zh-CN" w:bidi="ar-SA"/>
              </w:rPr>
              <w:t>全街11个社区</w:t>
            </w:r>
          </w:p>
        </w:tc>
        <w:tc>
          <w:tcPr>
            <w:tcW w:w="427" w:type="pct"/>
            <w:noWrap w:val="0"/>
            <w:vAlign w:val="center"/>
          </w:tcPr>
          <w:p w14:paraId="3AA5F12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eastAsia" w:ascii="仿宋" w:hAnsi="仿宋" w:eastAsia="仿宋" w:cs="仿宋"/>
                <w:snapToGrid w:val="0"/>
                <w:color w:val="000000"/>
                <w:spacing w:val="5"/>
                <w:kern w:val="0"/>
                <w:sz w:val="21"/>
                <w:szCs w:val="21"/>
                <w:highlight w:val="none"/>
                <w:vertAlign w:val="baseline"/>
                <w:lang w:val="en-US" w:eastAsia="zh-CN" w:bidi="ar-SA"/>
              </w:rPr>
              <w:t>2.83</w:t>
            </w:r>
          </w:p>
        </w:tc>
      </w:tr>
      <w:tr w14:paraId="1620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 w:type="pct"/>
            <w:noWrap w:val="0"/>
            <w:vAlign w:val="center"/>
          </w:tcPr>
          <w:p w14:paraId="761E637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r>
              <w:rPr>
                <w:rFonts w:hint="eastAsia" w:ascii="仿宋" w:hAnsi="仿宋" w:eastAsia="仿宋" w:cs="仿宋"/>
                <w:snapToGrid w:val="0"/>
                <w:color w:val="000000"/>
                <w:spacing w:val="5"/>
                <w:kern w:val="0"/>
                <w:sz w:val="21"/>
                <w:szCs w:val="21"/>
                <w:vertAlign w:val="baseline"/>
                <w:lang w:val="en-US" w:eastAsia="zh-CN" w:bidi="ar-SA"/>
              </w:rPr>
              <w:t>3</w:t>
            </w:r>
          </w:p>
        </w:tc>
        <w:tc>
          <w:tcPr>
            <w:tcW w:w="282" w:type="pct"/>
            <w:noWrap w:val="0"/>
            <w:vAlign w:val="center"/>
          </w:tcPr>
          <w:p w14:paraId="6F9BE12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下水道疏通和吸污</w:t>
            </w:r>
          </w:p>
        </w:tc>
        <w:tc>
          <w:tcPr>
            <w:tcW w:w="730" w:type="pct"/>
            <w:noWrap w:val="0"/>
            <w:vAlign w:val="center"/>
          </w:tcPr>
          <w:p w14:paraId="5252EE4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定期或应急性开展疏通与吸污作业。</w:t>
            </w:r>
          </w:p>
        </w:tc>
        <w:tc>
          <w:tcPr>
            <w:tcW w:w="2195" w:type="pct"/>
            <w:noWrap w:val="0"/>
            <w:vAlign w:val="center"/>
          </w:tcPr>
          <w:p w14:paraId="5C038A2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全街11个社区</w:t>
            </w:r>
          </w:p>
        </w:tc>
        <w:tc>
          <w:tcPr>
            <w:tcW w:w="1217" w:type="pct"/>
            <w:noWrap w:val="0"/>
            <w:vAlign w:val="center"/>
          </w:tcPr>
          <w:p w14:paraId="218F67F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vertAlign w:val="baseline"/>
                <w:lang w:val="en-US" w:eastAsia="zh-CN" w:bidi="ar-SA"/>
              </w:rPr>
            </w:pPr>
            <w:r>
              <w:rPr>
                <w:rFonts w:hint="default" w:ascii="仿宋" w:hAnsi="仿宋" w:eastAsia="仿宋" w:cs="仿宋"/>
                <w:snapToGrid w:val="0"/>
                <w:color w:val="000000"/>
                <w:spacing w:val="5"/>
                <w:kern w:val="0"/>
                <w:sz w:val="21"/>
                <w:szCs w:val="21"/>
                <w:vertAlign w:val="baseline"/>
                <w:lang w:val="en-US" w:eastAsia="zh-CN" w:bidi="ar-SA"/>
              </w:rPr>
              <w:t>全街11个社区</w:t>
            </w:r>
          </w:p>
        </w:tc>
        <w:tc>
          <w:tcPr>
            <w:tcW w:w="427" w:type="pct"/>
            <w:noWrap w:val="0"/>
            <w:vAlign w:val="center"/>
          </w:tcPr>
          <w:p w14:paraId="6DD622C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vertAlign w:val="baseline"/>
                <w:lang w:val="en-US" w:eastAsia="zh-CN" w:bidi="ar-SA"/>
              </w:rPr>
            </w:pPr>
            <w:r>
              <w:rPr>
                <w:rFonts w:hint="eastAsia" w:ascii="仿宋" w:hAnsi="仿宋" w:eastAsia="仿宋" w:cs="仿宋"/>
                <w:snapToGrid w:val="0"/>
                <w:color w:val="000000"/>
                <w:spacing w:val="5"/>
                <w:kern w:val="0"/>
                <w:sz w:val="21"/>
                <w:szCs w:val="21"/>
                <w:vertAlign w:val="baseline"/>
                <w:lang w:val="en-US" w:eastAsia="zh-CN" w:bidi="ar-SA"/>
              </w:rPr>
              <w:t>29</w:t>
            </w:r>
          </w:p>
        </w:tc>
      </w:tr>
      <w:tr w14:paraId="2CE9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7" w:type="pct"/>
            <w:noWrap w:val="0"/>
            <w:vAlign w:val="center"/>
          </w:tcPr>
          <w:p w14:paraId="043CC87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eastAsia" w:ascii="仿宋" w:hAnsi="仿宋" w:eastAsia="仿宋" w:cs="仿宋"/>
                <w:snapToGrid w:val="0"/>
                <w:color w:val="000000"/>
                <w:spacing w:val="5"/>
                <w:kern w:val="0"/>
                <w:sz w:val="21"/>
                <w:szCs w:val="21"/>
                <w:highlight w:val="none"/>
                <w:vertAlign w:val="baseline"/>
                <w:lang w:val="en-US" w:eastAsia="zh-CN" w:bidi="ar-SA"/>
              </w:rPr>
              <w:t>4</w:t>
            </w:r>
          </w:p>
        </w:tc>
        <w:tc>
          <w:tcPr>
            <w:tcW w:w="282" w:type="pct"/>
            <w:noWrap w:val="0"/>
            <w:vAlign w:val="center"/>
          </w:tcPr>
          <w:p w14:paraId="3EE0831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default" w:ascii="仿宋" w:hAnsi="仿宋" w:eastAsia="仿宋" w:cs="仿宋"/>
                <w:snapToGrid w:val="0"/>
                <w:color w:val="000000"/>
                <w:spacing w:val="5"/>
                <w:kern w:val="0"/>
                <w:sz w:val="21"/>
                <w:szCs w:val="21"/>
                <w:highlight w:val="none"/>
                <w:vertAlign w:val="baseline"/>
                <w:lang w:val="en-US" w:eastAsia="zh-CN" w:bidi="ar-SA"/>
              </w:rPr>
              <w:t>道路应急小修</w:t>
            </w:r>
          </w:p>
        </w:tc>
        <w:tc>
          <w:tcPr>
            <w:tcW w:w="730" w:type="pct"/>
            <w:noWrap w:val="0"/>
            <w:vAlign w:val="center"/>
          </w:tcPr>
          <w:p w14:paraId="031C5C4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highlight w:val="none"/>
                <w:vertAlign w:val="baseline"/>
                <w:lang w:val="en-US" w:eastAsia="zh-CN" w:bidi="ar-SA"/>
              </w:rPr>
            </w:pPr>
          </w:p>
        </w:tc>
        <w:tc>
          <w:tcPr>
            <w:tcW w:w="2195" w:type="pct"/>
            <w:noWrap w:val="0"/>
            <w:vAlign w:val="center"/>
          </w:tcPr>
          <w:p w14:paraId="1AD18C6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default" w:ascii="仿宋" w:hAnsi="仿宋" w:eastAsia="仿宋" w:cs="仿宋"/>
                <w:snapToGrid w:val="0"/>
                <w:color w:val="000000"/>
                <w:spacing w:val="5"/>
                <w:kern w:val="0"/>
                <w:sz w:val="21"/>
                <w:szCs w:val="21"/>
                <w:highlight w:val="none"/>
                <w:vertAlign w:val="baseline"/>
                <w:lang w:val="en-US" w:eastAsia="zh-CN" w:bidi="ar-SA"/>
              </w:rPr>
              <w:t>对辖区内道路出现的各类突发损坏情况，及时进行小修养护。（含混凝土、沥青修补、碎石路等）</w:t>
            </w:r>
          </w:p>
        </w:tc>
        <w:tc>
          <w:tcPr>
            <w:tcW w:w="1217" w:type="pct"/>
            <w:noWrap w:val="0"/>
            <w:vAlign w:val="center"/>
          </w:tcPr>
          <w:p w14:paraId="564B16E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default" w:ascii="仿宋" w:hAnsi="仿宋" w:eastAsia="仿宋" w:cs="仿宋"/>
                <w:snapToGrid w:val="0"/>
                <w:color w:val="000000"/>
                <w:spacing w:val="5"/>
                <w:kern w:val="0"/>
                <w:sz w:val="21"/>
                <w:szCs w:val="21"/>
                <w:highlight w:val="none"/>
                <w:vertAlign w:val="baseline"/>
                <w:lang w:val="en-US" w:eastAsia="zh-CN" w:bidi="ar-SA"/>
              </w:rPr>
              <w:t>街道负责管养的道路（除</w:t>
            </w:r>
            <w:r>
              <w:rPr>
                <w:rFonts w:hint="eastAsia" w:ascii="仿宋" w:hAnsi="仿宋" w:eastAsia="仿宋" w:cs="仿宋"/>
                <w:snapToGrid w:val="0"/>
                <w:color w:val="000000"/>
                <w:spacing w:val="5"/>
                <w:kern w:val="0"/>
                <w:sz w:val="21"/>
                <w:szCs w:val="21"/>
                <w:highlight w:val="none"/>
                <w:vertAlign w:val="baseline"/>
                <w:lang w:val="en-US" w:eastAsia="zh-CN" w:bidi="ar-SA"/>
              </w:rPr>
              <w:t>农村公路与</w:t>
            </w:r>
            <w:r>
              <w:rPr>
                <w:rFonts w:hint="default" w:ascii="仿宋" w:hAnsi="仿宋" w:eastAsia="仿宋" w:cs="仿宋"/>
                <w:snapToGrid w:val="0"/>
                <w:color w:val="000000"/>
                <w:spacing w:val="5"/>
                <w:kern w:val="0"/>
                <w:sz w:val="21"/>
                <w:szCs w:val="21"/>
                <w:highlight w:val="none"/>
                <w:vertAlign w:val="baseline"/>
                <w:lang w:val="en-US" w:eastAsia="zh-CN" w:bidi="ar-SA"/>
              </w:rPr>
              <w:t>农业生产路外）</w:t>
            </w:r>
          </w:p>
        </w:tc>
        <w:tc>
          <w:tcPr>
            <w:tcW w:w="427" w:type="pct"/>
            <w:noWrap w:val="0"/>
            <w:vAlign w:val="center"/>
          </w:tcPr>
          <w:p w14:paraId="7C9BA87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snapToGrid w:val="0"/>
                <w:color w:val="000000"/>
                <w:spacing w:val="5"/>
                <w:kern w:val="0"/>
                <w:sz w:val="21"/>
                <w:szCs w:val="21"/>
                <w:highlight w:val="none"/>
                <w:vertAlign w:val="baseline"/>
                <w:lang w:val="en-US" w:eastAsia="zh-CN" w:bidi="ar-SA"/>
              </w:rPr>
            </w:pPr>
            <w:r>
              <w:rPr>
                <w:rFonts w:hint="eastAsia" w:ascii="仿宋" w:hAnsi="仿宋" w:eastAsia="仿宋" w:cs="仿宋"/>
                <w:snapToGrid w:val="0"/>
                <w:color w:val="000000"/>
                <w:spacing w:val="5"/>
                <w:kern w:val="0"/>
                <w:sz w:val="21"/>
                <w:szCs w:val="21"/>
                <w:highlight w:val="none"/>
                <w:vertAlign w:val="baseline"/>
                <w:lang w:val="en-US" w:eastAsia="zh-CN" w:bidi="ar-SA"/>
              </w:rPr>
              <w:t>48</w:t>
            </w:r>
          </w:p>
        </w:tc>
      </w:tr>
      <w:tr w14:paraId="5810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72" w:type="pct"/>
            <w:gridSpan w:val="5"/>
            <w:noWrap w:val="0"/>
            <w:vAlign w:val="center"/>
          </w:tcPr>
          <w:p w14:paraId="3562780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b/>
                <w:snapToGrid w:val="0"/>
                <w:color w:val="000000"/>
                <w:spacing w:val="5"/>
                <w:kern w:val="0"/>
                <w:sz w:val="21"/>
                <w:szCs w:val="21"/>
                <w:vertAlign w:val="baseline"/>
                <w:lang w:val="en-US" w:eastAsia="zh-CN" w:bidi="ar-SA"/>
              </w:rPr>
            </w:pPr>
            <w:r>
              <w:rPr>
                <w:rFonts w:hint="default" w:ascii="仿宋" w:hAnsi="仿宋" w:eastAsia="仿宋" w:cs="仿宋"/>
                <w:b/>
                <w:snapToGrid w:val="0"/>
                <w:color w:val="000000"/>
                <w:spacing w:val="5"/>
                <w:kern w:val="0"/>
                <w:sz w:val="21"/>
                <w:szCs w:val="21"/>
                <w:vertAlign w:val="baseline"/>
                <w:lang w:val="en-US" w:eastAsia="zh-CN" w:bidi="ar-SA"/>
              </w:rPr>
              <w:t>合计</w:t>
            </w:r>
          </w:p>
        </w:tc>
        <w:tc>
          <w:tcPr>
            <w:tcW w:w="427" w:type="pct"/>
            <w:noWrap w:val="0"/>
            <w:vAlign w:val="center"/>
          </w:tcPr>
          <w:p w14:paraId="79C0309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 w:hAnsi="仿宋" w:eastAsia="仿宋" w:cs="仿宋"/>
                <w:b/>
                <w:snapToGrid w:val="0"/>
                <w:color w:val="000000"/>
                <w:spacing w:val="5"/>
                <w:kern w:val="0"/>
                <w:sz w:val="21"/>
                <w:szCs w:val="21"/>
                <w:vertAlign w:val="baseline"/>
                <w:lang w:val="en-US" w:eastAsia="zh-CN" w:bidi="ar-SA"/>
              </w:rPr>
            </w:pPr>
            <w:r>
              <w:rPr>
                <w:rFonts w:hint="eastAsia" w:ascii="仿宋" w:hAnsi="仿宋" w:eastAsia="仿宋" w:cs="仿宋"/>
                <w:b/>
                <w:snapToGrid w:val="0"/>
                <w:color w:val="000000"/>
                <w:spacing w:val="5"/>
                <w:kern w:val="0"/>
                <w:sz w:val="21"/>
                <w:szCs w:val="21"/>
                <w:vertAlign w:val="baseline"/>
                <w:lang w:val="en-US" w:eastAsia="zh-CN" w:bidi="ar-SA"/>
              </w:rPr>
              <w:t>165.33</w:t>
            </w:r>
          </w:p>
        </w:tc>
      </w:tr>
    </w:tbl>
    <w:p w14:paraId="69BF2202">
      <w:pPr>
        <w:pStyle w:val="2"/>
        <w:spacing w:before="173" w:line="221" w:lineRule="auto"/>
        <w:rPr>
          <w:rFonts w:hint="default" w:ascii="宋体" w:hAnsi="宋体" w:eastAsia="宋体" w:cs="宋体"/>
          <w:b w:val="0"/>
          <w:bCs w:val="0"/>
          <w:kern w:val="2"/>
          <w:sz w:val="24"/>
          <w:szCs w:val="24"/>
          <w:highlight w:val="none"/>
          <w:lang w:val="en-US" w:eastAsia="zh-CN" w:bidi="ar-SA"/>
        </w:rPr>
        <w:sectPr>
          <w:pgSz w:w="16838" w:h="11906" w:orient="landscape"/>
          <w:pgMar w:top="1800" w:right="1440" w:bottom="1800" w:left="1440" w:header="851" w:footer="992" w:gutter="0"/>
          <w:cols w:space="720" w:num="1"/>
          <w:docGrid w:type="lines" w:linePitch="312" w:charSpace="0"/>
        </w:sectPr>
      </w:pPr>
    </w:p>
    <w:p w14:paraId="442DA6C2">
      <w:pPr>
        <w:pStyle w:val="2"/>
        <w:spacing w:before="180" w:line="219" w:lineRule="auto"/>
        <w:outlineLvl w:val="1"/>
        <w:rPr>
          <w:sz w:val="24"/>
          <w:szCs w:val="24"/>
          <w:highlight w:val="none"/>
        </w:rPr>
      </w:pPr>
      <w:bookmarkStart w:id="21" w:name="_Toc27953"/>
      <w:r>
        <w:rPr>
          <w:b/>
          <w:bCs/>
          <w:spacing w:val="-4"/>
          <w:sz w:val="24"/>
          <w:szCs w:val="24"/>
          <w:highlight w:val="none"/>
        </w:rPr>
        <w:t>（</w:t>
      </w:r>
      <w:r>
        <w:rPr>
          <w:rFonts w:hint="eastAsia"/>
          <w:b/>
          <w:bCs/>
          <w:spacing w:val="-4"/>
          <w:sz w:val="24"/>
          <w:szCs w:val="24"/>
          <w:highlight w:val="none"/>
          <w:lang w:val="en-US" w:eastAsia="zh-CN"/>
        </w:rPr>
        <w:t>四</w:t>
      </w:r>
      <w:r>
        <w:rPr>
          <w:b/>
          <w:bCs/>
          <w:spacing w:val="-4"/>
          <w:sz w:val="24"/>
          <w:szCs w:val="24"/>
          <w:highlight w:val="none"/>
        </w:rPr>
        <w:t>）服务内容及要求</w:t>
      </w:r>
      <w:bookmarkEnd w:id="21"/>
    </w:p>
    <w:p w14:paraId="62809462">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（1）涵洞泵站管理</w:t>
      </w:r>
    </w:p>
    <w:p w14:paraId="4F4D6B88">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1. 日常巡检：涵洞供电是否正常、水泵是否正常运行、蓄水</w:t>
      </w:r>
    </w:p>
    <w:p w14:paraId="545808C9">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池是否有杂物;监控设施是否正常。</w:t>
      </w:r>
    </w:p>
    <w:p w14:paraId="6FE67C21">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2.小型维修：</w:t>
      </w:r>
    </w:p>
    <w:p w14:paraId="7F861A4B">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机电设备小修:水泵、控制柜、配电箱;</w:t>
      </w:r>
    </w:p>
    <w:p w14:paraId="4FBA2349">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管路及阀门小修:泵房地面、墙面、门窗小面积修补，粉刷，更换小五金;</w:t>
      </w:r>
    </w:p>
    <w:p w14:paraId="51A87E94">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排水沟、集水井:清淤、疏通。</w:t>
      </w:r>
    </w:p>
    <w:p w14:paraId="46FFD271">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3.值守保养：设备定期保养，机房卫生、杂物清理。</w:t>
      </w:r>
    </w:p>
    <w:p w14:paraId="3104193B">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4.电费支出：涵洞电费。</w:t>
      </w:r>
    </w:p>
    <w:p w14:paraId="66068EBA">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街道负责管养的涵洞泵站。</w:t>
      </w:r>
    </w:p>
    <w:p w14:paraId="59048812">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（2）公共设施维护</w:t>
      </w:r>
    </w:p>
    <w:p w14:paraId="7785E974">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1.维修与更换井盖、填埋废弃井：市政道路旁的花坛维修：井盖维护更换(含明渠水泥盖板)等市政设施维修。(井盖特定尺寸需定制)。</w:t>
      </w:r>
    </w:p>
    <w:p w14:paraId="7C21551F">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涵盖全街11个社区。</w:t>
      </w:r>
    </w:p>
    <w:p w14:paraId="1DBBD98D">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2.维修阻车桩和站石：对歪斜、破损的阻车桩、站石等进行修复或更换，确保道路安全。对破损或缺失的步行砖、阻车桩、减速带、指示牌、广角镜、站石、护栏等市政构件安装维修更换。</w:t>
      </w:r>
    </w:p>
    <w:p w14:paraId="69C63A90">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维修阻车桩：检查与加固，更换损坏部件，清理与复位。</w:t>
      </w:r>
    </w:p>
    <w:p w14:paraId="1BB232C9">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维修站石：调整与复位，局部修补;更换损坏站石。矫正和切除废弃指示牌。</w:t>
      </w:r>
    </w:p>
    <w:p w14:paraId="19DD1CE3">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涵盖全街11个社区步行砖、阻车桩、减速带、指示牌、广角镜、站石、护栏等市政构件安装维修更换。</w:t>
      </w:r>
    </w:p>
    <w:p w14:paraId="4BDF0B21">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3.配合占道设施整治：协助相关部门对违规占道设施进行清理，含现状排查、场地清理、破损设施拆除清运、配合路面及附属设施整修，确保道路畅通。</w:t>
      </w:r>
    </w:p>
    <w:p w14:paraId="317010FE">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涵盖全街11个社区</w:t>
      </w:r>
      <w:r>
        <w:rPr>
          <w:rFonts w:hint="eastAsia" w:ascii="宋体" w:hAnsi="宋体" w:cs="宋体"/>
          <w:b w:val="0"/>
          <w:bCs w:val="0"/>
          <w:kern w:val="2"/>
          <w:sz w:val="24"/>
          <w:szCs w:val="24"/>
          <w:highlight w:val="none"/>
          <w:lang w:val="zh-CN" w:eastAsia="zh-CN" w:bidi="ar-SA"/>
        </w:rPr>
        <w:t>。</w:t>
      </w:r>
    </w:p>
    <w:p w14:paraId="6909DD79">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（3）下水道疏通和抽污：定期或应急性开展疏通与吸污作业。涵盖全街11个社区。</w:t>
      </w:r>
    </w:p>
    <w:p w14:paraId="5499E1D9">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（4）道路应急小修</w:t>
      </w:r>
      <w:r>
        <w:rPr>
          <w:rFonts w:hint="eastAsia" w:ascii="宋体" w:hAnsi="宋体" w:cs="宋体"/>
          <w:b w:val="0"/>
          <w:bCs w:val="0"/>
          <w:kern w:val="2"/>
          <w:sz w:val="24"/>
          <w:szCs w:val="24"/>
          <w:highlight w:val="none"/>
          <w:lang w:val="zh-CN" w:eastAsia="zh-CN" w:bidi="ar-SA"/>
        </w:rPr>
        <w:t>：</w:t>
      </w:r>
      <w:r>
        <w:rPr>
          <w:rFonts w:hint="eastAsia" w:ascii="宋体" w:hAnsi="宋体" w:eastAsia="宋体" w:cs="宋体"/>
          <w:b w:val="0"/>
          <w:bCs w:val="0"/>
          <w:kern w:val="2"/>
          <w:sz w:val="24"/>
          <w:szCs w:val="24"/>
          <w:highlight w:val="none"/>
          <w:lang w:val="zh-CN" w:eastAsia="zh-CN" w:bidi="ar-SA"/>
        </w:rPr>
        <w:t>负责街道负责管养的道路（除农村公路与农业生产路外）沥青路面修补、混凝土路面修复、碎石路修复等小型应急维修。</w:t>
      </w:r>
    </w:p>
    <w:p w14:paraId="7B1E1F51">
      <w:pPr>
        <w:pStyle w:val="2"/>
        <w:spacing w:before="174" w:line="219" w:lineRule="auto"/>
        <w:ind w:left="6"/>
        <w:outlineLvl w:val="1"/>
        <w:rPr>
          <w:sz w:val="24"/>
          <w:szCs w:val="24"/>
          <w:highlight w:val="none"/>
        </w:rPr>
      </w:pPr>
      <w:bookmarkStart w:id="22" w:name="_Toc31299"/>
      <w:r>
        <w:rPr>
          <w:b/>
          <w:bCs/>
          <w:spacing w:val="-4"/>
          <w:sz w:val="24"/>
          <w:szCs w:val="24"/>
          <w:highlight w:val="none"/>
        </w:rPr>
        <w:t>（</w:t>
      </w:r>
      <w:r>
        <w:rPr>
          <w:rFonts w:hint="eastAsia"/>
          <w:b/>
          <w:bCs/>
          <w:spacing w:val="-4"/>
          <w:sz w:val="24"/>
          <w:szCs w:val="24"/>
          <w:highlight w:val="none"/>
          <w:lang w:val="en-US" w:eastAsia="zh-CN"/>
        </w:rPr>
        <w:t>五</w:t>
      </w:r>
      <w:r>
        <w:rPr>
          <w:b/>
          <w:bCs/>
          <w:spacing w:val="-4"/>
          <w:sz w:val="24"/>
          <w:szCs w:val="24"/>
          <w:highlight w:val="none"/>
        </w:rPr>
        <w:t>）资金筹集：财政资金</w:t>
      </w:r>
      <w:bookmarkEnd w:id="22"/>
    </w:p>
    <w:p w14:paraId="2F9D551E">
      <w:pPr>
        <w:pStyle w:val="2"/>
        <w:spacing w:before="176" w:line="219" w:lineRule="auto"/>
        <w:ind w:left="6"/>
        <w:outlineLvl w:val="1"/>
        <w:rPr>
          <w:sz w:val="24"/>
          <w:szCs w:val="24"/>
          <w:highlight w:val="none"/>
        </w:rPr>
      </w:pPr>
      <w:bookmarkStart w:id="23" w:name="_Toc16344"/>
      <w:r>
        <w:rPr>
          <w:b/>
          <w:bCs/>
          <w:spacing w:val="-5"/>
          <w:sz w:val="24"/>
          <w:szCs w:val="24"/>
          <w:highlight w:val="none"/>
        </w:rPr>
        <w:t>（</w:t>
      </w:r>
      <w:r>
        <w:rPr>
          <w:rFonts w:hint="eastAsia"/>
          <w:b/>
          <w:bCs/>
          <w:spacing w:val="-5"/>
          <w:sz w:val="24"/>
          <w:szCs w:val="24"/>
          <w:highlight w:val="none"/>
          <w:lang w:val="en-US" w:eastAsia="zh-CN"/>
        </w:rPr>
        <w:t>六</w:t>
      </w:r>
      <w:r>
        <w:rPr>
          <w:b/>
          <w:bCs/>
          <w:spacing w:val="-5"/>
          <w:sz w:val="24"/>
          <w:szCs w:val="24"/>
          <w:highlight w:val="none"/>
        </w:rPr>
        <w:t>）考核与验收</w:t>
      </w:r>
      <w:bookmarkEnd w:id="23"/>
    </w:p>
    <w:p w14:paraId="62A63655">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1. 日常考核</w:t>
      </w:r>
    </w:p>
    <w:p w14:paraId="4EFE317C">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每月随机抽查服务情况，未达响应时效的，按500元/次扣款。</w:t>
      </w:r>
    </w:p>
    <w:p w14:paraId="4C4B50DA">
      <w:pPr>
        <w:bidi w:val="0"/>
        <w:jc w:val="center"/>
        <w:rPr>
          <w:rFonts w:hint="eastAsia"/>
          <w:highlight w:val="none"/>
        </w:rPr>
      </w:pPr>
      <w:r>
        <w:rPr>
          <w:rFonts w:hint="eastAsia"/>
          <w:highlight w:val="none"/>
        </w:rPr>
        <w:t>考核评分表（100 分制）</w:t>
      </w:r>
    </w:p>
    <w:tbl>
      <w:tblPr>
        <w:tblStyle w:val="3"/>
        <w:tblW w:w="9600" w:type="dxa"/>
        <w:tblInd w:w="-2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175"/>
        <w:gridCol w:w="1140"/>
        <w:gridCol w:w="2375"/>
        <w:gridCol w:w="2845"/>
        <w:gridCol w:w="1065"/>
      </w:tblGrid>
      <w:tr w14:paraId="69CE8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4" w:hRule="atLeast"/>
          <w:tblHeader/>
        </w:trPr>
        <w:tc>
          <w:tcPr>
            <w:tcW w:w="217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181A24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考核项目</w:t>
            </w:r>
          </w:p>
        </w:tc>
        <w:tc>
          <w:tcPr>
            <w:tcW w:w="1140"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398E82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分值</w:t>
            </w:r>
          </w:p>
        </w:tc>
        <w:tc>
          <w:tcPr>
            <w:tcW w:w="237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28672F1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评分标准</w:t>
            </w:r>
          </w:p>
        </w:tc>
        <w:tc>
          <w:tcPr>
            <w:tcW w:w="284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1DB874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扣分细则</w:t>
            </w:r>
          </w:p>
        </w:tc>
        <w:tc>
          <w:tcPr>
            <w:tcW w:w="106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372F14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得分</w:t>
            </w:r>
          </w:p>
        </w:tc>
      </w:tr>
      <w:tr w14:paraId="48842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217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380B76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服务完成度</w:t>
            </w:r>
          </w:p>
        </w:tc>
        <w:tc>
          <w:tcPr>
            <w:tcW w:w="1140"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0EADA5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30 分</w:t>
            </w:r>
          </w:p>
        </w:tc>
        <w:tc>
          <w:tcPr>
            <w:tcW w:w="237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4536B8F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五项工作全部按标准完成，提交完整验收资料（含巡检、维修、疏通记录等）</w:t>
            </w:r>
          </w:p>
        </w:tc>
        <w:tc>
          <w:tcPr>
            <w:tcW w:w="284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0E9855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缺一项验收资料扣 6 分，进度滞后扣 5-10 分</w:t>
            </w:r>
          </w:p>
        </w:tc>
        <w:tc>
          <w:tcPr>
            <w:tcW w:w="106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65635F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en-US" w:eastAsia="zh-CN" w:bidi="ar-SA"/>
              </w:rPr>
            </w:pPr>
          </w:p>
        </w:tc>
      </w:tr>
      <w:tr w14:paraId="4CEE4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32" w:hRule="atLeast"/>
        </w:trPr>
        <w:tc>
          <w:tcPr>
            <w:tcW w:w="217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2DC5B8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技术达标率</w:t>
            </w:r>
          </w:p>
        </w:tc>
        <w:tc>
          <w:tcPr>
            <w:tcW w:w="1140"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41290D0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25 分</w:t>
            </w:r>
          </w:p>
        </w:tc>
        <w:tc>
          <w:tcPr>
            <w:tcW w:w="237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281B5AC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巡检、维修工艺符合附件 1 标准，设备保养记录完整</w:t>
            </w:r>
          </w:p>
        </w:tc>
        <w:tc>
          <w:tcPr>
            <w:tcW w:w="284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107852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单项工艺不达标扣 5 分，记录缺失扣 3 分</w:t>
            </w:r>
          </w:p>
        </w:tc>
        <w:tc>
          <w:tcPr>
            <w:tcW w:w="106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5835BE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en-US" w:eastAsia="zh-CN" w:bidi="ar-SA"/>
              </w:rPr>
            </w:pPr>
          </w:p>
        </w:tc>
      </w:tr>
      <w:tr w14:paraId="2C751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17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13447B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应急响应时效</w:t>
            </w:r>
          </w:p>
        </w:tc>
        <w:tc>
          <w:tcPr>
            <w:tcW w:w="1140"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0011D3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20 分</w:t>
            </w:r>
          </w:p>
        </w:tc>
        <w:tc>
          <w:tcPr>
            <w:tcW w:w="237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31F3EDE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恶劣天气响应达标率≥90%</w:t>
            </w:r>
          </w:p>
        </w:tc>
        <w:tc>
          <w:tcPr>
            <w:tcW w:w="284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702C11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响应超时一次扣 4 分</w:t>
            </w:r>
          </w:p>
        </w:tc>
        <w:tc>
          <w:tcPr>
            <w:tcW w:w="106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39F7E7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en-US" w:eastAsia="zh-CN" w:bidi="ar-SA"/>
              </w:rPr>
            </w:pPr>
          </w:p>
        </w:tc>
      </w:tr>
      <w:tr w14:paraId="34212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17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3BCE15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安全事故</w:t>
            </w:r>
          </w:p>
        </w:tc>
        <w:tc>
          <w:tcPr>
            <w:tcW w:w="1140"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617B22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15 分</w:t>
            </w:r>
          </w:p>
        </w:tc>
        <w:tc>
          <w:tcPr>
            <w:tcW w:w="237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2D0744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全年无因服务失误导致的安全事故（如下水道堵塞引发的积水事故）</w:t>
            </w:r>
          </w:p>
        </w:tc>
        <w:tc>
          <w:tcPr>
            <w:tcW w:w="284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74817F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发生一般事故扣 10 分，重大事故本项 0 分</w:t>
            </w:r>
          </w:p>
        </w:tc>
        <w:tc>
          <w:tcPr>
            <w:tcW w:w="106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4A5B61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en-US" w:eastAsia="zh-CN" w:bidi="ar-SA"/>
              </w:rPr>
            </w:pPr>
          </w:p>
        </w:tc>
      </w:tr>
      <w:tr w14:paraId="387EF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34" w:hRule="atLeast"/>
        </w:trPr>
        <w:tc>
          <w:tcPr>
            <w:tcW w:w="217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2F11037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资料完整性</w:t>
            </w:r>
          </w:p>
        </w:tc>
        <w:tc>
          <w:tcPr>
            <w:tcW w:w="1140"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7EBEF6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10 分</w:t>
            </w:r>
          </w:p>
        </w:tc>
        <w:tc>
          <w:tcPr>
            <w:tcW w:w="237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196CDF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每月或每日进度台账、设备保养记录等资料齐全，采购人签字确认率≥95%</w:t>
            </w:r>
          </w:p>
        </w:tc>
        <w:tc>
          <w:tcPr>
            <w:tcW w:w="284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5AFDC3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资料缺失一项扣 2 分，未签字一次扣 1 分</w:t>
            </w:r>
          </w:p>
        </w:tc>
        <w:tc>
          <w:tcPr>
            <w:tcW w:w="106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4ED471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en-US" w:eastAsia="zh-CN" w:bidi="ar-SA"/>
              </w:rPr>
            </w:pPr>
          </w:p>
        </w:tc>
      </w:tr>
      <w:tr w14:paraId="75119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17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411F71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小计</w:t>
            </w:r>
          </w:p>
        </w:tc>
        <w:tc>
          <w:tcPr>
            <w:tcW w:w="1140"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37AE30A9">
            <w:pPr>
              <w:keepNext w:val="0"/>
              <w:keepLines w:val="0"/>
              <w:pageBreakBefore w:val="0"/>
              <w:widowControl/>
              <w:suppressLineNumbers w:val="0"/>
              <w:kinsoku/>
              <w:wordWrap/>
              <w:overflowPunct/>
              <w:topLinePunct w:val="0"/>
              <w:autoSpaceDE/>
              <w:autoSpaceDN/>
              <w:bidi w:val="0"/>
              <w:adjustRightInd/>
              <w:snapToGrid/>
              <w:spacing w:line="240" w:lineRule="exact"/>
              <w:ind w:left="-240" w:leftChars="-100" w:firstLine="0" w:firstLineChars="0"/>
              <w:jc w:val="center"/>
              <w:textAlignment w:val="auto"/>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10</w:t>
            </w:r>
            <w:r>
              <w:rPr>
                <w:rFonts w:hint="eastAsia" w:cs="宋体"/>
                <w:b w:val="0"/>
                <w:bCs w:val="0"/>
                <w:kern w:val="2"/>
                <w:sz w:val="24"/>
                <w:szCs w:val="24"/>
                <w:highlight w:val="none"/>
                <w:lang w:val="en-US" w:eastAsia="zh-CN" w:bidi="ar-SA"/>
              </w:rPr>
              <w:t>0</w:t>
            </w:r>
            <w:r>
              <w:rPr>
                <w:rFonts w:hint="eastAsia" w:ascii="宋体" w:hAnsi="宋体" w:eastAsia="宋体" w:cs="宋体"/>
                <w:b w:val="0"/>
                <w:bCs w:val="0"/>
                <w:kern w:val="2"/>
                <w:sz w:val="24"/>
                <w:szCs w:val="24"/>
                <w:highlight w:val="none"/>
                <w:lang w:val="en-US" w:eastAsia="zh-CN" w:bidi="ar-SA"/>
              </w:rPr>
              <w:t>分</w:t>
            </w:r>
          </w:p>
        </w:tc>
        <w:tc>
          <w:tcPr>
            <w:tcW w:w="237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38A72E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en-US" w:eastAsia="zh-CN" w:bidi="ar-SA"/>
              </w:rPr>
            </w:pPr>
          </w:p>
        </w:tc>
        <w:tc>
          <w:tcPr>
            <w:tcW w:w="284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54B80F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en-US" w:eastAsia="zh-CN" w:bidi="ar-SA"/>
              </w:rPr>
            </w:pPr>
          </w:p>
        </w:tc>
        <w:tc>
          <w:tcPr>
            <w:tcW w:w="1065" w:type="dxa"/>
            <w:tcBorders>
              <w:top w:val="single" w:color="auto" w:sz="4" w:space="0"/>
              <w:left w:val="single" w:color="auto" w:sz="4" w:space="0"/>
              <w:bottom w:val="single" w:color="auto" w:sz="4" w:space="0"/>
              <w:right w:val="single" w:color="auto" w:sz="4" w:space="0"/>
            </w:tcBorders>
            <w:noWrap w:val="0"/>
            <w:tcMar>
              <w:top w:w="180" w:type="dxa"/>
              <w:left w:w="270" w:type="dxa"/>
              <w:bottom w:w="180" w:type="dxa"/>
              <w:right w:w="270" w:type="dxa"/>
            </w:tcMar>
            <w:vAlign w:val="top"/>
          </w:tcPr>
          <w:p w14:paraId="604077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kern w:val="2"/>
                <w:sz w:val="24"/>
                <w:szCs w:val="24"/>
                <w:highlight w:val="none"/>
                <w:lang w:val="en-US" w:eastAsia="zh-CN" w:bidi="ar-SA"/>
              </w:rPr>
            </w:pPr>
          </w:p>
        </w:tc>
      </w:tr>
    </w:tbl>
    <w:p w14:paraId="0DCB5951">
      <w:pPr>
        <w:keepNext w:val="0"/>
        <w:keepLines w:val="0"/>
        <w:widowControl/>
        <w:suppressLineNumbers w:val="0"/>
        <w:jc w:val="both"/>
        <w:rPr>
          <w:rFonts w:hint="eastAsia" w:ascii="宋体" w:hAnsi="宋体" w:eastAsia="宋体" w:cs="宋体"/>
          <w:b w:val="0"/>
          <w:bCs w:val="0"/>
          <w:kern w:val="2"/>
          <w:sz w:val="24"/>
          <w:szCs w:val="24"/>
          <w:highlight w:val="none"/>
          <w:lang w:val="en-US" w:eastAsia="zh-CN" w:bidi="ar-SA"/>
        </w:rPr>
      </w:pPr>
    </w:p>
    <w:p w14:paraId="693A8E78">
      <w:pPr>
        <w:keepNext w:val="0"/>
        <w:keepLines w:val="0"/>
        <w:widowControl/>
        <w:suppressLineNumbers w:val="0"/>
        <w:jc w:val="both"/>
        <w:rPr>
          <w:rFonts w:hint="default" w:ascii="宋体" w:hAnsi="宋体" w:eastAsia="宋体" w:cs="宋体"/>
          <w:b w:val="0"/>
          <w:bCs w:val="0"/>
          <w:kern w:val="2"/>
          <w:sz w:val="24"/>
          <w:szCs w:val="24"/>
          <w:highlight w:val="none"/>
          <w:lang w:val="en-US" w:eastAsia="zh-CN" w:bidi="ar-SA"/>
        </w:rPr>
      </w:pPr>
      <w:r>
        <w:rPr>
          <w:rFonts w:hint="default" w:ascii="宋体" w:hAnsi="宋体" w:eastAsia="宋体" w:cs="宋体"/>
          <w:b w:val="0"/>
          <w:bCs w:val="0"/>
          <w:kern w:val="2"/>
          <w:sz w:val="24"/>
          <w:szCs w:val="24"/>
          <w:highlight w:val="none"/>
          <w:lang w:val="en-US" w:eastAsia="zh-CN" w:bidi="ar-SA"/>
        </w:rPr>
        <w:t xml:space="preserve">1. 本评分表得分即“综合评分”，作为尾款支付的唯一依据  </w:t>
      </w:r>
    </w:p>
    <w:p w14:paraId="538409CF">
      <w:pPr>
        <w:keepNext w:val="0"/>
        <w:keepLines w:val="0"/>
        <w:widowControl/>
        <w:suppressLineNumbers w:val="0"/>
        <w:jc w:val="both"/>
        <w:rPr>
          <w:rFonts w:hint="default" w:ascii="宋体" w:hAnsi="宋体" w:eastAsia="宋体" w:cs="宋体"/>
          <w:b w:val="0"/>
          <w:bCs w:val="0"/>
          <w:kern w:val="2"/>
          <w:sz w:val="24"/>
          <w:szCs w:val="24"/>
          <w:highlight w:val="none"/>
          <w:lang w:val="en-US" w:eastAsia="zh-CN" w:bidi="ar-SA"/>
        </w:rPr>
      </w:pPr>
      <w:r>
        <w:rPr>
          <w:rFonts w:hint="default" w:ascii="宋体" w:hAnsi="宋体" w:eastAsia="宋体" w:cs="宋体"/>
          <w:b w:val="0"/>
          <w:bCs w:val="0"/>
          <w:kern w:val="2"/>
          <w:sz w:val="24"/>
          <w:szCs w:val="24"/>
          <w:highlight w:val="none"/>
          <w:lang w:val="en-US" w:eastAsia="zh-CN" w:bidi="ar-SA"/>
        </w:rPr>
        <w:t xml:space="preserve">2. 评分计算方式：各项得分之和为最终得分，保留小数点后两位。  </w:t>
      </w:r>
    </w:p>
    <w:p w14:paraId="51D0E4C9">
      <w:pPr>
        <w:keepNext w:val="0"/>
        <w:keepLines w:val="0"/>
        <w:widowControl/>
        <w:suppressLineNumbers w:val="0"/>
        <w:jc w:val="both"/>
        <w:rPr>
          <w:rFonts w:hint="eastAsia" w:ascii="宋体" w:hAnsi="宋体" w:eastAsia="宋体" w:cs="宋体"/>
          <w:b w:val="0"/>
          <w:bCs w:val="0"/>
          <w:kern w:val="2"/>
          <w:sz w:val="24"/>
          <w:szCs w:val="24"/>
          <w:highlight w:val="none"/>
          <w:lang w:val="en-US" w:eastAsia="zh-CN" w:bidi="ar-SA"/>
        </w:rPr>
      </w:pPr>
      <w:r>
        <w:rPr>
          <w:rFonts w:hint="default" w:ascii="宋体" w:hAnsi="宋体" w:eastAsia="宋体" w:cs="宋体"/>
          <w:b w:val="0"/>
          <w:bCs w:val="0"/>
          <w:kern w:val="2"/>
          <w:sz w:val="24"/>
          <w:szCs w:val="24"/>
          <w:highlight w:val="none"/>
          <w:lang w:val="en-US" w:eastAsia="zh-CN" w:bidi="ar-SA"/>
        </w:rPr>
        <w:t>3. 若存在日常考核扣款（按500元/次），需从最终结算金额中直接扣除，与评分结果无关。</w:t>
      </w:r>
    </w:p>
    <w:p w14:paraId="726C4003">
      <w:pPr>
        <w:keepNext w:val="0"/>
        <w:keepLines w:val="0"/>
        <w:widowControl/>
        <w:suppressLineNumbers w:val="0"/>
        <w:jc w:val="left"/>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en-US" w:eastAsia="zh-CN" w:bidi="ar-SA"/>
        </w:rPr>
        <w:t>4.考核评分</w:t>
      </w:r>
      <w:r>
        <w:rPr>
          <w:rFonts w:hint="eastAsia" w:cs="宋体"/>
          <w:b w:val="0"/>
          <w:bCs w:val="0"/>
          <w:kern w:val="2"/>
          <w:sz w:val="24"/>
          <w:szCs w:val="24"/>
          <w:highlight w:val="none"/>
          <w:lang w:val="en-US" w:eastAsia="zh-CN" w:bidi="ar-SA"/>
        </w:rPr>
        <w:t>合格</w:t>
      </w:r>
      <w:r>
        <w:rPr>
          <w:rFonts w:hint="eastAsia" w:ascii="宋体" w:hAnsi="宋体" w:eastAsia="宋体" w:cs="宋体"/>
          <w:b w:val="0"/>
          <w:bCs w:val="0"/>
          <w:kern w:val="2"/>
          <w:sz w:val="24"/>
          <w:szCs w:val="24"/>
          <w:highlight w:val="none"/>
          <w:lang w:val="en-US" w:eastAsia="zh-CN" w:bidi="ar-SA"/>
        </w:rPr>
        <w:t>，可续签下一年合同，低于</w:t>
      </w:r>
      <w:r>
        <w:rPr>
          <w:rFonts w:hint="eastAsia" w:cs="宋体"/>
          <w:b w:val="0"/>
          <w:bCs w:val="0"/>
          <w:kern w:val="2"/>
          <w:sz w:val="24"/>
          <w:szCs w:val="24"/>
          <w:highlight w:val="none"/>
          <w:lang w:val="en-US" w:eastAsia="zh-CN" w:bidi="ar-SA"/>
        </w:rPr>
        <w:t>6</w:t>
      </w:r>
      <w:r>
        <w:rPr>
          <w:rFonts w:hint="eastAsia" w:ascii="宋体" w:hAnsi="宋体" w:eastAsia="宋体" w:cs="宋体"/>
          <w:b w:val="0"/>
          <w:bCs w:val="0"/>
          <w:kern w:val="2"/>
          <w:sz w:val="24"/>
          <w:szCs w:val="24"/>
          <w:highlight w:val="none"/>
          <w:lang w:val="en-US" w:eastAsia="zh-CN" w:bidi="ar-SA"/>
        </w:rPr>
        <w:t>0分视为考核不通过，中止续签合同。</w:t>
      </w:r>
    </w:p>
    <w:p w14:paraId="3D97B831">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2.年度验收</w:t>
      </w:r>
    </w:p>
    <w:p w14:paraId="46E11954">
      <w:pPr>
        <w:pStyle w:val="2"/>
        <w:spacing w:before="173" w:line="221" w:lineRule="auto"/>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kern w:val="2"/>
          <w:sz w:val="24"/>
          <w:szCs w:val="24"/>
          <w:highlight w:val="none"/>
          <w:lang w:val="zh-CN" w:eastAsia="zh-CN" w:bidi="ar-SA"/>
        </w:rPr>
        <w:t>年度服务综合评分≥80分为优良，60-79分为基本合格，低于60分为不合格，考核不合格的，甲方有权终止服务合同。</w:t>
      </w:r>
    </w:p>
    <w:p w14:paraId="2D8F293B">
      <w:pPr>
        <w:pStyle w:val="2"/>
        <w:spacing w:before="175" w:line="218" w:lineRule="auto"/>
        <w:outlineLvl w:val="1"/>
        <w:rPr>
          <w:sz w:val="24"/>
          <w:szCs w:val="24"/>
          <w:highlight w:val="none"/>
        </w:rPr>
      </w:pPr>
      <w:bookmarkStart w:id="24" w:name="_Toc15979"/>
      <w:r>
        <w:rPr>
          <w:b/>
          <w:bCs/>
          <w:spacing w:val="-5"/>
          <w:sz w:val="24"/>
          <w:szCs w:val="24"/>
          <w:highlight w:val="none"/>
        </w:rPr>
        <w:t>（</w:t>
      </w:r>
      <w:r>
        <w:rPr>
          <w:rFonts w:hint="eastAsia"/>
          <w:b/>
          <w:bCs/>
          <w:spacing w:val="-5"/>
          <w:sz w:val="24"/>
          <w:szCs w:val="24"/>
          <w:highlight w:val="none"/>
          <w:lang w:val="en-US" w:eastAsia="zh-CN"/>
        </w:rPr>
        <w:t>七</w:t>
      </w:r>
      <w:r>
        <w:rPr>
          <w:b/>
          <w:bCs/>
          <w:spacing w:val="-5"/>
          <w:sz w:val="24"/>
          <w:szCs w:val="24"/>
          <w:highlight w:val="none"/>
        </w:rPr>
        <w:t>）报价要求</w:t>
      </w:r>
      <w:bookmarkEnd w:id="24"/>
    </w:p>
    <w:p w14:paraId="6ED17CD5">
      <w:pPr>
        <w:pStyle w:val="2"/>
        <w:spacing w:before="173" w:line="221" w:lineRule="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zh-CN" w:eastAsia="zh-CN" w:bidi="ar-SA"/>
        </w:rPr>
        <w:t>采用固定总报价，包含电费、人工、材料、机械、管理等全部费用</w:t>
      </w:r>
      <w:r>
        <w:rPr>
          <w:rFonts w:hint="eastAsia" w:ascii="宋体" w:hAnsi="宋体" w:cs="宋体"/>
          <w:b w:val="0"/>
          <w:bCs w:val="0"/>
          <w:kern w:val="2"/>
          <w:sz w:val="24"/>
          <w:szCs w:val="24"/>
          <w:highlight w:val="none"/>
          <w:lang w:val="zh-CN" w:eastAsia="zh-CN" w:bidi="ar-SA"/>
        </w:rPr>
        <w:t>，投标人的报价不得超过最高限价，否则为无效投标</w:t>
      </w:r>
      <w:r>
        <w:rPr>
          <w:rFonts w:hint="eastAsia" w:ascii="宋体" w:hAnsi="宋体" w:eastAsia="宋体" w:cs="宋体"/>
          <w:b w:val="0"/>
          <w:bCs w:val="0"/>
          <w:kern w:val="2"/>
          <w:sz w:val="24"/>
          <w:szCs w:val="24"/>
          <w:highlight w:val="none"/>
          <w:lang w:val="zh-CN" w:eastAsia="zh-CN" w:bidi="ar-SA"/>
        </w:rPr>
        <w:t>。</w:t>
      </w:r>
    </w:p>
    <w:p w14:paraId="5982080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426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宋体" w:hAnsi="宋体" w:eastAsia="宋体" w:cs="黑体"/>
      <w:kern w:val="2"/>
      <w:sz w:val="24"/>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line="240" w:lineRule="auto"/>
      <w:jc w:val="both"/>
    </w:pPr>
    <w:rPr>
      <w:rFonts w:ascii="Times New Roman" w:hAnsi="Times New Roman" w:cs="Times New Roman"/>
      <w:kern w:val="0"/>
      <w:sz w:val="20"/>
      <w:szCs w:val="20"/>
    </w:rPr>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o Spacing"/>
    <w:qFormat/>
    <w:uiPriority w:val="1"/>
    <w:pPr>
      <w:widowControl w:val="0"/>
    </w:pPr>
    <w:rPr>
      <w:rFonts w:ascii="宋体" w:hAnsi="宋体"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2026-07-21T06:42:29Z</dcterms:created>
  <dc:creator>Administrator</dc:creator>
  <cp:lastModifiedBy>Gemini-</cp:lastModifiedBy>
  <dcterms:modified xsi:type="dcterms:W3CDTF">2026-07-21T06:43:25Z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eyJoZGlkIjoiN2Q5ZWNjMzZmZTYzZjNmZWIzNmFhMzA4YjBhOGYxZTciLCJ1c2VySWQiOiIyODQwMzM3NDYifQ==</vt:lpwstr>
  </property>
  <property fmtid="{D5CDD505-2E9C-101B-9397-08002B2CF9AE}" pid="4" name="ICV">
    <vt:lpwstr>5DFE8A5F7594449F9118E399DABCF875_12</vt:lpwstr>
  </property>
</Properties>
</file>