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3981A">
      <w:pPr>
        <w:keepNext/>
        <w:keepLines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beforeLines="0" w:after="120" w:afterLines="0" w:line="300" w:lineRule="auto"/>
        <w:ind w:left="0" w:firstLine="0"/>
        <w:jc w:val="center"/>
        <w:outlineLvl w:val="0"/>
        <w:rPr>
          <w:rFonts w:hint="default" w:ascii="Times New Roman" w:hAnsi="Times New Roman" w:eastAsia="宋体" w:cs="Times New Roman"/>
          <w:b/>
          <w:kern w:val="0"/>
          <w:sz w:val="32"/>
          <w:szCs w:val="32"/>
          <w:highlight w:val="none"/>
          <w:lang w:val="en-US" w:eastAsia="zh-CN" w:bidi="ar-SA"/>
        </w:rPr>
      </w:pPr>
      <w:bookmarkStart w:id="0" w:name="_Toc439"/>
      <w:r>
        <w:rPr>
          <w:rFonts w:hint="default" w:ascii="Times New Roman" w:hAnsi="Times New Roman" w:eastAsia="宋体" w:cs="Times New Roman"/>
          <w:b/>
          <w:kern w:val="0"/>
          <w:sz w:val="32"/>
          <w:szCs w:val="32"/>
          <w:highlight w:val="none"/>
          <w:lang w:val="en-US" w:eastAsia="zh-CN" w:bidi="ar-SA"/>
        </w:rPr>
        <w:t>项目采购需求</w:t>
      </w:r>
      <w:bookmarkEnd w:id="0"/>
    </w:p>
    <w:p w14:paraId="7A145C0D">
      <w:pPr>
        <w:keepNext w:val="0"/>
        <w:keepLines w:val="0"/>
        <w:widowControl w:val="0"/>
        <w:bidi w:val="0"/>
        <w:spacing w:line="360" w:lineRule="auto"/>
        <w:ind w:firstLine="0" w:firstLineChars="0"/>
        <w:jc w:val="both"/>
        <w:outlineLvl w:val="2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</w:pPr>
      <w:bookmarkStart w:id="1" w:name="_Toc757"/>
      <w:bookmarkStart w:id="2" w:name="_Toc24119832"/>
      <w:bookmarkStart w:id="3" w:name="_Toc16080032"/>
      <w:bookmarkStart w:id="4" w:name="_Toc24922357"/>
      <w:bookmarkStart w:id="5" w:name="_Toc16165434"/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3.1采购标的汇总表</w:t>
      </w:r>
      <w:bookmarkEnd w:id="1"/>
    </w:p>
    <w:tbl>
      <w:tblPr>
        <w:tblStyle w:val="2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82"/>
        <w:gridCol w:w="793"/>
        <w:gridCol w:w="793"/>
        <w:gridCol w:w="793"/>
        <w:gridCol w:w="1718"/>
        <w:gridCol w:w="1243"/>
      </w:tblGrid>
      <w:tr w14:paraId="4E98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67" w:type="pc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7616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  <w:lang w:val="en-US" w:eastAsia="zh-CN"/>
              </w:rPr>
              <w:t>包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号</w:t>
            </w:r>
          </w:p>
        </w:tc>
        <w:tc>
          <w:tcPr>
            <w:tcW w:w="1398" w:type="pc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840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标的名称</w:t>
            </w:r>
          </w:p>
        </w:tc>
        <w:tc>
          <w:tcPr>
            <w:tcW w:w="465" w:type="pc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A4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计量单位</w:t>
            </w:r>
          </w:p>
        </w:tc>
        <w:tc>
          <w:tcPr>
            <w:tcW w:w="465" w:type="pct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270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数量</w:t>
            </w:r>
          </w:p>
        </w:tc>
        <w:tc>
          <w:tcPr>
            <w:tcW w:w="465" w:type="pct"/>
            <w:tcBorders>
              <w:left w:val="nil"/>
              <w:bottom w:val="single" w:color="auto" w:sz="4" w:space="0"/>
            </w:tcBorders>
            <w:vAlign w:val="center"/>
          </w:tcPr>
          <w:p w14:paraId="41D0E1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是否</w:t>
            </w:r>
          </w:p>
          <w:p w14:paraId="26699B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  <w:t>进口</w:t>
            </w:r>
          </w:p>
        </w:tc>
        <w:tc>
          <w:tcPr>
            <w:tcW w:w="1008" w:type="pct"/>
            <w:tcBorders>
              <w:left w:val="nil"/>
              <w:bottom w:val="single" w:color="auto" w:sz="4" w:space="0"/>
            </w:tcBorders>
            <w:vAlign w:val="center"/>
          </w:tcPr>
          <w:p w14:paraId="1DC38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1"/>
                <w:szCs w:val="21"/>
                <w:highlight w:val="none"/>
              </w:rPr>
              <w:t>是否专门面向中小企业采购</w:t>
            </w:r>
          </w:p>
        </w:tc>
        <w:tc>
          <w:tcPr>
            <w:tcW w:w="729" w:type="pct"/>
            <w:tcBorders>
              <w:left w:val="nil"/>
              <w:bottom w:val="single" w:color="auto" w:sz="4" w:space="0"/>
            </w:tcBorders>
            <w:vAlign w:val="center"/>
          </w:tcPr>
          <w:p w14:paraId="697B23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ascii="Times New Roman" w:hAnsi="Times New Roman" w:eastAsia="宋体" w:cs="宋体"/>
                <w:b/>
                <w:bCs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z w:val="21"/>
                <w:szCs w:val="21"/>
                <w:highlight w:val="none"/>
              </w:rPr>
              <w:t>最高限价</w:t>
            </w:r>
          </w:p>
        </w:tc>
      </w:tr>
      <w:tr w14:paraId="1F223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46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32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  <w:t>1</w:t>
            </w:r>
          </w:p>
        </w:tc>
        <w:tc>
          <w:tcPr>
            <w:tcW w:w="139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77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东西湖区2026年蔬五支沟、蔬十支沟重点水体运维服务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8A6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项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1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6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FB5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否</w:t>
            </w:r>
          </w:p>
        </w:tc>
        <w:tc>
          <w:tcPr>
            <w:tcW w:w="10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BD5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否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448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/>
              </w:rPr>
              <w:t>140万元</w:t>
            </w:r>
          </w:p>
        </w:tc>
      </w:tr>
    </w:tbl>
    <w:p w14:paraId="1F45728E">
      <w:pPr>
        <w:keepNext w:val="0"/>
        <w:keepLines w:val="0"/>
        <w:widowControl w:val="0"/>
        <w:bidi w:val="0"/>
        <w:spacing w:line="360" w:lineRule="auto"/>
        <w:ind w:firstLine="0" w:firstLineChars="0"/>
        <w:jc w:val="both"/>
        <w:outlineLvl w:val="2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</w:pPr>
      <w:bookmarkStart w:id="6" w:name="_Toc9271"/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lang w:val="en-US" w:eastAsia="zh-CN" w:bidi="ar-SA"/>
        </w:rPr>
        <w:t>3.2技术要求和商务要求</w:t>
      </w:r>
      <w:bookmarkEnd w:id="6"/>
    </w:p>
    <w:p w14:paraId="68D201E7">
      <w:pPr>
        <w:widowControl w:val="0"/>
        <w:bidi w:val="0"/>
        <w:spacing w:line="360" w:lineRule="auto"/>
        <w:ind w:firstLine="0" w:firstLineChars="0"/>
        <w:jc w:val="left"/>
        <w:outlineLvl w:val="2"/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</w:pPr>
      <w:bookmarkStart w:id="7" w:name="_Toc8749"/>
      <w:r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  <w:t>（一）服务范围及内容</w:t>
      </w:r>
      <w:bookmarkEnd w:id="7"/>
    </w:p>
    <w:p w14:paraId="1548CBA1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1、纳米曝气设备运维</w:t>
      </w:r>
    </w:p>
    <w:p w14:paraId="656ADBE0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1）日常巡检与维护：每天对纳米曝气设备进行全面巡检，包括但不限于清洁风机入口过滤棉、检查风机皮带老化程度、检查风机机械润滑油油位及油质、清洗设备膜管、检查控制箱线路老化并进行外观补漆等。</w:t>
      </w:r>
    </w:p>
    <w:p w14:paraId="66AA7907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（2）故障检修：及时处理设备冒大泡、曝气微弱、不曝气等各类故障，确保纳米曝气设备保持常态化正常运行。</w:t>
      </w:r>
    </w:p>
    <w:p w14:paraId="0ED3768D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（3）运行调节：根据水体中的溶解氧含量，科学调节曝气装置的开启组数和补水量，确保晴天时水质达到不黑臭标准，雨天后3日内水质恢复至不黑臭标准。</w:t>
      </w:r>
    </w:p>
    <w:p w14:paraId="6BDAD6FE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（4）设备更换：对无法修复的损坏设备及时进行更换。</w:t>
      </w:r>
    </w:p>
    <w:p w14:paraId="4F34782D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2、在线微生物反应器运维</w:t>
      </w:r>
    </w:p>
    <w:p w14:paraId="19DBF699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（1）定期检查：每周检查设备各组件的完好性。</w:t>
      </w:r>
    </w:p>
    <w:p w14:paraId="470B0C0D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（2）药剂补充：每月补充培养菌种所需的营养液；每半年向吨桶内补充培养菌种所需的水源。</w:t>
      </w:r>
    </w:p>
    <w:p w14:paraId="003C10E7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（3）菌种管理：当反应器内菌种因高温等因素生长不良时，及时进行补充或更换</w:t>
      </w:r>
    </w:p>
    <w:p w14:paraId="04C8D5A1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（4）故障检修：及时检修故障组件，确保设备保持常态化正常运行。</w:t>
      </w:r>
    </w:p>
    <w:p w14:paraId="4F823324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（5）设备更换：对无法修复的损坏设备及时进行更换。</w:t>
      </w:r>
    </w:p>
    <w:p w14:paraId="066976ED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3、生态促生器运维</w:t>
      </w:r>
    </w:p>
    <w:p w14:paraId="40D302DD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（1）自动运行管理：生态促生器及微生物在线工厂24小时自动开启运行。</w:t>
      </w:r>
    </w:p>
    <w:p w14:paraId="52320779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（2）药袋更换：每半年更换促生器内的药袋。</w:t>
      </w:r>
    </w:p>
    <w:p w14:paraId="399B0800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（3）日常巡检：检查设备是否正常工作，补充促生营养剂量，更换膜组件。</w:t>
      </w:r>
    </w:p>
    <w:p w14:paraId="499D2B03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（4）故障检修：及时检修故障组件，确保设备保持常态化正常运行。</w:t>
      </w:r>
    </w:p>
    <w:p w14:paraId="366E7D36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（5）设备更换：对无法修复的损坏设备及时进行更换。</w:t>
      </w:r>
    </w:p>
    <w:p w14:paraId="6B4EDDEC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4、生态浮岛养护</w:t>
      </w:r>
    </w:p>
    <w:p w14:paraId="7E4323C1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（1）植物养护：视植被长势进行除草、病虫害防治、修剪收割。正常情况下，每年收割6次。</w:t>
      </w:r>
    </w:p>
    <w:p w14:paraId="57312125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（2）废弃物处置：割下的枝叶委托有资质的环卫车进行清运并妥善处理。</w:t>
      </w:r>
    </w:p>
    <w:p w14:paraId="32CE4625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（3）补栽：因病虫害等原因造成的缺苗，每年补栽不少于4次。</w:t>
      </w:r>
    </w:p>
    <w:p w14:paraId="022AFBAF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（4）设施修复：对浮岛浮盘、框架及固定系统等设施的日常损坏进行修复（不可抗力因素造成的损坏除外）。每年汛期或暴雨洪水后，对损坏的生态浮岛及时进行更换或修复。</w:t>
      </w:r>
    </w:p>
    <w:p w14:paraId="7C394E1D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5、沟渠保洁、巡查及应急（含车辆费用）</w:t>
      </w:r>
    </w:p>
    <w:p w14:paraId="72A0AFAA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（1）日常巡查与保洁：暂按3人/年配置，对沟渠进行日常巡查和保洁。</w:t>
      </w:r>
    </w:p>
    <w:p w14:paraId="003C72D8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（2）排口调查：对入沟排水来源进行调查。</w:t>
      </w:r>
    </w:p>
    <w:p w14:paraId="6B72643B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（3）应急处置：负责沟渠相关的应急事件处理。</w:t>
      </w:r>
    </w:p>
    <w:p w14:paraId="74CC02F3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6、水质监测</w:t>
      </w:r>
    </w:p>
    <w:p w14:paraId="521F64F7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（1）监测指标：透明度、溶解氧（DO）、氨氮（NH3-N）。</w:t>
      </w:r>
    </w:p>
    <w:p w14:paraId="4D4F2E73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（2）监测频次：4月～10月，每周一次；11月～次年3月，每月2次（根据雨季情况，适当调整频次）；蔬五支沟监测点位6个；蔬十支沟监测点位4个。全年共计监测380次。</w:t>
      </w:r>
    </w:p>
    <w:p w14:paraId="1D99F2CB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7、公众评审</w:t>
      </w:r>
    </w:p>
    <w:p w14:paraId="2E14DE82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（1）公众评审：暂按2次/年计算，组织公众参与评审。</w:t>
      </w:r>
    </w:p>
    <w:p w14:paraId="538B9CFA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（2）评审内容：对运维效果、水质改善情况、公众满意度等进行综合评价。</w:t>
      </w:r>
    </w:p>
    <w:p w14:paraId="4FB00C6C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8、其他工作</w:t>
      </w:r>
    </w:p>
    <w:p w14:paraId="041D727E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（1）排口溯源：配合甲方对入沟排水来源进行溯源排查。</w:t>
      </w:r>
    </w:p>
    <w:p w14:paraId="1D1E55CC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（2）应急调度：在汛期按照调度指令进行启闭闸门、应急排渍等工作，暂按4人配置。</w:t>
      </w:r>
    </w:p>
    <w:p w14:paraId="1072CA43">
      <w:pPr>
        <w:widowControl w:val="0"/>
        <w:spacing w:line="360" w:lineRule="auto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（3）设备运行电费。</w:t>
      </w:r>
    </w:p>
    <w:p w14:paraId="5F0CFCFC">
      <w:pPr>
        <w:widowControl w:val="0"/>
        <w:bidi w:val="0"/>
        <w:spacing w:line="360" w:lineRule="auto"/>
        <w:ind w:firstLine="0" w:firstLineChars="0"/>
        <w:jc w:val="left"/>
        <w:outlineLvl w:val="2"/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</w:pPr>
      <w:bookmarkStart w:id="8" w:name="_Toc20745"/>
      <w:r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  <w:t>（二）工作要求</w:t>
      </w:r>
      <w:bookmarkEnd w:id="8"/>
    </w:p>
    <w:p w14:paraId="1D90C5FC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1、总体要求</w:t>
      </w:r>
    </w:p>
    <w:p w14:paraId="26F1840B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（1）中标人应建立完善的运维管理制度和操作规范，配备足够的管理人员和操作人员，确保各项运维工作有序开展。</w:t>
      </w:r>
    </w:p>
    <w:p w14:paraId="160175FD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（2）中标人应建立设备运行档案，详细记录设备运行状态、维护保养情况、故障处理情况等。</w:t>
      </w:r>
    </w:p>
    <w:p w14:paraId="67C73FAB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（3）中标人应建立水质监测台账，定期向采购人报送水质监测数据。</w:t>
      </w:r>
    </w:p>
    <w:p w14:paraId="7BB886FE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（4）中标人应制定应急预案，确保在突发情况下能够快速响应、有效处置。</w:t>
      </w:r>
    </w:p>
    <w:p w14:paraId="0081C31F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2、设备运维要求</w:t>
      </w:r>
    </w:p>
    <w:p w14:paraId="638159E1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（1）纳米曝气设备：确保设备完好率不低于95%，故障响应时间不超过2小时，一般故障修复时间不超过24小时。</w:t>
      </w:r>
    </w:p>
    <w:p w14:paraId="64AA2D66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（2）在线微生物反应器：确保反应器内菌种活性良好，出水水质满足要求，菌种补充或更换应及时。</w:t>
      </w:r>
    </w:p>
    <w:p w14:paraId="01572F74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（3）生态促生器：确保设备24小时连续运行，定期更换药袋，保证促生效果。</w:t>
      </w:r>
    </w:p>
    <w:p w14:paraId="2A2D7E12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（4）生态浮岛：确保植被覆盖度不低于85%，无大面积缺苗或枯死现象。满足2022年12月《湖北省房屋建筑和市政工程全过程工程咨询服务导则》及国家建设行政主管部门的相关要求。</w:t>
      </w:r>
    </w:p>
    <w:p w14:paraId="45CA8EE0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3、水质要求</w:t>
      </w:r>
    </w:p>
    <w:p w14:paraId="453865D4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确保明渠晴天时水质达到不黑臭标准，雨天后3日内水质恢复至不黑臭标准。具体水质指标如下：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58"/>
        <w:gridCol w:w="4258"/>
      </w:tblGrid>
      <w:tr w14:paraId="73BFD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8" w:type="dxa"/>
            <w:vAlign w:val="center"/>
          </w:tcPr>
          <w:p w14:paraId="262E9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指标</w:t>
            </w:r>
          </w:p>
        </w:tc>
        <w:tc>
          <w:tcPr>
            <w:tcW w:w="4258" w:type="dxa"/>
            <w:vAlign w:val="center"/>
          </w:tcPr>
          <w:p w14:paraId="0F087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不黑臭标准</w:t>
            </w:r>
          </w:p>
        </w:tc>
      </w:tr>
      <w:tr w14:paraId="5CAC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8" w:type="dxa"/>
            <w:vAlign w:val="center"/>
          </w:tcPr>
          <w:p w14:paraId="1AD39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透明度</w:t>
            </w:r>
          </w:p>
        </w:tc>
        <w:tc>
          <w:tcPr>
            <w:tcW w:w="4258" w:type="dxa"/>
            <w:vAlign w:val="center"/>
          </w:tcPr>
          <w:p w14:paraId="4119D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≥25cm</w:t>
            </w:r>
          </w:p>
        </w:tc>
      </w:tr>
      <w:tr w14:paraId="6016A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258" w:type="dxa"/>
            <w:vAlign w:val="center"/>
          </w:tcPr>
          <w:p w14:paraId="4F19F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溶解氧</w:t>
            </w:r>
          </w:p>
        </w:tc>
        <w:tc>
          <w:tcPr>
            <w:tcW w:w="4258" w:type="dxa"/>
            <w:vAlign w:val="center"/>
          </w:tcPr>
          <w:p w14:paraId="5151D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≥2.0mg/L</w:t>
            </w:r>
          </w:p>
        </w:tc>
      </w:tr>
      <w:tr w14:paraId="34A0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258" w:type="dxa"/>
            <w:vAlign w:val="center"/>
          </w:tcPr>
          <w:p w14:paraId="249C8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氨氮</w:t>
            </w:r>
          </w:p>
        </w:tc>
        <w:tc>
          <w:tcPr>
            <w:tcW w:w="4258" w:type="dxa"/>
            <w:vAlign w:val="center"/>
          </w:tcPr>
          <w:p w14:paraId="549B4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≤8.0mg/L</w:t>
            </w:r>
          </w:p>
        </w:tc>
      </w:tr>
    </w:tbl>
    <w:p w14:paraId="4C8246C6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4、人员配置要求</w:t>
      </w:r>
    </w:p>
    <w:p w14:paraId="1A12D2E9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（1）项目负责人：1人，具有相关专业背景和管理经验。</w:t>
      </w:r>
    </w:p>
    <w:p w14:paraId="6AAEAAE0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（2）运维技术人员：不少于4人，具备设备运维、水质监测等相关技能。</w:t>
      </w:r>
    </w:p>
    <w:p w14:paraId="51D65F49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（3）巡查保洁人员：不少于3人，负责沟渠日常巡查和保洁。</w:t>
      </w:r>
    </w:p>
    <w:p w14:paraId="2C57DC65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（4）应急人员：不少于4人（可与其他岗位兼任），负责应急处置。</w:t>
      </w:r>
    </w:p>
    <w:p w14:paraId="3B726825">
      <w:pPr>
        <w:widowControl w:val="0"/>
        <w:bidi w:val="0"/>
        <w:spacing w:line="360" w:lineRule="auto"/>
        <w:ind w:firstLine="0" w:firstLineChars="0"/>
        <w:jc w:val="left"/>
        <w:outlineLvl w:val="2"/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</w:pPr>
      <w:bookmarkStart w:id="9" w:name="_Toc8295"/>
      <w:r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  <w:t>（三）工作成果要求</w:t>
      </w:r>
      <w:bookmarkEnd w:id="9"/>
    </w:p>
    <w:p w14:paraId="10F8C259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1、运维台账：包括设备运行记录、维护保养记录、故障处理记录等。</w:t>
      </w:r>
    </w:p>
    <w:p w14:paraId="5E6ED334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2、水质监测报告：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lang w:val="en-US" w:eastAsia="zh-CN" w:bidi="ar-SA"/>
        </w:rPr>
        <w:t>按要求提供监测数据。</w:t>
      </w:r>
    </w:p>
    <w:p w14:paraId="35CDF74A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3、运维月报：每月提交运维工作总结报告。</w:t>
      </w:r>
    </w:p>
    <w:p w14:paraId="5A0A9FC7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4、运维年报：服务期满后提交年度运维总结报告。</w:t>
      </w:r>
    </w:p>
    <w:p w14:paraId="5437618C">
      <w:pPr>
        <w:widowControl w:val="0"/>
        <w:spacing w:line="360" w:lineRule="auto"/>
        <w:ind w:firstLine="420" w:firstLineChars="200"/>
        <w:jc w:val="both"/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5、公众评审报告：每次公众评审后提交公众报告。</w:t>
      </w:r>
    </w:p>
    <w:p w14:paraId="347D6C4C">
      <w:pPr>
        <w:widowControl w:val="0"/>
        <w:spacing w:line="360" w:lineRule="auto"/>
        <w:ind w:firstLine="420" w:firstLineChars="20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6、采购人需要的其他工作成果文件。</w:t>
      </w:r>
    </w:p>
    <w:p w14:paraId="226E0D80">
      <w:pPr>
        <w:widowControl w:val="0"/>
        <w:bidi w:val="0"/>
        <w:spacing w:line="360" w:lineRule="auto"/>
        <w:ind w:firstLine="0" w:firstLineChars="0"/>
        <w:jc w:val="left"/>
        <w:outlineLvl w:val="2"/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</w:pPr>
      <w:bookmarkStart w:id="10" w:name="_Toc23532"/>
      <w:r>
        <w:rPr>
          <w:rFonts w:hint="eastAsia" w:ascii="Times New Roman" w:hAnsi="Times New Roman" w:eastAsia="宋体" w:cs="仿宋"/>
          <w:kern w:val="2"/>
          <w:sz w:val="21"/>
          <w:szCs w:val="21"/>
          <w:lang w:val="en-US" w:eastAsia="zh-CN" w:bidi="zh-CN"/>
        </w:rPr>
        <w:t>（四）商务要求</w:t>
      </w:r>
      <w:bookmarkEnd w:id="10"/>
    </w:p>
    <w:p w14:paraId="57AE3755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（1）服务期限：1年，服务合同到期后，甲方可根据乙方履约情况选择续签，续签方式为一年一签，最多续签2年。服务期满结算后支付尾款。</w:t>
      </w:r>
    </w:p>
    <w:p w14:paraId="61E6E94D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（2）服务地点：武汉市东西湖区蔬五支沟、蔬十支沟。</w:t>
      </w:r>
    </w:p>
    <w:p w14:paraId="0F118BE2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（3）付款方式：</w:t>
      </w:r>
      <w:r>
        <w:rPr>
          <w:rFonts w:ascii="宋体" w:hAnsi="宋体" w:eastAsia="宋体" w:cs="宋体"/>
          <w:color w:val="auto"/>
          <w:sz w:val="21"/>
          <w:szCs w:val="21"/>
        </w:rPr>
        <w:t>每季度完成跟踪审计工作后，采购人依据当期实际开展服务内容据实结算对应款项；项目整体最终结算总额不得超出本项目采购预算，全部服务期满并完成整体结算后支付尾款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。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>具体以供应商与采购人签订的服务合同约定为准。</w:t>
      </w:r>
    </w:p>
    <w:p w14:paraId="026819AE">
      <w:pPr>
        <w:bidi w:val="0"/>
        <w:spacing w:line="360" w:lineRule="auto"/>
        <w:ind w:firstLine="420" w:firstLineChars="20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（4）保密要求：对项目建设过程中涉及的技术资料、运维数据等敏感信息承担保密义务，不得泄露给第三方。</w:t>
      </w:r>
    </w:p>
    <w:p w14:paraId="251DA3A3">
      <w:pPr>
        <w:bidi w:val="0"/>
        <w:spacing w:line="360" w:lineRule="auto"/>
        <w:ind w:firstLine="420" w:firstLineChars="200"/>
        <w:rPr>
          <w:rFonts w:hint="default" w:ascii="Times New Roman" w:hAnsi="Times New Roman" w:eastAsia="宋体" w:cs="Times New Roman"/>
          <w:sz w:val="30"/>
          <w:szCs w:val="22"/>
        </w:rPr>
      </w:pP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（5）售后服务：服务期内，中标人应在收到采购人通知后2小时内响应，一般问题24小时内解决，重大问题48小时内解决。</w:t>
      </w:r>
    </w:p>
    <w:p w14:paraId="16B984A4">
      <w:pPr>
        <w:spacing w:line="360" w:lineRule="auto"/>
        <w:rPr>
          <w:rFonts w:hint="default" w:ascii="Times New Roman" w:hAnsi="Times New Roman" w:eastAsia="宋体" w:cs="Times New Roman"/>
          <w:spacing w:val="4"/>
          <w:sz w:val="22"/>
          <w:szCs w:val="22"/>
          <w:highlight w:val="none"/>
          <w:lang w:val="en-US" w:eastAsia="zh-CN"/>
        </w:rPr>
      </w:pPr>
    </w:p>
    <w:p w14:paraId="0F5C6837">
      <w:pPr>
        <w:rPr>
          <w:rFonts w:hint="default" w:ascii="Times New Roman" w:hAnsi="Times New Roman" w:eastAsia="宋体" w:cs="Times New Roman"/>
          <w:highlight w:val="none"/>
        </w:rPr>
      </w:pPr>
      <w:r>
        <w:rPr>
          <w:rFonts w:hint="default" w:ascii="Times New Roman" w:hAnsi="Times New Roman" w:eastAsia="宋体" w:cs="Times New Roman"/>
          <w:highlight w:val="none"/>
        </w:rPr>
        <w:br w:type="page"/>
      </w:r>
      <w:bookmarkEnd w:id="2"/>
      <w:bookmarkEnd w:id="3"/>
      <w:bookmarkEnd w:id="4"/>
      <w:bookmarkEnd w:id="5"/>
    </w:p>
    <w:p w14:paraId="685EE157">
      <w:bookmarkStart w:id="11" w:name="_GoBack"/>
      <w:bookmarkEnd w:id="1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japaneseCounting"/>
      <w:lvlText w:val="第%1章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/>
        <w:b/>
        <w:i w:val="0"/>
        <w:sz w:val="32"/>
        <w:szCs w:val="32"/>
      </w:rPr>
    </w:lvl>
    <w:lvl w:ilvl="1" w:tentative="0">
      <w:start w:val="1"/>
      <w:numFmt w:val="chineseCountingThousand"/>
      <w:lvlText w:val="%2、"/>
      <w:lvlJc w:val="left"/>
      <w:pPr>
        <w:tabs>
          <w:tab w:val="left" w:pos="680"/>
        </w:tabs>
        <w:ind w:left="680" w:hanging="680"/>
      </w:pPr>
      <w:rPr>
        <w:rFonts w:hint="eastAsia" w:ascii="宋体" w:eastAsia="宋体"/>
        <w:b/>
        <w:i w:val="0"/>
        <w:sz w:val="24"/>
        <w:szCs w:val="24"/>
      </w:rPr>
    </w:lvl>
    <w:lvl w:ilvl="2" w:tentative="0">
      <w:start w:val="1"/>
      <w:numFmt w:val="decimal"/>
      <w:lvlText w:val="（%3）"/>
      <w:lvlJc w:val="left"/>
      <w:pPr>
        <w:tabs>
          <w:tab w:val="left" w:pos="1560"/>
        </w:tabs>
        <w:ind w:left="1560" w:hanging="7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874"/>
        </w:tabs>
        <w:ind w:left="874" w:hanging="420"/>
      </w:pPr>
      <w:rPr>
        <w:rFonts w:hint="eastAsia"/>
        <w:b/>
        <w:i w:val="0"/>
        <w:sz w:val="32"/>
        <w:szCs w:val="32"/>
      </w:rPr>
    </w:lvl>
    <w:lvl w:ilvl="4" w:tentative="0">
      <w:start w:val="1"/>
      <w:numFmt w:val="decimal"/>
      <w:lvlText w:val="%5）"/>
      <w:lvlJc w:val="left"/>
      <w:pPr>
        <w:tabs>
          <w:tab w:val="left" w:pos="851"/>
        </w:tabs>
        <w:ind w:left="964" w:hanging="284"/>
      </w:pPr>
      <w:rPr>
        <w:rFonts w:hint="default"/>
        <w:b w:val="0"/>
        <w:i w:val="0"/>
        <w:sz w:val="24"/>
        <w:szCs w:val="24"/>
      </w:rPr>
    </w:lvl>
    <w:lvl w:ilvl="5" w:tentative="0">
      <w:start w:val="1"/>
      <w:numFmt w:val="lowerLetter"/>
      <w:lvlText w:val="%6、"/>
      <w:lvlJc w:val="left"/>
      <w:pPr>
        <w:tabs>
          <w:tab w:val="left" w:pos="2460"/>
        </w:tabs>
        <w:ind w:left="2460" w:hanging="36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8823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2026-07-09T09:11:36Z</dcterms:created>
  <dc:creator>123</dc:creator>
  <cp:lastModifiedBy>123</cp:lastModifiedBy>
  <dcterms:modified xsi:type="dcterms:W3CDTF">2026-07-09T09:11:44Z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eyJoZGlkIjoiMTYzZGQ5YmJiMzhhOGQwYjU0ZjlmYzM1MGRiNjNlYTgiLCJ1c2VySWQiOiI3MDIyMTc4ODkifQ==</vt:lpwstr>
  </property>
  <property fmtid="{D5CDD505-2E9C-101B-9397-08002B2CF9AE}" pid="4" name="ICV">
    <vt:lpwstr>1DE7D144967B41CDA5EC930E52775E49_12</vt:lpwstr>
  </property>
</Properties>
</file>