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DCCA48">
      <w:pPr>
        <w:pStyle w:val="5"/>
        <w:bidi w:val="0"/>
      </w:pPr>
    </w:p>
    <w:p w14:paraId="32BBDC4B">
      <w:pPr>
        <w:ind w:firstLine="0" w:firstLineChars="0"/>
        <w:jc w:val="center"/>
        <w:rPr>
          <w:rFonts w:ascii="黑体" w:hAnsi="黑体" w:eastAsia="黑体"/>
          <w:b/>
          <w:sz w:val="72"/>
          <w:szCs w:val="72"/>
        </w:rPr>
      </w:pPr>
      <w:r>
        <w:rPr>
          <w:rFonts w:hint="eastAsia" w:ascii="黑体" w:hAnsi="黑体" w:eastAsia="黑体"/>
          <w:b/>
          <w:sz w:val="72"/>
          <w:szCs w:val="72"/>
        </w:rPr>
        <w:t>武汉市东西湖区</w:t>
      </w:r>
    </w:p>
    <w:p w14:paraId="79EA6601">
      <w:pPr>
        <w:ind w:firstLine="0" w:firstLineChars="0"/>
        <w:jc w:val="center"/>
        <w:rPr>
          <w:rFonts w:ascii="黑体" w:hAnsi="黑体" w:eastAsia="黑体"/>
          <w:sz w:val="72"/>
          <w:szCs w:val="72"/>
        </w:rPr>
      </w:pPr>
      <w:r>
        <w:rPr>
          <w:rFonts w:hint="eastAsia" w:ascii="黑体" w:hAnsi="黑体" w:eastAsia="黑体"/>
          <w:b/>
          <w:sz w:val="72"/>
          <w:szCs w:val="72"/>
        </w:rPr>
        <w:t>区级政府采购</w:t>
      </w:r>
    </w:p>
    <w:p w14:paraId="169436A2">
      <w:pPr>
        <w:ind w:firstLine="2891" w:firstLineChars="400"/>
        <w:jc w:val="both"/>
        <w:rPr>
          <w:rFonts w:ascii="黑体" w:hAnsi="黑体" w:eastAsia="黑体"/>
          <w:b/>
          <w:sz w:val="72"/>
          <w:szCs w:val="72"/>
        </w:rPr>
      </w:pPr>
      <w:r>
        <w:rPr>
          <w:rFonts w:hint="eastAsia" w:ascii="黑体" w:hAnsi="黑体" w:eastAsia="黑体"/>
          <w:b/>
          <w:sz w:val="72"/>
          <w:szCs w:val="72"/>
        </w:rPr>
        <w:t>采购需求文件</w:t>
      </w:r>
    </w:p>
    <w:p w14:paraId="3D7E488B">
      <w:pPr>
        <w:ind w:firstLine="1440"/>
        <w:jc w:val="right"/>
        <w:rPr>
          <w:rFonts w:ascii="黑体" w:hAnsi="黑体" w:eastAsia="黑体"/>
          <w:sz w:val="72"/>
          <w:szCs w:val="72"/>
        </w:rPr>
      </w:pPr>
    </w:p>
    <w:p w14:paraId="271FCF25">
      <w:pPr>
        <w:ind w:right="1306" w:rightChars="622" w:firstLine="1084" w:firstLineChars="300"/>
        <w:rPr>
          <w:rFonts w:hint="default" w:ascii="宋体" w:hAnsi="宋体" w:eastAsia="宋体"/>
          <w:color w:val="FF0000"/>
          <w:sz w:val="36"/>
          <w:szCs w:val="36"/>
          <w:lang w:val="en-US" w:eastAsia="zh-CN"/>
        </w:rPr>
      </w:pPr>
      <w:r>
        <w:rPr>
          <w:rFonts w:hint="eastAsia" w:ascii="宋体" w:hAnsi="宋体"/>
          <w:b/>
          <w:sz w:val="36"/>
          <w:szCs w:val="36"/>
        </w:rPr>
        <w:t>计划编号：420112-2026-01090</w:t>
      </w:r>
    </w:p>
    <w:p w14:paraId="204E5B1B">
      <w:pPr>
        <w:tabs>
          <w:tab w:val="left" w:pos="7980"/>
          <w:tab w:val="left" w:pos="9030"/>
        </w:tabs>
        <w:spacing w:beforeLines="100" w:afterLines="100" w:line="480" w:lineRule="auto"/>
        <w:ind w:left="2886" w:leftChars="342" w:right="172" w:rightChars="82" w:hanging="2168" w:hangingChars="600"/>
        <w:rPr>
          <w:rFonts w:hint="eastAsia" w:ascii="宋体" w:hAnsi="宋体" w:eastAsia="黑体" w:cs="Times New Roman"/>
          <w:b/>
          <w:bCs/>
          <w:sz w:val="36"/>
          <w:szCs w:val="36"/>
          <w:highlight w:val="none"/>
          <w:lang w:val="en-US" w:eastAsia="zh-CN"/>
        </w:rPr>
      </w:pPr>
      <w:r>
        <w:rPr>
          <w:rFonts w:hint="eastAsia" w:ascii="宋体" w:hAnsi="宋体"/>
          <w:b/>
          <w:sz w:val="36"/>
          <w:szCs w:val="36"/>
        </w:rPr>
        <w:t>项目名称：2026年湖北省中职发展引导奖补资金武汉市东西湖职业技术学校项目</w:t>
      </w:r>
    </w:p>
    <w:p w14:paraId="5857A037">
      <w:pPr>
        <w:ind w:left="2891" w:right="735" w:rightChars="350" w:hanging="2880" w:hangingChars="800"/>
        <w:rPr>
          <w:rFonts w:ascii="宋体" w:hAnsi="宋体"/>
          <w:sz w:val="36"/>
          <w:szCs w:val="36"/>
        </w:rPr>
      </w:pPr>
    </w:p>
    <w:p w14:paraId="06CE3A3E">
      <w:pPr>
        <w:ind w:left="2886" w:leftChars="342" w:right="735" w:rightChars="350" w:hanging="2168" w:hangingChars="600"/>
        <w:rPr>
          <w:rFonts w:hint="default" w:ascii="宋体" w:hAnsi="宋体" w:eastAsia="宋体"/>
          <w:color w:val="FF0000"/>
          <w:sz w:val="36"/>
          <w:szCs w:val="36"/>
          <w:lang w:val="en-US" w:eastAsia="zh-CN"/>
        </w:rPr>
      </w:pPr>
      <w:r>
        <w:rPr>
          <w:rFonts w:hint="eastAsia" w:ascii="宋体" w:hAnsi="宋体"/>
          <w:b/>
          <w:sz w:val="36"/>
          <w:szCs w:val="36"/>
        </w:rPr>
        <w:t>招标内容：</w:t>
      </w:r>
      <w:r>
        <w:rPr>
          <w:rFonts w:hint="eastAsia" w:ascii="宋体" w:hAnsi="宋体"/>
          <w:b/>
          <w:sz w:val="36"/>
          <w:szCs w:val="36"/>
          <w:lang w:val="en-US" w:eastAsia="zh-CN"/>
        </w:rPr>
        <w:t>教学用台式计算机</w:t>
      </w:r>
    </w:p>
    <w:p w14:paraId="1EB75195">
      <w:pPr>
        <w:ind w:firstLine="0" w:firstLineChars="0"/>
        <w:jc w:val="both"/>
        <w:rPr>
          <w:rFonts w:ascii="黑体" w:hAnsi="黑体" w:eastAsia="黑体"/>
          <w:sz w:val="72"/>
          <w:szCs w:val="72"/>
        </w:rPr>
      </w:pPr>
    </w:p>
    <w:p w14:paraId="1E5FC318">
      <w:pPr>
        <w:ind w:firstLine="1084" w:firstLineChars="300"/>
        <w:jc w:val="both"/>
        <w:rPr>
          <w:rFonts w:hint="eastAsia" w:ascii="宋体" w:hAnsi="宋体" w:cs="Times New Roman"/>
          <w:sz w:val="36"/>
          <w:szCs w:val="36"/>
          <w:lang w:val="en-US" w:eastAsia="zh-CN"/>
        </w:rPr>
      </w:pPr>
      <w:r>
        <w:rPr>
          <w:rFonts w:ascii="宋体" w:hAnsi="宋体"/>
          <w:b/>
          <w:sz w:val="36"/>
          <w:szCs w:val="36"/>
        </w:rPr>
        <w:t>采购人名称：</w:t>
      </w:r>
      <w:r>
        <w:rPr>
          <w:rFonts w:hint="eastAsia" w:ascii="黑体" w:hAnsi="黑体" w:eastAsia="黑体" w:cs="Times New Roman"/>
          <w:b w:val="0"/>
          <w:bCs w:val="0"/>
          <w:sz w:val="36"/>
          <w:szCs w:val="24"/>
        </w:rPr>
        <w:t>武汉市东西湖职业技术学校</w:t>
      </w:r>
    </w:p>
    <w:p w14:paraId="2BA07EF2">
      <w:pPr>
        <w:pStyle w:val="2"/>
        <w:rPr>
          <w:rFonts w:hint="default"/>
          <w:lang w:val="en-US"/>
        </w:rPr>
      </w:pPr>
    </w:p>
    <w:p w14:paraId="39C4C5A0">
      <w:pPr>
        <w:ind w:firstLine="1084" w:firstLineChars="300"/>
        <w:jc w:val="both"/>
        <w:rPr>
          <w:rFonts w:hint="eastAsia" w:ascii="宋体" w:hAnsi="宋体"/>
          <w:b/>
          <w:sz w:val="36"/>
          <w:szCs w:val="36"/>
        </w:rPr>
      </w:pPr>
      <w:r>
        <w:rPr>
          <w:rFonts w:hint="eastAsia" w:ascii="宋体" w:hAnsi="宋体"/>
          <w:b/>
          <w:sz w:val="36"/>
          <w:szCs w:val="36"/>
        </w:rPr>
        <w:t>提交时间：</w:t>
      </w:r>
    </w:p>
    <w:p w14:paraId="60D8A3CB">
      <w:pPr>
        <w:rPr>
          <w:rFonts w:hint="eastAsia" w:ascii="宋体" w:hAnsi="宋体"/>
          <w:b/>
          <w:sz w:val="44"/>
          <w:szCs w:val="44"/>
        </w:rPr>
      </w:pPr>
      <w:r>
        <w:rPr>
          <w:rFonts w:hint="eastAsia" w:ascii="宋体" w:hAnsi="宋体"/>
          <w:b/>
          <w:sz w:val="44"/>
          <w:szCs w:val="44"/>
        </w:rPr>
        <w:br w:type="page"/>
      </w:r>
    </w:p>
    <w:p w14:paraId="04AF60AB">
      <w:pPr>
        <w:ind w:firstLine="723"/>
        <w:jc w:val="center"/>
        <w:rPr>
          <w:rFonts w:hint="eastAsia" w:ascii="黑体" w:hAnsi="黑体" w:eastAsia="黑体"/>
          <w:b/>
          <w:sz w:val="36"/>
          <w:szCs w:val="36"/>
        </w:rPr>
      </w:pPr>
      <w:r>
        <w:rPr>
          <w:rFonts w:hint="eastAsia" w:ascii="黑体" w:hAnsi="黑体" w:eastAsia="黑体"/>
          <w:b/>
          <w:sz w:val="36"/>
          <w:szCs w:val="36"/>
        </w:rPr>
        <w:t>采购需求</w:t>
      </w:r>
    </w:p>
    <w:p w14:paraId="7C4EED24">
      <w:pPr>
        <w:ind w:firstLine="723"/>
        <w:jc w:val="left"/>
        <w:rPr>
          <w:rFonts w:ascii="宋体" w:hAnsi="宋体"/>
          <w:color w:val="000000" w:themeColor="text1"/>
          <w:sz w:val="24"/>
          <w:szCs w:val="24"/>
          <w14:textFill>
            <w14:solidFill>
              <w14:schemeClr w14:val="tx1"/>
            </w14:solidFill>
          </w14:textFill>
        </w:rPr>
      </w:pPr>
      <w:r>
        <w:rPr>
          <w:rFonts w:ascii="宋体" w:hAnsi="宋体"/>
          <w:sz w:val="24"/>
          <w:szCs w:val="24"/>
        </w:rPr>
        <w:t>依据</w:t>
      </w:r>
      <w:r>
        <w:rPr>
          <w:rFonts w:hint="eastAsia" w:ascii="宋体" w:hAnsi="宋体" w:cs="宋体"/>
          <w:color w:val="333333"/>
          <w:kern w:val="0"/>
          <w:sz w:val="24"/>
          <w:szCs w:val="24"/>
          <w:shd w:val="clear" w:color="auto" w:fill="FFFFFF"/>
        </w:rPr>
        <w:t>武汉市东西湖区财政局计划函号备</w:t>
      </w:r>
      <w:r>
        <w:rPr>
          <w:rFonts w:hint="eastAsia" w:ascii="宋体" w:hAnsi="宋体" w:cs="宋体"/>
          <w:color w:val="333333"/>
          <w:kern w:val="0"/>
          <w:sz w:val="24"/>
          <w:szCs w:val="24"/>
          <w:u w:val="single"/>
          <w:shd w:val="clear" w:color="auto" w:fill="FFFFFF"/>
        </w:rPr>
        <w:t>420112-2026-01090</w:t>
      </w:r>
      <w:r>
        <w:rPr>
          <w:rFonts w:hint="eastAsia" w:ascii="宋体" w:hAnsi="宋体" w:cs="宋体"/>
          <w:color w:val="333333"/>
          <w:kern w:val="0"/>
          <w:sz w:val="24"/>
          <w:szCs w:val="24"/>
          <w:shd w:val="clear" w:color="auto" w:fill="FFFFFF"/>
        </w:rPr>
        <w:t>案单的要求</w:t>
      </w:r>
      <w:r>
        <w:rPr>
          <w:rFonts w:ascii="宋体" w:hAnsi="宋体"/>
          <w:sz w:val="24"/>
          <w:szCs w:val="24"/>
        </w:rPr>
        <w:t>，</w:t>
      </w:r>
      <w:r>
        <w:rPr>
          <w:rFonts w:hint="eastAsia" w:ascii="宋体" w:hAnsi="宋体"/>
          <w:sz w:val="24"/>
          <w:szCs w:val="24"/>
        </w:rPr>
        <w:t>现委托武汉市东西湖区政府</w:t>
      </w:r>
      <w:r>
        <w:rPr>
          <w:rFonts w:ascii="宋体" w:hAnsi="宋体"/>
          <w:sz w:val="24"/>
          <w:szCs w:val="24"/>
        </w:rPr>
        <w:t>采购中心</w:t>
      </w:r>
      <w:r>
        <w:rPr>
          <w:rFonts w:hint="eastAsia" w:ascii="宋体" w:hAnsi="宋体" w:cs="宋体"/>
          <w:color w:val="333333"/>
          <w:kern w:val="0"/>
          <w:sz w:val="24"/>
          <w:szCs w:val="24"/>
          <w:shd w:val="clear" w:color="auto" w:fill="FFFFFF"/>
        </w:rPr>
        <w:t>就</w:t>
      </w:r>
      <w:r>
        <w:rPr>
          <w:rFonts w:hint="eastAsia" w:ascii="宋体" w:hAnsi="宋体" w:cs="宋体"/>
          <w:color w:val="333333"/>
          <w:kern w:val="0"/>
          <w:sz w:val="24"/>
          <w:szCs w:val="24"/>
          <w:u w:val="single"/>
          <w:shd w:val="clear" w:color="auto" w:fill="FFFFFF"/>
          <w:lang w:eastAsia="zh-CN"/>
        </w:rPr>
        <w:t>东西湖区</w:t>
      </w:r>
      <w:r>
        <w:rPr>
          <w:rFonts w:hint="eastAsia" w:ascii="宋体" w:hAnsi="宋体" w:cs="宋体"/>
          <w:color w:val="333333"/>
          <w:kern w:val="0"/>
          <w:sz w:val="24"/>
          <w:szCs w:val="24"/>
          <w:u w:val="single"/>
          <w:shd w:val="clear" w:color="auto" w:fill="FFFFFF"/>
          <w:lang w:val="en-US" w:eastAsia="zh-CN"/>
        </w:rPr>
        <w:t>2026年湖北省中职发展引导奖补资金武汉市东西湖职业技术学校计算机专业教学条件改善更新、汽修虚拟仿真实训室建设项目和数控专业机房建设项目</w:t>
      </w:r>
      <w:r>
        <w:rPr>
          <w:rFonts w:ascii="宋体" w:hAnsi="宋体"/>
          <w:color w:val="000000" w:themeColor="text1"/>
          <w:sz w:val="24"/>
          <w:szCs w:val="24"/>
          <w14:textFill>
            <w14:solidFill>
              <w14:schemeClr w14:val="tx1"/>
            </w14:solidFill>
          </w14:textFill>
        </w:rPr>
        <w:t>进行</w:t>
      </w:r>
      <w:r>
        <w:rPr>
          <w:rFonts w:ascii="宋体" w:hAnsi="宋体"/>
          <w:color w:val="auto"/>
          <w:sz w:val="24"/>
          <w:szCs w:val="24"/>
          <w:u w:val="single"/>
        </w:rPr>
        <w:t>公开招标</w:t>
      </w:r>
      <w:r>
        <w:rPr>
          <w:rFonts w:ascii="宋体" w:hAnsi="宋体"/>
          <w:color w:val="000000" w:themeColor="text1"/>
          <w:sz w:val="24"/>
          <w:szCs w:val="24"/>
          <w14:textFill>
            <w14:solidFill>
              <w14:schemeClr w14:val="tx1"/>
            </w14:solidFill>
          </w14:textFill>
        </w:rPr>
        <w:t>采购。本项目采购预算：</w:t>
      </w:r>
      <w:r>
        <w:rPr>
          <w:rFonts w:hint="eastAsia" w:ascii="宋体" w:hAnsi="宋体"/>
          <w:color w:val="000000" w:themeColor="text1"/>
          <w:sz w:val="24"/>
          <w:szCs w:val="24"/>
          <w14:textFill>
            <w14:solidFill>
              <w14:schemeClr w14:val="tx1"/>
            </w14:solidFill>
          </w14:textFill>
        </w:rPr>
        <w:t>人民币</w:t>
      </w:r>
      <w:r>
        <w:rPr>
          <w:rFonts w:hint="eastAsia" w:ascii="宋体" w:hAnsi="宋体"/>
          <w:color w:val="000000" w:themeColor="text1"/>
          <w:sz w:val="24"/>
          <w:szCs w:val="24"/>
          <w:u w:val="single"/>
          <w:lang w:val="en-US" w:eastAsia="zh-CN"/>
          <w14:textFill>
            <w14:solidFill>
              <w14:schemeClr w14:val="tx1"/>
            </w14:solidFill>
          </w14:textFill>
        </w:rPr>
        <w:t>386.3</w:t>
      </w:r>
      <w:r>
        <w:rPr>
          <w:rFonts w:ascii="宋体" w:hAnsi="宋体"/>
          <w:color w:val="000000" w:themeColor="text1"/>
          <w:sz w:val="24"/>
          <w:szCs w:val="24"/>
          <w14:textFill>
            <w14:solidFill>
              <w14:schemeClr w14:val="tx1"/>
            </w14:solidFill>
          </w14:textFill>
        </w:rPr>
        <w:t>万元</w:t>
      </w:r>
      <w:r>
        <w:rPr>
          <w:rFonts w:hint="eastAsia" w:ascii="宋体" w:hAnsi="宋体"/>
          <w:color w:val="000000" w:themeColor="text1"/>
          <w:sz w:val="24"/>
          <w:szCs w:val="24"/>
          <w14:textFill>
            <w14:solidFill>
              <w14:schemeClr w14:val="tx1"/>
            </w14:solidFill>
          </w14:textFill>
        </w:rPr>
        <w:t>。</w:t>
      </w:r>
    </w:p>
    <w:p w14:paraId="21B513A5">
      <w:pPr>
        <w:pStyle w:val="3"/>
        <w:ind w:firstLine="643"/>
        <w:jc w:val="center"/>
        <w:rPr>
          <w:rFonts w:ascii="宋体" w:hAnsi="宋体"/>
          <w:sz w:val="24"/>
          <w:szCs w:val="24"/>
        </w:rPr>
      </w:pPr>
      <w:bookmarkStart w:id="0" w:name="_Toc26758"/>
      <w:bookmarkStart w:id="1" w:name="_Toc1458930"/>
      <w:r>
        <w:rPr>
          <w:rFonts w:hint="eastAsia"/>
        </w:rPr>
        <w:t>第一部分供应商资格要求</w:t>
      </w:r>
      <w:bookmarkEnd w:id="0"/>
      <w:bookmarkEnd w:id="1"/>
    </w:p>
    <w:p w14:paraId="25BEDD48">
      <w:pPr>
        <w:pStyle w:val="37"/>
        <w:ind w:firstLine="480"/>
        <w:rPr>
          <w:rFonts w:ascii="宋体" w:hAnsi="宋体"/>
          <w:sz w:val="24"/>
          <w:szCs w:val="24"/>
        </w:rPr>
      </w:pPr>
      <w:r>
        <w:rPr>
          <w:rFonts w:hint="eastAsia" w:ascii="宋体" w:hAnsi="宋体"/>
          <w:sz w:val="24"/>
          <w:szCs w:val="24"/>
        </w:rPr>
        <w:t>（一）基本资格要求：</w:t>
      </w:r>
    </w:p>
    <w:p w14:paraId="20C1E56C">
      <w:pPr>
        <w:pStyle w:val="37"/>
        <w:ind w:firstLine="480"/>
        <w:rPr>
          <w:rFonts w:ascii="宋体" w:hAnsi="宋体"/>
          <w:sz w:val="24"/>
          <w:szCs w:val="24"/>
        </w:rPr>
      </w:pPr>
      <w:r>
        <w:rPr>
          <w:rFonts w:hint="eastAsia" w:ascii="宋体" w:hAnsi="宋体"/>
          <w:sz w:val="24"/>
          <w:szCs w:val="24"/>
        </w:rPr>
        <w:t>1.满足《中华人民共和国政府采购法》第二十二条规定，即：</w:t>
      </w:r>
    </w:p>
    <w:p w14:paraId="3AF92764">
      <w:pPr>
        <w:pStyle w:val="37"/>
        <w:ind w:firstLine="480"/>
        <w:rPr>
          <w:rFonts w:ascii="宋体" w:hAnsi="宋体"/>
          <w:sz w:val="24"/>
          <w:szCs w:val="24"/>
        </w:rPr>
      </w:pPr>
      <w:r>
        <w:rPr>
          <w:rFonts w:hint="eastAsia" w:ascii="宋体" w:hAnsi="宋体"/>
          <w:sz w:val="24"/>
          <w:szCs w:val="24"/>
        </w:rPr>
        <w:t>（1）具有独立承担民事责任的能力；</w:t>
      </w:r>
    </w:p>
    <w:p w14:paraId="726EEB5D">
      <w:pPr>
        <w:pStyle w:val="37"/>
        <w:ind w:firstLine="480"/>
        <w:rPr>
          <w:rFonts w:ascii="宋体" w:hAnsi="宋体"/>
          <w:sz w:val="24"/>
          <w:szCs w:val="24"/>
        </w:rPr>
      </w:pPr>
      <w:r>
        <w:rPr>
          <w:rFonts w:hint="eastAsia" w:ascii="宋体" w:hAnsi="宋体"/>
          <w:sz w:val="24"/>
          <w:szCs w:val="24"/>
        </w:rPr>
        <w:t>（2）具有良好的商业信誉和健全的财务会计制度；</w:t>
      </w:r>
    </w:p>
    <w:p w14:paraId="242A1FD1">
      <w:pPr>
        <w:pStyle w:val="37"/>
        <w:ind w:firstLine="480"/>
        <w:rPr>
          <w:rFonts w:ascii="宋体" w:hAnsi="宋体"/>
          <w:sz w:val="24"/>
          <w:szCs w:val="24"/>
        </w:rPr>
      </w:pPr>
      <w:r>
        <w:rPr>
          <w:rFonts w:hint="eastAsia" w:ascii="宋体" w:hAnsi="宋体"/>
          <w:sz w:val="24"/>
          <w:szCs w:val="24"/>
        </w:rPr>
        <w:t>（3）具有履行合同所必需的设备和专业技术能力；</w:t>
      </w:r>
    </w:p>
    <w:p w14:paraId="4330E69E">
      <w:pPr>
        <w:pStyle w:val="37"/>
        <w:ind w:firstLine="480"/>
        <w:rPr>
          <w:rFonts w:ascii="宋体" w:hAnsi="宋体"/>
          <w:sz w:val="24"/>
          <w:szCs w:val="24"/>
        </w:rPr>
      </w:pPr>
      <w:r>
        <w:rPr>
          <w:rFonts w:hint="eastAsia" w:ascii="宋体" w:hAnsi="宋体"/>
          <w:sz w:val="24"/>
          <w:szCs w:val="24"/>
        </w:rPr>
        <w:t>（4）有依法缴纳税收和社会保障资金的良好记录；</w:t>
      </w:r>
    </w:p>
    <w:p w14:paraId="7A70F4CC">
      <w:pPr>
        <w:pStyle w:val="37"/>
        <w:ind w:firstLine="480"/>
        <w:rPr>
          <w:rFonts w:ascii="宋体" w:hAnsi="宋体"/>
          <w:sz w:val="24"/>
          <w:szCs w:val="24"/>
        </w:rPr>
      </w:pPr>
      <w:r>
        <w:rPr>
          <w:rFonts w:hint="eastAsia" w:ascii="宋体" w:hAnsi="宋体"/>
          <w:sz w:val="24"/>
          <w:szCs w:val="24"/>
        </w:rPr>
        <w:t>（5）参加政府采购活动前三年内，在经营活动中没有重大违法记录；</w:t>
      </w:r>
    </w:p>
    <w:p w14:paraId="35A934A1">
      <w:pPr>
        <w:pStyle w:val="37"/>
        <w:ind w:firstLine="480"/>
        <w:rPr>
          <w:rFonts w:ascii="宋体" w:hAnsi="宋体"/>
          <w:sz w:val="24"/>
          <w:szCs w:val="24"/>
        </w:rPr>
      </w:pPr>
      <w:r>
        <w:rPr>
          <w:rFonts w:hint="eastAsia" w:ascii="宋体" w:hAnsi="宋体"/>
          <w:sz w:val="24"/>
          <w:szCs w:val="24"/>
        </w:rPr>
        <w:t>（6）法律、行政法规规定的其他条件。</w:t>
      </w:r>
    </w:p>
    <w:p w14:paraId="095CA092">
      <w:pPr>
        <w:pStyle w:val="37"/>
        <w:ind w:firstLine="480"/>
        <w:rPr>
          <w:rFonts w:ascii="宋体" w:hAnsi="宋体"/>
          <w:sz w:val="24"/>
          <w:szCs w:val="24"/>
        </w:rPr>
      </w:pPr>
      <w:r>
        <w:rPr>
          <w:rFonts w:hint="eastAsia" w:ascii="宋体" w:hAnsi="宋体"/>
          <w:sz w:val="24"/>
          <w:szCs w:val="24"/>
        </w:rPr>
        <w:t>2.单位负责人为同一人或者存在直接控股、管理关系的不同投标人，不得参加本项目同一合同项下的政府采购活动。</w:t>
      </w:r>
    </w:p>
    <w:p w14:paraId="7EB4E270">
      <w:pPr>
        <w:pStyle w:val="37"/>
        <w:ind w:firstLine="480"/>
        <w:rPr>
          <w:rFonts w:ascii="宋体" w:hAnsi="宋体"/>
          <w:sz w:val="24"/>
          <w:szCs w:val="24"/>
        </w:rPr>
      </w:pPr>
      <w:r>
        <w:rPr>
          <w:rFonts w:hint="eastAsia" w:ascii="宋体" w:hAnsi="宋体"/>
          <w:sz w:val="24"/>
          <w:szCs w:val="24"/>
        </w:rPr>
        <w:t>3.为本采购项目提供整体设计、规范编制或者项目管理、监理、检测等服务的，不得再参加本项目的其他招标采购活动。</w:t>
      </w:r>
    </w:p>
    <w:p w14:paraId="649DD82E">
      <w:pPr>
        <w:pStyle w:val="37"/>
        <w:ind w:firstLine="480"/>
        <w:rPr>
          <w:rFonts w:hint="eastAsia" w:ascii="宋体" w:hAnsi="宋体"/>
          <w:sz w:val="24"/>
          <w:szCs w:val="24"/>
        </w:rPr>
      </w:pPr>
      <w:r>
        <w:rPr>
          <w:rFonts w:hint="eastAsia" w:ascii="宋体" w:hAnsi="宋体"/>
          <w:sz w:val="24"/>
          <w:szCs w:val="24"/>
        </w:rPr>
        <w:t>4.未被列入失信被执行人、重大税收违法案件当事人名单，未被列入政府采购严重违法失信行为记录名单。</w:t>
      </w:r>
    </w:p>
    <w:p w14:paraId="13C41916">
      <w:pPr>
        <w:pStyle w:val="37"/>
        <w:ind w:firstLine="480"/>
        <w:rPr>
          <w:rFonts w:hint="eastAsia" w:ascii="宋体" w:hAnsi="宋体" w:eastAsia="宋体"/>
          <w:sz w:val="24"/>
          <w:szCs w:val="24"/>
          <w:lang w:eastAsia="zh-CN"/>
        </w:rPr>
      </w:pPr>
      <w:r>
        <w:rPr>
          <w:rFonts w:hint="eastAsia" w:ascii="宋体" w:hAnsi="宋体"/>
          <w:sz w:val="24"/>
          <w:szCs w:val="24"/>
        </w:rPr>
        <w:t>（二）落实政府采购政策需满足的资格要求：</w:t>
      </w:r>
      <w:r>
        <w:rPr>
          <w:rFonts w:hint="eastAsia" w:ascii="宋体" w:hAnsi="宋体"/>
          <w:sz w:val="24"/>
          <w:szCs w:val="24"/>
          <w:lang w:eastAsia="zh-CN"/>
        </w:rPr>
        <w:t>无</w:t>
      </w:r>
    </w:p>
    <w:p w14:paraId="08963C91">
      <w:pPr>
        <w:pStyle w:val="37"/>
        <w:ind w:firstLine="480"/>
        <w:rPr>
          <w:rFonts w:hint="eastAsia" w:eastAsia="宋体"/>
          <w:lang w:val="en-US" w:eastAsia="zh-CN"/>
        </w:rPr>
      </w:pPr>
      <w:r>
        <w:rPr>
          <w:rFonts w:hint="eastAsia" w:ascii="宋体" w:hAnsi="宋体"/>
          <w:sz w:val="24"/>
          <w:szCs w:val="24"/>
        </w:rPr>
        <w:t>（三）本项目的</w:t>
      </w:r>
      <w:r>
        <w:rPr>
          <w:rFonts w:hint="eastAsia" w:ascii="宋体" w:hAnsi="宋体"/>
          <w:b/>
          <w:sz w:val="24"/>
          <w:szCs w:val="24"/>
        </w:rPr>
        <w:t>特定资格要求</w:t>
      </w:r>
      <w:r>
        <w:rPr>
          <w:rFonts w:hint="eastAsia" w:ascii="宋体" w:hAnsi="宋体"/>
          <w:sz w:val="24"/>
          <w:szCs w:val="24"/>
        </w:rPr>
        <w:t>：</w:t>
      </w:r>
      <w:bookmarkStart w:id="2" w:name="_Toc1458932"/>
      <w:r>
        <w:rPr>
          <w:rFonts w:hint="eastAsia" w:ascii="宋体" w:hAnsi="宋体" w:cs="Times New Roman"/>
          <w:sz w:val="24"/>
          <w:szCs w:val="24"/>
          <w:lang w:val="en-US" w:eastAsia="zh-CN"/>
        </w:rPr>
        <w:t>无</w:t>
      </w:r>
    </w:p>
    <w:bookmarkEnd w:id="2"/>
    <w:p w14:paraId="453A4F3F">
      <w:pPr>
        <w:ind w:firstLine="420"/>
        <w:rPr>
          <w:rFonts w:hint="eastAsia"/>
        </w:rPr>
      </w:pPr>
      <w:bookmarkStart w:id="3" w:name="_Toc1458931"/>
    </w:p>
    <w:p w14:paraId="74635111">
      <w:pPr>
        <w:pStyle w:val="17"/>
        <w:rPr>
          <w:rFonts w:hint="eastAsia"/>
        </w:rPr>
      </w:pPr>
    </w:p>
    <w:p w14:paraId="4F112286">
      <w:pPr>
        <w:pStyle w:val="17"/>
        <w:rPr>
          <w:rFonts w:hint="eastAsia"/>
        </w:rPr>
      </w:pPr>
    </w:p>
    <w:p w14:paraId="6E30CC98">
      <w:pPr>
        <w:pStyle w:val="3"/>
        <w:ind w:firstLine="643"/>
        <w:jc w:val="center"/>
        <w:rPr>
          <w:rFonts w:hint="eastAsia"/>
        </w:rPr>
      </w:pPr>
      <w:bookmarkStart w:id="4" w:name="_Toc2539"/>
      <w:r>
        <w:rPr>
          <w:rFonts w:hint="eastAsia"/>
        </w:rPr>
        <w:t>第二部分</w:t>
      </w:r>
      <w:bookmarkStart w:id="5" w:name="_Toc509997285"/>
      <w:bookmarkStart w:id="6" w:name="_Toc1421483"/>
      <w:r>
        <w:rPr>
          <w:rFonts w:hint="eastAsia"/>
        </w:rPr>
        <w:t>技术、服务及商务要求</w:t>
      </w:r>
      <w:bookmarkEnd w:id="3"/>
      <w:bookmarkEnd w:id="4"/>
      <w:bookmarkEnd w:id="5"/>
      <w:bookmarkEnd w:id="6"/>
    </w:p>
    <w:p w14:paraId="7F7DE3A7">
      <w:pPr>
        <w:pStyle w:val="53"/>
        <w:spacing w:line="576" w:lineRule="exact"/>
        <w:ind w:firstLine="480"/>
        <w:jc w:val="left"/>
        <w:rPr>
          <w:rFonts w:ascii="仿宋" w:hAnsi="仿宋" w:eastAsia="仿宋" w:cs="宋体"/>
          <w:b/>
          <w:bCs/>
          <w:color w:val="000000"/>
          <w:sz w:val="24"/>
          <w:szCs w:val="24"/>
        </w:rPr>
      </w:pPr>
      <w:bookmarkStart w:id="7" w:name="_Toc19901"/>
      <w:r>
        <w:rPr>
          <w:rFonts w:hint="eastAsia" w:ascii="仿宋" w:hAnsi="仿宋" w:eastAsia="仿宋" w:cs="宋体"/>
          <w:b/>
          <w:bCs/>
          <w:color w:val="000000"/>
          <w:sz w:val="24"/>
          <w:szCs w:val="24"/>
        </w:rPr>
        <w:t>说明：1.投标人在投标文件</w:t>
      </w:r>
      <w:r>
        <w:rPr>
          <w:rFonts w:hint="eastAsia" w:ascii="仿宋" w:hAnsi="仿宋" w:eastAsia="仿宋" w:cs="宋体"/>
          <w:b/>
          <w:bCs/>
          <w:sz w:val="24"/>
          <w:szCs w:val="24"/>
        </w:rPr>
        <w:t>《采购需求响应、偏离说明表</w:t>
      </w:r>
      <w:r>
        <w:rPr>
          <w:rFonts w:hint="eastAsia" w:ascii="仿宋" w:hAnsi="仿宋" w:eastAsia="仿宋" w:cs="宋体"/>
          <w:b/>
          <w:bCs/>
          <w:sz w:val="24"/>
          <w:szCs w:val="24"/>
          <w:lang w:eastAsia="zh-CN"/>
        </w:rPr>
        <w:t>（</w:t>
      </w:r>
      <w:r>
        <w:rPr>
          <w:rFonts w:hint="eastAsia" w:ascii="仿宋" w:hAnsi="仿宋" w:eastAsia="仿宋" w:cs="宋体"/>
          <w:b/>
          <w:bCs/>
          <w:sz w:val="24"/>
          <w:szCs w:val="24"/>
          <w:lang w:val="en-US" w:eastAsia="zh-CN"/>
        </w:rPr>
        <w:t>不含★号条款）</w:t>
      </w:r>
      <w:r>
        <w:rPr>
          <w:rFonts w:hint="eastAsia" w:ascii="仿宋" w:hAnsi="仿宋" w:eastAsia="仿宋" w:cs="宋体"/>
          <w:b/>
          <w:bCs/>
          <w:sz w:val="24"/>
          <w:szCs w:val="24"/>
        </w:rPr>
        <w:t>》</w:t>
      </w:r>
      <w:r>
        <w:rPr>
          <w:rFonts w:hint="eastAsia" w:ascii="仿宋" w:hAnsi="仿宋" w:eastAsia="仿宋" w:cs="宋体"/>
          <w:b/>
          <w:bCs/>
          <w:color w:val="000000"/>
          <w:sz w:val="24"/>
          <w:szCs w:val="24"/>
        </w:rPr>
        <w:t>中应对以下条款进行响应描述或偏离说明。</w:t>
      </w:r>
    </w:p>
    <w:p w14:paraId="79D8716A">
      <w:pPr>
        <w:pStyle w:val="2"/>
        <w:ind w:firstLine="602"/>
        <w:rPr>
          <w:rFonts w:hint="eastAsia" w:ascii="仿宋" w:hAnsi="仿宋" w:eastAsia="仿宋" w:cs="宋体"/>
          <w:b/>
          <w:bCs/>
          <w:color w:val="000000"/>
          <w:sz w:val="24"/>
          <w:szCs w:val="24"/>
        </w:rPr>
      </w:pPr>
      <w:r>
        <w:rPr>
          <w:rFonts w:hint="eastAsia" w:ascii="仿宋" w:hAnsi="仿宋" w:eastAsia="仿宋" w:cs="宋体"/>
          <w:b/>
          <w:bCs/>
          <w:color w:val="000000"/>
          <w:sz w:val="24"/>
          <w:szCs w:val="24"/>
        </w:rPr>
        <w:t>2.招标文件中“★”标注的技术、服务及商务要求，应满足或优于，如有不满足的其投标按照无效投标处理。</w:t>
      </w:r>
    </w:p>
    <w:p w14:paraId="4578C7D2">
      <w:pPr>
        <w:pStyle w:val="2"/>
        <w:ind w:firstLine="602"/>
        <w:rPr>
          <w:rFonts w:hint="default" w:eastAsia="宋体"/>
          <w:sz w:val="30"/>
          <w:szCs w:val="30"/>
          <w:lang w:val="en-US" w:eastAsia="zh-CN"/>
        </w:rPr>
      </w:pPr>
      <w:r>
        <w:rPr>
          <w:rFonts w:hint="eastAsia"/>
          <w:sz w:val="30"/>
          <w:szCs w:val="30"/>
          <w:lang w:val="en-US" w:eastAsia="zh-CN"/>
        </w:rPr>
        <w:t>一</w:t>
      </w:r>
      <w:r>
        <w:rPr>
          <w:rFonts w:hint="eastAsia"/>
          <w:sz w:val="30"/>
          <w:szCs w:val="30"/>
        </w:rPr>
        <w:t>、</w:t>
      </w:r>
      <w:r>
        <w:rPr>
          <w:rFonts w:hint="eastAsia"/>
          <w:sz w:val="30"/>
          <w:szCs w:val="30"/>
          <w:lang w:eastAsia="zh-CN"/>
        </w:rPr>
        <w:t>第</w:t>
      </w:r>
      <w:r>
        <w:rPr>
          <w:rFonts w:hint="eastAsia"/>
          <w:sz w:val="30"/>
          <w:szCs w:val="30"/>
          <w:lang w:val="en-US" w:eastAsia="zh-CN"/>
        </w:rPr>
        <w:t>1</w:t>
      </w:r>
      <w:r>
        <w:rPr>
          <w:rFonts w:hint="eastAsia"/>
          <w:sz w:val="30"/>
          <w:szCs w:val="30"/>
          <w:lang w:eastAsia="zh-CN"/>
        </w:rPr>
        <w:t>包：武汉市东西湖职业技术学校计算机专业教学条件改善更新项目</w:t>
      </w:r>
      <w:r>
        <w:rPr>
          <w:rFonts w:hint="eastAsia"/>
          <w:sz w:val="30"/>
          <w:szCs w:val="30"/>
          <w:lang w:val="en-US" w:eastAsia="zh-CN"/>
        </w:rPr>
        <w:t>258.5万元</w:t>
      </w:r>
    </w:p>
    <w:p w14:paraId="71316B9B">
      <w:pPr>
        <w:pStyle w:val="2"/>
        <w:ind w:firstLine="602"/>
        <w:rPr>
          <w:rFonts w:hint="eastAsia"/>
          <w:sz w:val="30"/>
          <w:szCs w:val="30"/>
          <w:lang w:eastAsia="zh-CN"/>
        </w:rPr>
      </w:pPr>
      <w:r>
        <w:rPr>
          <w:rFonts w:hint="eastAsia"/>
          <w:sz w:val="30"/>
          <w:szCs w:val="30"/>
          <w:lang w:eastAsia="zh-CN"/>
        </w:rPr>
        <w:t>（一）项目概况</w:t>
      </w:r>
    </w:p>
    <w:p w14:paraId="6356EBA8">
      <w:pPr>
        <w:rPr>
          <w:rFonts w:hint="eastAsia"/>
        </w:rPr>
      </w:pPr>
      <w:r>
        <w:rPr>
          <w:rFonts w:hint="eastAsia"/>
        </w:rPr>
        <w:t>1.项目基本情况</w:t>
      </w:r>
    </w:p>
    <w:p w14:paraId="4EFD0C4F">
      <w:pPr>
        <w:rPr>
          <w:rFonts w:hint="eastAsia"/>
        </w:rPr>
      </w:pPr>
      <w:r>
        <w:rPr>
          <w:rFonts w:hint="eastAsia"/>
        </w:rPr>
        <w:t>学校基本情况：占地面积142959.6平方米，建筑面积86693.42平方米，师生共计4800余人。计算机专业近年来已完成大部分机房的建设和翻新，但目前仍有两个标准机房设备老旧、故障率高、维修价值低，无法满足当前教学实训要求，需进行升级；2017年建成的高水平实训室，4间机房共计68个可用工位，因工位有限，目前仅作为专业技能竞赛训练用，难以适配专业发展和教学实际需要，需整体调整优化；依据教育部及省厅标考文件，计算机等级考试机房不达标，需采购前端设备接入标考平台，以满足高标准高级别上机技能考试要求。</w:t>
      </w:r>
    </w:p>
    <w:p w14:paraId="64B5A4E6">
      <w:pPr>
        <w:rPr>
          <w:rFonts w:hint="eastAsia"/>
        </w:rPr>
      </w:pPr>
      <w:r>
        <w:rPr>
          <w:rFonts w:hint="eastAsia"/>
        </w:rPr>
        <w:t>随着专业迭代和教学要求的不断提高，现阶段存在教学实训设备配置落后、运行卡顿、无标考功能、维护成本居高不下等问题，已无法满足日常教学、技能实训和考试组织需求，随着人工智能、大数据、工业互联网等新增专业大类方向课程的正常开设，对专业现有实训教学条件进行全面升级改造已经势在必行。</w:t>
      </w:r>
    </w:p>
    <w:p w14:paraId="0F5955F3">
      <w:pPr>
        <w:rPr>
          <w:rFonts w:hint="eastAsia"/>
        </w:rPr>
      </w:pPr>
      <w:r>
        <w:rPr>
          <w:rFonts w:hint="eastAsia"/>
        </w:rPr>
        <w:t>2.利用率预测</w:t>
      </w:r>
    </w:p>
    <w:p w14:paraId="3097BE08">
      <w:pPr>
        <w:rPr>
          <w:rFonts w:hint="eastAsia"/>
        </w:rPr>
      </w:pPr>
      <w:r>
        <w:rPr>
          <w:rFonts w:hint="eastAsia"/>
        </w:rPr>
        <w:t>本项目将成为学校开展前沿信息技术教学与实训的核心基础设施，为人工智能、大数据等新兴学科的人才培养提供坚实的硬件平台支撑。通过设备换代与基础架构升级，强化教学过程的流畅性与稳定性，满足高并发实训、远程教学及标准化考场考试等多样化场景需求，有效提升实践教学质量。</w:t>
      </w:r>
    </w:p>
    <w:p w14:paraId="0EBC4331">
      <w:pPr>
        <w:rPr>
          <w:rFonts w:hint="eastAsia"/>
        </w:rPr>
      </w:pPr>
      <w:r>
        <w:rPr>
          <w:rFonts w:hint="eastAsia"/>
        </w:rPr>
        <w:t>通过部署云桌面管理与智能运维体系，实现对机房内所有终端设备的统一配置与远程维护，大幅简化软件环境部署流程，保障教学环境的一致性，有效降低日常运维工作量和技术门槛。发生教学软件故障时，可快速恢复系统，最大限度减少对教学秩序的影响。所有新建机房将严格按照标准化考场要求建设，安装防窥隔板、视频巡查系统，满足全国计算机等级考试及各类职业技能考试的组织需求。</w:t>
      </w:r>
    </w:p>
    <w:p w14:paraId="47E95F8C">
      <w:r>
        <w:rPr>
          <w:rFonts w:hint="eastAsia"/>
        </w:rPr>
        <w:t>通过集成智慧黑板、无感扩声与国家考试巡查系统，对教学过程进行数据化赋能，实现课堂互动的实时增强与教学体验的沉浸式提升，进一步加强现代化教学场所的综合管理与服务水平。升级后的机房将兼具日常教学与标准化考试双重功能，实现教学资源与社会服务能力的同步提升。</w:t>
      </w:r>
    </w:p>
    <w:p w14:paraId="73CF1CDF">
      <w:pPr>
        <w:pStyle w:val="2"/>
        <w:ind w:firstLine="602"/>
        <w:rPr>
          <w:rFonts w:hint="eastAsia"/>
          <w:sz w:val="30"/>
          <w:szCs w:val="30"/>
          <w:lang w:val="en-US" w:eastAsia="zh-CN"/>
        </w:rPr>
      </w:pPr>
      <w:r>
        <w:rPr>
          <w:rFonts w:hint="eastAsia"/>
          <w:sz w:val="30"/>
          <w:szCs w:val="30"/>
          <w:lang w:eastAsia="zh-CN"/>
        </w:rPr>
        <w:t>（二）采购内容</w:t>
      </w:r>
      <w:r>
        <w:rPr>
          <w:rFonts w:hint="eastAsia"/>
          <w:sz w:val="30"/>
          <w:szCs w:val="30"/>
          <w:lang w:val="en-US" w:eastAsia="zh-CN"/>
        </w:rPr>
        <w:t>清单</w:t>
      </w:r>
    </w:p>
    <w:tbl>
      <w:tblPr>
        <w:tblStyle w:val="21"/>
        <w:tblW w:w="868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53"/>
        <w:gridCol w:w="3513"/>
        <w:gridCol w:w="1300"/>
        <w:gridCol w:w="1000"/>
        <w:gridCol w:w="2123"/>
      </w:tblGrid>
      <w:tr w14:paraId="7B787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4"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0B21F902">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标的</w:t>
            </w:r>
            <w:r>
              <w:rPr>
                <w:rFonts w:hint="eastAsia" w:ascii="宋体" w:hAnsi="宋体" w:eastAsia="宋体" w:cs="宋体"/>
                <w:i w:val="0"/>
                <w:iCs w:val="0"/>
                <w:color w:val="000000"/>
                <w:kern w:val="0"/>
                <w:sz w:val="24"/>
                <w:szCs w:val="24"/>
                <w:u w:val="none"/>
                <w:lang w:val="en-US" w:eastAsia="zh-CN" w:bidi="ar"/>
              </w:rPr>
              <w:t>序号</w:t>
            </w:r>
          </w:p>
        </w:tc>
        <w:tc>
          <w:tcPr>
            <w:tcW w:w="3513" w:type="dxa"/>
            <w:tcBorders>
              <w:top w:val="single" w:color="000000" w:sz="4" w:space="0"/>
              <w:left w:val="single" w:color="000000" w:sz="4" w:space="0"/>
              <w:bottom w:val="single" w:color="000000" w:sz="4" w:space="0"/>
              <w:right w:val="single" w:color="000000" w:sz="4" w:space="0"/>
            </w:tcBorders>
            <w:noWrap w:val="0"/>
            <w:vAlign w:val="center"/>
          </w:tcPr>
          <w:p w14:paraId="13332A61">
            <w:pPr>
              <w:keepNext w:val="0"/>
              <w:keepLines w:val="0"/>
              <w:widowControl/>
              <w:suppressLineNumbers w:val="0"/>
              <w:spacing w:line="240" w:lineRule="auto"/>
              <w:ind w:firstLine="0" w:firstLineChars="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标的</w:t>
            </w:r>
            <w:r>
              <w:rPr>
                <w:rFonts w:hint="eastAsia" w:ascii="宋体" w:hAnsi="宋体" w:eastAsia="宋体" w:cs="宋体"/>
                <w:i w:val="0"/>
                <w:iCs w:val="0"/>
                <w:color w:val="000000"/>
                <w:kern w:val="0"/>
                <w:sz w:val="24"/>
                <w:szCs w:val="24"/>
                <w:u w:val="none"/>
                <w:lang w:val="en-US" w:eastAsia="zh-CN" w:bidi="ar"/>
              </w:rPr>
              <w:t>名称</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3A9386EC">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计量单位</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30015252">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数量</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715F0A65">
            <w:pPr>
              <w:keepNext w:val="0"/>
              <w:keepLines w:val="0"/>
              <w:widowControl/>
              <w:suppressLineNumbers w:val="0"/>
              <w:spacing w:line="240" w:lineRule="auto"/>
              <w:ind w:firstLine="0" w:firstLineChars="0"/>
              <w:jc w:val="center"/>
              <w:textAlignment w:val="center"/>
              <w:rPr>
                <w:rFonts w:hint="default"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要求/备注</w:t>
            </w:r>
          </w:p>
        </w:tc>
      </w:tr>
      <w:tr w14:paraId="782C9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3918FEAA">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513" w:type="dxa"/>
            <w:tcBorders>
              <w:top w:val="single" w:color="000000" w:sz="4" w:space="0"/>
              <w:left w:val="single" w:color="000000" w:sz="4" w:space="0"/>
              <w:bottom w:val="single" w:color="000000" w:sz="4" w:space="0"/>
              <w:right w:val="single" w:color="000000" w:sz="4" w:space="0"/>
            </w:tcBorders>
            <w:noWrap w:val="0"/>
            <w:vAlign w:val="center"/>
          </w:tcPr>
          <w:p w14:paraId="1E6C08A1">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实训终端</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02FB8854">
            <w:pPr>
              <w:keepNext w:val="0"/>
              <w:keepLines w:val="0"/>
              <w:widowControl/>
              <w:suppressLineNumbers w:val="0"/>
              <w:spacing w:line="240" w:lineRule="auto"/>
              <w:ind w:firstLine="0" w:firstLineChars="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0F4D01AE">
            <w:pPr>
              <w:keepNext w:val="0"/>
              <w:keepLines w:val="0"/>
              <w:widowControl/>
              <w:suppressLineNumbers w:val="0"/>
              <w:spacing w:line="240" w:lineRule="auto"/>
              <w:ind w:firstLine="0" w:firstLineChars="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100</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4FADA921">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强制节能产品</w:t>
            </w:r>
          </w:p>
        </w:tc>
      </w:tr>
      <w:tr w14:paraId="77204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6035930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3513" w:type="dxa"/>
            <w:tcBorders>
              <w:top w:val="single" w:color="000000" w:sz="4" w:space="0"/>
              <w:left w:val="single" w:color="000000" w:sz="4" w:space="0"/>
              <w:bottom w:val="single" w:color="000000" w:sz="4" w:space="0"/>
              <w:right w:val="single" w:color="000000" w:sz="4" w:space="0"/>
            </w:tcBorders>
            <w:noWrap w:val="0"/>
            <w:vAlign w:val="center"/>
          </w:tcPr>
          <w:p w14:paraId="523FAE2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高性能实训终端</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04CF7AA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1C06D96E">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216C0AB4">
            <w:pPr>
              <w:keepNext w:val="0"/>
              <w:keepLines w:val="0"/>
              <w:widowControl/>
              <w:suppressLineNumbers w:val="0"/>
              <w:ind w:left="0" w:leftChars="0" w:firstLine="0" w:firstLineChars="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核心产品</w:t>
            </w:r>
          </w:p>
          <w:p w14:paraId="7C5B86A7">
            <w:pPr>
              <w:keepNext w:val="0"/>
              <w:keepLines w:val="0"/>
              <w:widowControl/>
              <w:suppressLineNumbers w:val="0"/>
              <w:ind w:left="0" w:leftChars="0" w:firstLine="0" w:firstLineChars="0"/>
              <w:jc w:val="center"/>
              <w:textAlignment w:val="center"/>
              <w:rPr>
                <w:rFonts w:hint="eastAsia"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强制节能产品</w:t>
            </w:r>
          </w:p>
        </w:tc>
      </w:tr>
      <w:tr w14:paraId="76C42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42E7B1B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3513" w:type="dxa"/>
            <w:tcBorders>
              <w:top w:val="single" w:color="000000" w:sz="4" w:space="0"/>
              <w:left w:val="single" w:color="000000" w:sz="4" w:space="0"/>
              <w:bottom w:val="single" w:color="000000" w:sz="4" w:space="0"/>
              <w:right w:val="single" w:color="000000" w:sz="4" w:space="0"/>
            </w:tcBorders>
            <w:noWrap w:val="0"/>
            <w:vAlign w:val="center"/>
          </w:tcPr>
          <w:p w14:paraId="4A75700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实训终端利旧更新</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21C00BE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148F7E70">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40</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5D70D7B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159D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0863D62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3513" w:type="dxa"/>
            <w:tcBorders>
              <w:top w:val="single" w:color="000000" w:sz="4" w:space="0"/>
              <w:left w:val="single" w:color="000000" w:sz="4" w:space="0"/>
              <w:bottom w:val="single" w:color="000000" w:sz="4" w:space="0"/>
              <w:right w:val="single" w:color="000000" w:sz="4" w:space="0"/>
            </w:tcBorders>
            <w:noWrap w:val="0"/>
            <w:vAlign w:val="center"/>
          </w:tcPr>
          <w:p w14:paraId="4BF7459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云管理系统</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5D5C1C9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5DB32E0C">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021D5D5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30835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1"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1FE995A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3513" w:type="dxa"/>
            <w:tcBorders>
              <w:top w:val="single" w:color="000000" w:sz="4" w:space="0"/>
              <w:left w:val="single" w:color="000000" w:sz="4" w:space="0"/>
              <w:bottom w:val="nil"/>
              <w:right w:val="single" w:color="000000" w:sz="4" w:space="0"/>
            </w:tcBorders>
            <w:noWrap w:val="0"/>
            <w:vAlign w:val="center"/>
          </w:tcPr>
          <w:p w14:paraId="3599552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桌面管理系统</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334C4BC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58818F0E">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140</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6FC21BC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131C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6"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3C95AA0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3513" w:type="dxa"/>
            <w:tcBorders>
              <w:top w:val="single" w:color="000000" w:sz="4" w:space="0"/>
              <w:left w:val="single" w:color="000000" w:sz="4" w:space="0"/>
              <w:bottom w:val="nil"/>
              <w:right w:val="single" w:color="000000" w:sz="4" w:space="0"/>
            </w:tcBorders>
            <w:noWrap w:val="0"/>
            <w:vAlign w:val="center"/>
          </w:tcPr>
          <w:p w14:paraId="17D0526C">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教学管理系统</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1D91E9F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10524C8D">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18942E0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4773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7"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74F5484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3513" w:type="dxa"/>
            <w:tcBorders>
              <w:top w:val="single" w:color="000000" w:sz="4" w:space="0"/>
              <w:left w:val="single" w:color="000000" w:sz="4" w:space="0"/>
              <w:bottom w:val="single" w:color="000000" w:sz="4" w:space="0"/>
              <w:right w:val="single" w:color="000000" w:sz="4" w:space="0"/>
            </w:tcBorders>
            <w:noWrap w:val="0"/>
            <w:vAlign w:val="center"/>
          </w:tcPr>
          <w:p w14:paraId="28143DE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WPS一级等级考试系统</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2F7975D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106EAF36">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66EEBF4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3C12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691F9F3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3513" w:type="dxa"/>
            <w:tcBorders>
              <w:top w:val="single" w:color="000000" w:sz="4" w:space="0"/>
              <w:left w:val="single" w:color="000000" w:sz="4" w:space="0"/>
              <w:bottom w:val="single" w:color="000000" w:sz="4" w:space="0"/>
              <w:right w:val="single" w:color="000000" w:sz="4" w:space="0"/>
            </w:tcBorders>
            <w:noWrap w:val="0"/>
            <w:vAlign w:val="center"/>
          </w:tcPr>
          <w:p w14:paraId="4741334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考场半球摄像机</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77E238D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07A3D47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1E9ACB9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863D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5BE088C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3513" w:type="dxa"/>
            <w:tcBorders>
              <w:top w:val="single" w:color="000000" w:sz="4" w:space="0"/>
              <w:left w:val="single" w:color="000000" w:sz="4" w:space="0"/>
              <w:bottom w:val="single" w:color="000000" w:sz="4" w:space="0"/>
              <w:right w:val="single" w:color="000000" w:sz="4" w:space="0"/>
            </w:tcBorders>
            <w:noWrap w:val="0"/>
            <w:vAlign w:val="center"/>
          </w:tcPr>
          <w:p w14:paraId="3C249B6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考场半球拾音器</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37932C2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79819BF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4DEF152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87EB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39C89EC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3513" w:type="dxa"/>
            <w:tcBorders>
              <w:top w:val="single" w:color="000000" w:sz="4" w:space="0"/>
              <w:left w:val="single" w:color="000000" w:sz="4" w:space="0"/>
              <w:bottom w:val="single" w:color="000000" w:sz="4" w:space="0"/>
              <w:right w:val="single" w:color="000000" w:sz="4" w:space="0"/>
            </w:tcBorders>
            <w:noWrap w:val="0"/>
            <w:vAlign w:val="center"/>
          </w:tcPr>
          <w:p w14:paraId="73AB361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巡查POE交换机</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2EDAB0A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59F6805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07EF56E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2F8DC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336942A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w:t>
            </w:r>
          </w:p>
        </w:tc>
        <w:tc>
          <w:tcPr>
            <w:tcW w:w="3513" w:type="dxa"/>
            <w:tcBorders>
              <w:top w:val="single" w:color="000000" w:sz="4" w:space="0"/>
              <w:left w:val="single" w:color="000000" w:sz="4" w:space="0"/>
              <w:bottom w:val="single" w:color="000000" w:sz="4" w:space="0"/>
              <w:right w:val="single" w:color="000000" w:sz="4" w:space="0"/>
            </w:tcBorders>
            <w:noWrap w:val="0"/>
            <w:vAlign w:val="center"/>
          </w:tcPr>
          <w:p w14:paraId="62587C9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智慧教学终端</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6F53B26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630339D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3820D4C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强制节能产品</w:t>
            </w:r>
          </w:p>
        </w:tc>
      </w:tr>
      <w:tr w14:paraId="3B057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4B47A51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3513" w:type="dxa"/>
            <w:tcBorders>
              <w:top w:val="single" w:color="000000" w:sz="4" w:space="0"/>
              <w:left w:val="single" w:color="000000" w:sz="4" w:space="0"/>
              <w:bottom w:val="single" w:color="000000" w:sz="4" w:space="0"/>
              <w:right w:val="single" w:color="000000" w:sz="4" w:space="0"/>
            </w:tcBorders>
            <w:noWrap w:val="0"/>
            <w:vAlign w:val="center"/>
          </w:tcPr>
          <w:p w14:paraId="5B64A3C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显示终端</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4047619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台</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50E1872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4FB7C6D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FF"/>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强制节能产品</w:t>
            </w:r>
          </w:p>
        </w:tc>
      </w:tr>
      <w:tr w14:paraId="5D078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6F916CF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w:t>
            </w:r>
          </w:p>
        </w:tc>
        <w:tc>
          <w:tcPr>
            <w:tcW w:w="3513" w:type="dxa"/>
            <w:tcBorders>
              <w:top w:val="single" w:color="000000" w:sz="4" w:space="0"/>
              <w:left w:val="single" w:color="000000" w:sz="4" w:space="0"/>
              <w:bottom w:val="single" w:color="000000" w:sz="4" w:space="0"/>
              <w:right w:val="single" w:color="000000" w:sz="4" w:space="0"/>
            </w:tcBorders>
            <w:noWrap w:val="0"/>
            <w:vAlign w:val="center"/>
          </w:tcPr>
          <w:p w14:paraId="5D8EA97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AI全向拾音麦</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6A89298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1BE9EBD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4A8C4EF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7CF27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517B4AB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w:t>
            </w:r>
          </w:p>
        </w:tc>
        <w:tc>
          <w:tcPr>
            <w:tcW w:w="3513" w:type="dxa"/>
            <w:tcBorders>
              <w:top w:val="single" w:color="000000" w:sz="4" w:space="0"/>
              <w:left w:val="single" w:color="000000" w:sz="4" w:space="0"/>
              <w:bottom w:val="single" w:color="000000" w:sz="4" w:space="0"/>
              <w:right w:val="single" w:color="000000" w:sz="4" w:space="0"/>
            </w:tcBorders>
            <w:noWrap w:val="0"/>
            <w:vAlign w:val="center"/>
          </w:tcPr>
          <w:p w14:paraId="099B301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音频处理器</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6FE6447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3E3F753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2E23957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51CE4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6635007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3513" w:type="dxa"/>
            <w:tcBorders>
              <w:top w:val="single" w:color="000000" w:sz="4" w:space="0"/>
              <w:left w:val="single" w:color="000000" w:sz="4" w:space="0"/>
              <w:bottom w:val="single" w:color="000000" w:sz="4" w:space="0"/>
              <w:right w:val="single" w:color="000000" w:sz="4" w:space="0"/>
            </w:tcBorders>
            <w:noWrap w:val="0"/>
            <w:vAlign w:val="center"/>
          </w:tcPr>
          <w:p w14:paraId="3493E51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壁挂音箱</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5AA9378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4B3559A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1ED492B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42DE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3B0C42C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3513" w:type="dxa"/>
            <w:tcBorders>
              <w:top w:val="single" w:color="000000" w:sz="4" w:space="0"/>
              <w:left w:val="single" w:color="000000" w:sz="4" w:space="0"/>
              <w:bottom w:val="single" w:color="000000" w:sz="4" w:space="0"/>
              <w:right w:val="single" w:color="000000" w:sz="4" w:space="0"/>
            </w:tcBorders>
            <w:noWrap w:val="0"/>
            <w:vAlign w:val="center"/>
          </w:tcPr>
          <w:p w14:paraId="21F21B4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八口POE交换机</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2D2AE41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77C10B8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2C900F8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9F60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0"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39116E5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w:t>
            </w:r>
          </w:p>
        </w:tc>
        <w:tc>
          <w:tcPr>
            <w:tcW w:w="3513" w:type="dxa"/>
            <w:tcBorders>
              <w:top w:val="single" w:color="000000" w:sz="4" w:space="0"/>
              <w:left w:val="single" w:color="000000" w:sz="4" w:space="0"/>
              <w:bottom w:val="single" w:color="000000" w:sz="4" w:space="0"/>
              <w:right w:val="single" w:color="000000" w:sz="4" w:space="0"/>
            </w:tcBorders>
            <w:noWrap w:val="0"/>
            <w:vAlign w:val="center"/>
          </w:tcPr>
          <w:p w14:paraId="4B80C4D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定制实训工位</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3A11AC4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2D36D7E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140</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7536E277">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包含140个工位</w:t>
            </w:r>
          </w:p>
        </w:tc>
      </w:tr>
      <w:tr w14:paraId="38FEC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7598262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w:t>
            </w:r>
          </w:p>
        </w:tc>
        <w:tc>
          <w:tcPr>
            <w:tcW w:w="3513" w:type="dxa"/>
            <w:tcBorders>
              <w:top w:val="single" w:color="000000" w:sz="4" w:space="0"/>
              <w:left w:val="single" w:color="000000" w:sz="4" w:space="0"/>
              <w:bottom w:val="single" w:color="000000" w:sz="4" w:space="0"/>
              <w:right w:val="single" w:color="000000" w:sz="4" w:space="0"/>
            </w:tcBorders>
            <w:noWrap w:val="0"/>
            <w:vAlign w:val="center"/>
          </w:tcPr>
          <w:p w14:paraId="3F7E172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多功能实训台</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4AFAEB3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0784156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2855CC7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包含50个工位</w:t>
            </w:r>
          </w:p>
        </w:tc>
      </w:tr>
      <w:tr w14:paraId="0431E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43771CF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w:t>
            </w:r>
          </w:p>
        </w:tc>
        <w:tc>
          <w:tcPr>
            <w:tcW w:w="3513" w:type="dxa"/>
            <w:tcBorders>
              <w:top w:val="single" w:color="000000" w:sz="4" w:space="0"/>
              <w:left w:val="single" w:color="000000" w:sz="4" w:space="0"/>
              <w:bottom w:val="single" w:color="000000" w:sz="4" w:space="0"/>
              <w:right w:val="single" w:color="000000" w:sz="4" w:space="0"/>
            </w:tcBorders>
            <w:noWrap w:val="0"/>
            <w:vAlign w:val="center"/>
          </w:tcPr>
          <w:p w14:paraId="749C38F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教师实训教学操作台</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385A98D8">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套</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22B870D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4C2A6B5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包含3个工位</w:t>
            </w:r>
          </w:p>
        </w:tc>
      </w:tr>
      <w:tr w14:paraId="075F7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42DFBF3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3513" w:type="dxa"/>
            <w:tcBorders>
              <w:top w:val="single" w:color="000000" w:sz="4" w:space="0"/>
              <w:left w:val="single" w:color="000000" w:sz="4" w:space="0"/>
              <w:bottom w:val="single" w:color="000000" w:sz="4" w:space="0"/>
              <w:right w:val="single" w:color="000000" w:sz="4" w:space="0"/>
            </w:tcBorders>
            <w:noWrap w:val="0"/>
            <w:vAlign w:val="center"/>
          </w:tcPr>
          <w:p w14:paraId="7E271CC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24口千兆交换机</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004A4C8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41FDD8F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25D790B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14BB5C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5DFFE80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w:t>
            </w:r>
          </w:p>
        </w:tc>
        <w:tc>
          <w:tcPr>
            <w:tcW w:w="3513" w:type="dxa"/>
            <w:tcBorders>
              <w:top w:val="single" w:color="000000" w:sz="4" w:space="0"/>
              <w:left w:val="single" w:color="000000" w:sz="4" w:space="0"/>
              <w:bottom w:val="single" w:color="000000" w:sz="4" w:space="0"/>
              <w:right w:val="single" w:color="000000" w:sz="4" w:space="0"/>
            </w:tcBorders>
            <w:noWrap w:val="0"/>
            <w:vAlign w:val="center"/>
          </w:tcPr>
          <w:p w14:paraId="6344C3C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千兆光模块</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0D3978F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对</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35A58F2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17D29E1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6B6E6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0B10109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w:t>
            </w:r>
          </w:p>
        </w:tc>
        <w:tc>
          <w:tcPr>
            <w:tcW w:w="3513" w:type="dxa"/>
            <w:tcBorders>
              <w:top w:val="single" w:color="000000" w:sz="4" w:space="0"/>
              <w:left w:val="single" w:color="000000" w:sz="4" w:space="0"/>
              <w:bottom w:val="single" w:color="000000" w:sz="4" w:space="0"/>
              <w:right w:val="single" w:color="000000" w:sz="4" w:space="0"/>
            </w:tcBorders>
            <w:noWrap w:val="0"/>
            <w:vAlign w:val="center"/>
          </w:tcPr>
          <w:p w14:paraId="3C2A1D3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电源稳压设备</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5041EB4B">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3D7C604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0FE0CC8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4E0A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38DE111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w:t>
            </w:r>
          </w:p>
        </w:tc>
        <w:tc>
          <w:tcPr>
            <w:tcW w:w="3513" w:type="dxa"/>
            <w:tcBorders>
              <w:top w:val="single" w:color="000000" w:sz="4" w:space="0"/>
              <w:left w:val="single" w:color="000000" w:sz="4" w:space="0"/>
              <w:bottom w:val="single" w:color="000000" w:sz="4" w:space="0"/>
              <w:right w:val="single" w:color="000000" w:sz="4" w:space="0"/>
            </w:tcBorders>
            <w:noWrap w:val="0"/>
            <w:vAlign w:val="center"/>
          </w:tcPr>
          <w:p w14:paraId="5119D83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机柜</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29816F0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个</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13EA70A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2CA3E53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0342E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0D2FAE0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w:t>
            </w:r>
          </w:p>
        </w:tc>
        <w:tc>
          <w:tcPr>
            <w:tcW w:w="3513" w:type="dxa"/>
            <w:tcBorders>
              <w:top w:val="single" w:color="000000" w:sz="4" w:space="0"/>
              <w:left w:val="single" w:color="000000" w:sz="4" w:space="0"/>
              <w:bottom w:val="single" w:color="000000" w:sz="4" w:space="0"/>
              <w:right w:val="single" w:color="000000" w:sz="4" w:space="0"/>
            </w:tcBorders>
            <w:noWrap w:val="0"/>
            <w:vAlign w:val="center"/>
          </w:tcPr>
          <w:p w14:paraId="74C0963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系统集成</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78492F7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145E89D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30CC301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r w14:paraId="4D7A3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53" w:type="dxa"/>
            <w:tcBorders>
              <w:top w:val="single" w:color="000000" w:sz="4" w:space="0"/>
              <w:left w:val="single" w:color="000000" w:sz="4" w:space="0"/>
              <w:bottom w:val="single" w:color="000000" w:sz="4" w:space="0"/>
              <w:right w:val="single" w:color="000000" w:sz="4" w:space="0"/>
            </w:tcBorders>
            <w:noWrap w:val="0"/>
            <w:vAlign w:val="center"/>
          </w:tcPr>
          <w:p w14:paraId="4210F89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w:t>
            </w:r>
          </w:p>
        </w:tc>
        <w:tc>
          <w:tcPr>
            <w:tcW w:w="3513" w:type="dxa"/>
            <w:tcBorders>
              <w:top w:val="single" w:color="000000" w:sz="4" w:space="0"/>
              <w:left w:val="single" w:color="000000" w:sz="4" w:space="0"/>
              <w:bottom w:val="single" w:color="000000" w:sz="4" w:space="0"/>
              <w:right w:val="single" w:color="000000" w:sz="4" w:space="0"/>
            </w:tcBorders>
            <w:noWrap w:val="0"/>
            <w:vAlign w:val="center"/>
          </w:tcPr>
          <w:p w14:paraId="3B823FF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实训教学环境优化</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219497A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4DAE6771">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2123" w:type="dxa"/>
            <w:tcBorders>
              <w:top w:val="single" w:color="000000" w:sz="4" w:space="0"/>
              <w:left w:val="single" w:color="000000" w:sz="4" w:space="0"/>
              <w:bottom w:val="single" w:color="000000" w:sz="4" w:space="0"/>
              <w:right w:val="single" w:color="000000" w:sz="4" w:space="0"/>
            </w:tcBorders>
            <w:noWrap w:val="0"/>
            <w:vAlign w:val="center"/>
          </w:tcPr>
          <w:p w14:paraId="5D3553BD">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p>
        </w:tc>
      </w:tr>
    </w:tbl>
    <w:p w14:paraId="0642D564">
      <w:pPr>
        <w:rPr>
          <w:rFonts w:hint="eastAsia"/>
          <w:highlight w:val="none"/>
          <w:lang w:val="en-US" w:eastAsia="zh-CN"/>
        </w:rPr>
      </w:pPr>
      <w:r>
        <w:rPr>
          <w:rFonts w:hint="eastAsia"/>
          <w:highlight w:val="none"/>
          <w:lang w:val="en-US" w:eastAsia="zh-CN"/>
        </w:rPr>
        <w:t>备注：（1）为落实政府采购强制、优先采购节能产品政策的要求，本项目采购标的物中，需实施政府强制采购的节能品目清单产品类别为</w:t>
      </w:r>
      <w:r>
        <w:rPr>
          <w:rFonts w:hint="eastAsia"/>
          <w:b/>
          <w:bCs/>
          <w:color w:val="FF0000"/>
          <w:highlight w:val="none"/>
          <w:lang w:val="en-US" w:eastAsia="zh-CN"/>
        </w:rPr>
        <w:t>实训终端、高性能实训终端、实训终端显示器、高性能实训终端显示器、智慧教学终端、显示终端</w:t>
      </w:r>
      <w:r>
        <w:rPr>
          <w:rFonts w:hint="eastAsia"/>
          <w:highlight w:val="none"/>
          <w:lang w:val="en-US" w:eastAsia="zh-CN"/>
        </w:rPr>
        <w:t>，供应商须提供《参与实施政府采购节能产品认证机构名录》中相应认证机构出具的产品认证证书。</w:t>
      </w:r>
    </w:p>
    <w:p w14:paraId="5C4142FF">
      <w:pPr>
        <w:rPr>
          <w:rFonts w:hint="eastAsia"/>
          <w:b/>
          <w:bCs/>
          <w:highlight w:val="none"/>
          <w:lang w:val="en-US" w:eastAsia="zh-CN"/>
        </w:rPr>
      </w:pPr>
      <w:r>
        <w:rPr>
          <w:rFonts w:hint="eastAsia"/>
          <w:b/>
          <w:bCs/>
          <w:highlight w:val="none"/>
          <w:lang w:val="en-US" w:eastAsia="zh-CN"/>
        </w:rPr>
        <w:t>★（2）供应商提供承诺函，承诺</w:t>
      </w:r>
      <w:r>
        <w:rPr>
          <w:rFonts w:hint="eastAsia"/>
          <w:b/>
          <w:bCs/>
          <w:color w:val="FF0000"/>
          <w:highlight w:val="none"/>
          <w:lang w:val="en-US" w:eastAsia="zh-CN"/>
        </w:rPr>
        <w:t>实训终端、高性能实训终端</w:t>
      </w:r>
      <w:r>
        <w:rPr>
          <w:rFonts w:hint="eastAsia"/>
          <w:b/>
          <w:bCs/>
          <w:highlight w:val="none"/>
          <w:lang w:val="en-US" w:eastAsia="zh-CN"/>
        </w:rPr>
        <w:t>满足财政部《台式计算机政府采购需求标准（2023年版）》（财库〔2023〕29号）通知全部*指标（不包括序号183关于CPU和操作系统安全可靠测评要求）。</w:t>
      </w:r>
    </w:p>
    <w:p w14:paraId="58C45A10">
      <w:pPr>
        <w:rPr>
          <w:rFonts w:hint="eastAsia"/>
          <w:b w:val="0"/>
          <w:bCs w:val="0"/>
          <w:highlight w:val="none"/>
          <w:lang w:val="en-US" w:eastAsia="zh-CN"/>
        </w:rPr>
      </w:pPr>
      <w:r>
        <w:rPr>
          <w:rFonts w:hint="eastAsia"/>
          <w:b w:val="0"/>
          <w:bCs w:val="0"/>
          <w:highlight w:val="none"/>
          <w:lang w:val="en-US" w:eastAsia="zh-CN"/>
        </w:rPr>
        <w:t>（3）</w:t>
      </w:r>
      <w:r>
        <w:rPr>
          <w:rFonts w:hint="eastAsia"/>
          <w:lang w:val="en-US" w:eastAsia="zh-CN"/>
        </w:rPr>
        <w:t>核心产品为</w:t>
      </w:r>
      <w:r>
        <w:rPr>
          <w:rFonts w:hint="eastAsia"/>
          <w:b/>
          <w:bCs/>
          <w:lang w:val="en-US" w:eastAsia="zh-CN"/>
        </w:rPr>
        <w:t>高性能实训终端，</w:t>
      </w:r>
      <w:r>
        <w:rPr>
          <w:rFonts w:hint="eastAsia"/>
          <w:b w:val="0"/>
          <w:bCs w:val="0"/>
          <w:highlight w:val="none"/>
          <w:lang w:val="en-US" w:eastAsia="zh-CN"/>
        </w:rPr>
        <w:t>提供相同品牌的不同投标人按一家投标人计算，核心产品不足三个品牌会导致废标。</w:t>
      </w:r>
    </w:p>
    <w:p w14:paraId="658A1676">
      <w:pPr>
        <w:pStyle w:val="2"/>
        <w:ind w:firstLine="602"/>
        <w:rPr>
          <w:rFonts w:hint="eastAsia" w:eastAsia="宋体"/>
          <w:sz w:val="30"/>
          <w:szCs w:val="30"/>
          <w:lang w:eastAsia="zh-CN"/>
        </w:rPr>
      </w:pPr>
      <w:r>
        <w:rPr>
          <w:rFonts w:hint="eastAsia" w:eastAsia="宋体"/>
          <w:sz w:val="30"/>
          <w:szCs w:val="30"/>
          <w:lang w:eastAsia="zh-CN"/>
        </w:rPr>
        <w:t>（三）技术、服务要求</w:t>
      </w:r>
    </w:p>
    <w:p w14:paraId="368C951C">
      <w:pPr>
        <w:pStyle w:val="4"/>
        <w:bidi w:val="0"/>
        <w:rPr>
          <w:rFonts w:hint="eastAsia"/>
          <w:lang w:eastAsia="zh-CN"/>
        </w:rPr>
      </w:pPr>
      <w:r>
        <w:rPr>
          <w:rFonts w:hint="eastAsia"/>
          <w:lang w:val="en-US" w:eastAsia="zh-CN"/>
        </w:rPr>
        <w:t>1.技术要求</w:t>
      </w:r>
    </w:p>
    <w:tbl>
      <w:tblPr>
        <w:tblStyle w:val="21"/>
        <w:tblW w:w="94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398"/>
        <w:gridCol w:w="5738"/>
        <w:gridCol w:w="793"/>
        <w:gridCol w:w="730"/>
      </w:tblGrid>
      <w:tr w14:paraId="3CFDB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747" w:type="dxa"/>
            <w:noWrap w:val="0"/>
            <w:vAlign w:val="center"/>
          </w:tcPr>
          <w:p w14:paraId="599F56A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4"/>
                <w:szCs w:val="24"/>
                <w:u w:val="none"/>
              </w:rPr>
            </w:pPr>
            <w:r>
              <w:rPr>
                <w:rFonts w:hint="eastAsia" w:ascii="宋体" w:hAnsi="宋体" w:eastAsia="宋体" w:cs="宋体"/>
                <w:b/>
                <w:i w:val="0"/>
                <w:iCs w:val="0"/>
                <w:color w:val="000000"/>
                <w:kern w:val="0"/>
                <w:sz w:val="24"/>
                <w:szCs w:val="24"/>
                <w:u w:val="none"/>
                <w:lang w:val="en-US" w:eastAsia="zh-CN" w:bidi="ar"/>
              </w:rPr>
              <w:t>序号</w:t>
            </w:r>
          </w:p>
        </w:tc>
        <w:tc>
          <w:tcPr>
            <w:tcW w:w="1398" w:type="dxa"/>
            <w:noWrap w:val="0"/>
            <w:vAlign w:val="center"/>
          </w:tcPr>
          <w:p w14:paraId="79439AA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4"/>
                <w:szCs w:val="24"/>
                <w:u w:val="none"/>
              </w:rPr>
            </w:pPr>
            <w:r>
              <w:rPr>
                <w:rFonts w:hint="eastAsia" w:ascii="宋体" w:hAnsi="宋体" w:eastAsia="宋体" w:cs="宋体"/>
                <w:b/>
                <w:i w:val="0"/>
                <w:iCs w:val="0"/>
                <w:color w:val="000000"/>
                <w:kern w:val="0"/>
                <w:sz w:val="24"/>
                <w:szCs w:val="24"/>
                <w:u w:val="none"/>
                <w:lang w:val="en-US" w:eastAsia="zh-CN" w:bidi="ar"/>
              </w:rPr>
              <w:t>产品名称</w:t>
            </w:r>
          </w:p>
        </w:tc>
        <w:tc>
          <w:tcPr>
            <w:tcW w:w="5738" w:type="dxa"/>
            <w:noWrap w:val="0"/>
            <w:vAlign w:val="center"/>
          </w:tcPr>
          <w:p w14:paraId="30E166D6">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4"/>
                <w:szCs w:val="24"/>
                <w:u w:val="none"/>
              </w:rPr>
            </w:pPr>
            <w:r>
              <w:rPr>
                <w:rFonts w:hint="eastAsia" w:ascii="宋体" w:hAnsi="宋体" w:eastAsia="宋体" w:cs="宋体"/>
                <w:b/>
                <w:i w:val="0"/>
                <w:iCs w:val="0"/>
                <w:color w:val="000000"/>
                <w:kern w:val="0"/>
                <w:sz w:val="24"/>
                <w:szCs w:val="24"/>
                <w:u w:val="none"/>
                <w:lang w:val="en-US" w:eastAsia="zh-CN" w:bidi="ar"/>
              </w:rPr>
              <w:t>参数规格</w:t>
            </w:r>
          </w:p>
        </w:tc>
        <w:tc>
          <w:tcPr>
            <w:tcW w:w="793" w:type="dxa"/>
            <w:noWrap w:val="0"/>
            <w:vAlign w:val="center"/>
          </w:tcPr>
          <w:p w14:paraId="17C3F958">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4"/>
                <w:szCs w:val="24"/>
                <w:u w:val="none"/>
              </w:rPr>
            </w:pPr>
            <w:r>
              <w:rPr>
                <w:rFonts w:hint="eastAsia" w:ascii="宋体" w:hAnsi="宋体" w:eastAsia="宋体" w:cs="宋体"/>
                <w:b/>
                <w:i w:val="0"/>
                <w:iCs w:val="0"/>
                <w:color w:val="000000"/>
                <w:kern w:val="0"/>
                <w:sz w:val="24"/>
                <w:szCs w:val="24"/>
                <w:u w:val="none"/>
                <w:lang w:val="en-US" w:eastAsia="zh-CN" w:bidi="ar"/>
              </w:rPr>
              <w:t>数量</w:t>
            </w:r>
          </w:p>
        </w:tc>
        <w:tc>
          <w:tcPr>
            <w:tcW w:w="730" w:type="dxa"/>
            <w:noWrap w:val="0"/>
            <w:vAlign w:val="center"/>
          </w:tcPr>
          <w:p w14:paraId="63C4004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b/>
                <w:i w:val="0"/>
                <w:iCs w:val="0"/>
                <w:color w:val="000000"/>
                <w:sz w:val="24"/>
                <w:szCs w:val="24"/>
                <w:u w:val="none"/>
              </w:rPr>
            </w:pPr>
            <w:r>
              <w:rPr>
                <w:rFonts w:hint="eastAsia" w:ascii="宋体" w:hAnsi="宋体" w:eastAsia="宋体" w:cs="宋体"/>
                <w:b/>
                <w:i w:val="0"/>
                <w:iCs w:val="0"/>
                <w:color w:val="000000"/>
                <w:kern w:val="0"/>
                <w:sz w:val="24"/>
                <w:szCs w:val="24"/>
                <w:u w:val="none"/>
                <w:lang w:val="en-US" w:eastAsia="zh-CN" w:bidi="ar"/>
              </w:rPr>
              <w:t>单位</w:t>
            </w:r>
          </w:p>
        </w:tc>
      </w:tr>
      <w:tr w14:paraId="508E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6CEB3CC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98" w:type="dxa"/>
            <w:noWrap w:val="0"/>
            <w:vAlign w:val="center"/>
          </w:tcPr>
          <w:p w14:paraId="7941222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实训终端</w:t>
            </w:r>
          </w:p>
        </w:tc>
        <w:tc>
          <w:tcPr>
            <w:tcW w:w="5738" w:type="dxa"/>
            <w:noWrap w:val="0"/>
            <w:vAlign w:val="center"/>
          </w:tcPr>
          <w:p w14:paraId="79355CB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sz w:val="24"/>
                <w:szCs w:val="24"/>
                <w:highlight w:val="none"/>
                <w:u w:val="none"/>
                <w:lang w:eastAsia="zh-CN"/>
              </w:rPr>
            </w:pPr>
            <w:r>
              <w:rPr>
                <w:rFonts w:hint="eastAsia" w:ascii="宋体" w:hAnsi="宋体" w:eastAsia="宋体" w:cs="宋体"/>
                <w:b/>
                <w:bCs/>
                <w:i w:val="0"/>
                <w:iCs w:val="0"/>
                <w:color w:val="000000"/>
                <w:sz w:val="24"/>
                <w:szCs w:val="24"/>
                <w:highlight w:val="none"/>
                <w:u w:val="none"/>
              </w:rPr>
              <w:t>★</w:t>
            </w:r>
            <w:r>
              <w:rPr>
                <w:rFonts w:hint="eastAsia" w:ascii="宋体" w:hAnsi="宋体" w:eastAsia="宋体" w:cs="宋体"/>
                <w:b/>
                <w:bCs/>
                <w:i w:val="0"/>
                <w:iCs w:val="0"/>
                <w:color w:val="000000"/>
                <w:sz w:val="24"/>
                <w:szCs w:val="24"/>
                <w:highlight w:val="none"/>
                <w:u w:val="none"/>
                <w:lang w:eastAsia="zh-CN"/>
              </w:rPr>
              <w:t>1.</w:t>
            </w:r>
            <w:r>
              <w:rPr>
                <w:rFonts w:hint="eastAsia" w:ascii="宋体" w:hAnsi="宋体" w:eastAsia="宋体" w:cs="宋体"/>
                <w:b/>
                <w:bCs/>
                <w:i w:val="0"/>
                <w:iCs w:val="0"/>
                <w:color w:val="000000"/>
                <w:sz w:val="24"/>
                <w:szCs w:val="24"/>
                <w:highlight w:val="none"/>
                <w:u w:val="none"/>
              </w:rPr>
              <w:t>中央处理器：内核数≥10（性能核≥6，能效核≥4），性能核（基本频率≥2.5GHz，最大睿频频率≥4.</w:t>
            </w:r>
            <w:r>
              <w:rPr>
                <w:rFonts w:hint="eastAsia" w:ascii="宋体" w:hAnsi="宋体" w:eastAsia="宋体" w:cs="宋体"/>
                <w:b/>
                <w:bCs/>
                <w:i w:val="0"/>
                <w:iCs w:val="0"/>
                <w:color w:val="000000"/>
                <w:sz w:val="24"/>
                <w:szCs w:val="24"/>
                <w:highlight w:val="none"/>
                <w:u w:val="none"/>
                <w:lang w:val="en-US" w:eastAsia="zh-CN"/>
              </w:rPr>
              <w:t>7</w:t>
            </w:r>
            <w:r>
              <w:rPr>
                <w:rFonts w:hint="eastAsia" w:ascii="宋体" w:hAnsi="宋体" w:eastAsia="宋体" w:cs="宋体"/>
                <w:b/>
                <w:bCs/>
                <w:i w:val="0"/>
                <w:iCs w:val="0"/>
                <w:color w:val="000000"/>
                <w:sz w:val="24"/>
                <w:szCs w:val="24"/>
                <w:highlight w:val="none"/>
                <w:u w:val="none"/>
              </w:rPr>
              <w:t>GHz），能效核（基本频率≥1.8GHz，最大频率≥3.3GHz），缓存≥20MB、总线程数≥16（投标时需注明CPU详细型号，需提供CPU厂家官网截图证明并加盖投标人公章）</w:t>
            </w:r>
            <w:r>
              <w:rPr>
                <w:rFonts w:hint="eastAsia" w:ascii="宋体" w:hAnsi="宋体" w:eastAsia="宋体" w:cs="宋体"/>
                <w:b/>
                <w:bCs/>
                <w:i w:val="0"/>
                <w:iCs w:val="0"/>
                <w:color w:val="000000"/>
                <w:sz w:val="24"/>
                <w:szCs w:val="24"/>
                <w:highlight w:val="none"/>
                <w:u w:val="none"/>
                <w:lang w:eastAsia="zh-CN"/>
              </w:rPr>
              <w:t>；</w:t>
            </w:r>
          </w:p>
          <w:p w14:paraId="6DF573EA">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sz w:val="24"/>
                <w:szCs w:val="24"/>
                <w:highlight w:val="none"/>
                <w:u w:val="none"/>
                <w:lang w:eastAsia="zh-CN"/>
              </w:rPr>
              <w:t>2.</w:t>
            </w:r>
            <w:r>
              <w:rPr>
                <w:rFonts w:hint="eastAsia" w:ascii="宋体" w:hAnsi="宋体" w:eastAsia="宋体" w:cs="宋体"/>
                <w:i w:val="0"/>
                <w:iCs w:val="0"/>
                <w:color w:val="000000"/>
                <w:sz w:val="24"/>
                <w:szCs w:val="24"/>
                <w:highlight w:val="none"/>
                <w:u w:val="none"/>
              </w:rPr>
              <w:t>芯片组：可支持的处理器PCIExpress端口配置PCIe5.0:1x16,PCIe4.0:1x4</w:t>
            </w:r>
            <w:r>
              <w:rPr>
                <w:rFonts w:hint="eastAsia" w:ascii="宋体" w:hAnsi="宋体" w:eastAsia="宋体" w:cs="宋体"/>
                <w:i w:val="0"/>
                <w:iCs w:val="0"/>
                <w:color w:val="000000"/>
                <w:sz w:val="24"/>
                <w:szCs w:val="24"/>
                <w:highlight w:val="none"/>
                <w:u w:val="none"/>
                <w:lang w:eastAsia="zh-CN"/>
              </w:rPr>
              <w:t>；</w:t>
            </w:r>
          </w:p>
          <w:p w14:paraId="4011BD50">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auto"/>
                <w:sz w:val="24"/>
                <w:szCs w:val="24"/>
                <w:highlight w:val="none"/>
                <w:u w:val="none"/>
                <w:lang w:eastAsia="zh-CN"/>
              </w:rPr>
            </w:pPr>
            <w:r>
              <w:rPr>
                <w:rFonts w:hint="eastAsia" w:ascii="宋体" w:hAnsi="宋体" w:eastAsia="宋体" w:cs="宋体"/>
                <w:b/>
                <w:bCs/>
                <w:i w:val="0"/>
                <w:iCs w:val="0"/>
                <w:color w:val="000000"/>
                <w:sz w:val="24"/>
                <w:szCs w:val="24"/>
                <w:highlight w:val="none"/>
                <w:u w:val="none"/>
              </w:rPr>
              <w:t>★</w:t>
            </w:r>
            <w:r>
              <w:rPr>
                <w:rFonts w:hint="eastAsia" w:ascii="宋体" w:hAnsi="宋体" w:eastAsia="宋体" w:cs="宋体"/>
                <w:b/>
                <w:bCs/>
                <w:i w:val="0"/>
                <w:iCs w:val="0"/>
                <w:color w:val="000000"/>
                <w:sz w:val="24"/>
                <w:szCs w:val="24"/>
                <w:highlight w:val="none"/>
                <w:u w:val="none"/>
                <w:lang w:eastAsia="zh-CN"/>
              </w:rPr>
              <w:t>3.</w:t>
            </w:r>
            <w:r>
              <w:rPr>
                <w:rFonts w:hint="eastAsia" w:ascii="宋体" w:hAnsi="宋体" w:eastAsia="宋体" w:cs="宋体"/>
                <w:b/>
                <w:bCs/>
                <w:i w:val="0"/>
                <w:iCs w:val="0"/>
                <w:color w:val="000000"/>
                <w:sz w:val="24"/>
                <w:szCs w:val="24"/>
                <w:highlight w:val="none"/>
                <w:u w:val="none"/>
              </w:rPr>
              <w:t>运行内</w:t>
            </w:r>
            <w:r>
              <w:rPr>
                <w:rFonts w:hint="eastAsia" w:ascii="宋体" w:hAnsi="宋体" w:eastAsia="宋体" w:cs="宋体"/>
                <w:b/>
                <w:bCs/>
                <w:i w:val="0"/>
                <w:iCs w:val="0"/>
                <w:color w:val="auto"/>
                <w:sz w:val="24"/>
                <w:szCs w:val="24"/>
                <w:highlight w:val="none"/>
                <w:u w:val="none"/>
              </w:rPr>
              <w:t>存：≥</w:t>
            </w:r>
            <w:r>
              <w:rPr>
                <w:rFonts w:hint="eastAsia" w:ascii="宋体" w:hAnsi="宋体" w:eastAsia="宋体" w:cs="宋体"/>
                <w:b/>
                <w:bCs/>
                <w:i w:val="0"/>
                <w:iCs w:val="0"/>
                <w:color w:val="auto"/>
                <w:sz w:val="24"/>
                <w:szCs w:val="24"/>
                <w:highlight w:val="none"/>
                <w:u w:val="none"/>
                <w:lang w:val="en-US" w:eastAsia="zh-CN"/>
              </w:rPr>
              <w:t>16</w:t>
            </w:r>
            <w:r>
              <w:rPr>
                <w:rFonts w:hint="eastAsia" w:ascii="宋体" w:hAnsi="宋体" w:eastAsia="宋体" w:cs="宋体"/>
                <w:b/>
                <w:bCs/>
                <w:i w:val="0"/>
                <w:iCs w:val="0"/>
                <w:color w:val="auto"/>
                <w:sz w:val="24"/>
                <w:szCs w:val="24"/>
                <w:highlight w:val="none"/>
                <w:u w:val="none"/>
              </w:rPr>
              <w:t>GDDR4内存，≥2个内存插槽（</w:t>
            </w:r>
            <w:r>
              <w:rPr>
                <w:rFonts w:hint="eastAsia" w:ascii="宋体" w:hAnsi="宋体" w:eastAsia="宋体" w:cs="宋体"/>
                <w:b/>
                <w:bCs/>
                <w:i w:val="0"/>
                <w:iCs w:val="0"/>
                <w:color w:val="auto"/>
                <w:kern w:val="0"/>
                <w:sz w:val="24"/>
                <w:szCs w:val="24"/>
                <w:highlight w:val="none"/>
                <w:u w:val="none"/>
                <w:lang w:val="en-US" w:eastAsia="zh-CN" w:bidi="ar"/>
              </w:rPr>
              <w:t>需提供产品技术功能证明文件并加盖投标人公章</w:t>
            </w:r>
            <w:r>
              <w:rPr>
                <w:rFonts w:hint="eastAsia" w:ascii="宋体" w:hAnsi="宋体" w:eastAsia="宋体" w:cs="宋体"/>
                <w:b/>
                <w:bCs/>
                <w:i w:val="0"/>
                <w:iCs w:val="0"/>
                <w:color w:val="auto"/>
                <w:sz w:val="24"/>
                <w:szCs w:val="24"/>
                <w:highlight w:val="none"/>
                <w:u w:val="none"/>
              </w:rPr>
              <w:t>）</w:t>
            </w:r>
            <w:r>
              <w:rPr>
                <w:rFonts w:hint="eastAsia" w:ascii="宋体" w:hAnsi="宋体" w:eastAsia="宋体" w:cs="宋体"/>
                <w:b/>
                <w:bCs/>
                <w:i w:val="0"/>
                <w:iCs w:val="0"/>
                <w:color w:val="auto"/>
                <w:sz w:val="24"/>
                <w:szCs w:val="24"/>
                <w:highlight w:val="none"/>
                <w:u w:val="none"/>
                <w:lang w:eastAsia="zh-CN"/>
              </w:rPr>
              <w:t>；</w:t>
            </w:r>
          </w:p>
          <w:p w14:paraId="72F85DE0">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lang w:eastAsia="zh-CN"/>
              </w:rPr>
            </w:pPr>
            <w:r>
              <w:rPr>
                <w:rFonts w:hint="eastAsia" w:ascii="宋体" w:hAnsi="宋体" w:eastAsia="宋体" w:cs="宋体"/>
                <w:i w:val="0"/>
                <w:iCs w:val="0"/>
                <w:color w:val="auto"/>
                <w:sz w:val="24"/>
                <w:szCs w:val="24"/>
                <w:highlight w:val="none"/>
                <w:u w:val="none"/>
                <w:lang w:val="en-US" w:eastAsia="zh-CN"/>
              </w:rPr>
              <w:t>4.</w:t>
            </w:r>
            <w:r>
              <w:rPr>
                <w:rFonts w:hint="eastAsia" w:ascii="宋体" w:hAnsi="宋体" w:eastAsia="宋体" w:cs="宋体"/>
                <w:i w:val="0"/>
                <w:iCs w:val="0"/>
                <w:color w:val="auto"/>
                <w:sz w:val="24"/>
                <w:szCs w:val="24"/>
                <w:highlight w:val="none"/>
                <w:u w:val="none"/>
              </w:rPr>
              <w:t>声卡：集成声卡，支持5.1声道（提供前2后3共5个音频接口</w:t>
            </w:r>
            <w:r>
              <w:rPr>
                <w:rFonts w:hint="eastAsia" w:ascii="宋体" w:hAnsi="宋体" w:eastAsia="宋体" w:cs="宋体"/>
                <w:i w:val="0"/>
                <w:iCs w:val="0"/>
                <w:color w:val="auto"/>
                <w:sz w:val="24"/>
                <w:szCs w:val="24"/>
                <w:highlight w:val="none"/>
                <w:u w:val="none"/>
                <w:lang w:val="en-US" w:eastAsia="zh-CN"/>
              </w:rPr>
              <w:t>图片</w:t>
            </w:r>
            <w:r>
              <w:rPr>
                <w:rFonts w:hint="eastAsia" w:ascii="宋体" w:hAnsi="宋体" w:eastAsia="宋体" w:cs="宋体"/>
                <w:i w:val="0"/>
                <w:iCs w:val="0"/>
                <w:color w:val="auto"/>
                <w:sz w:val="24"/>
                <w:szCs w:val="24"/>
                <w:highlight w:val="none"/>
                <w:u w:val="none"/>
              </w:rPr>
              <w:t>）</w:t>
            </w:r>
            <w:r>
              <w:rPr>
                <w:rFonts w:hint="eastAsia" w:ascii="宋体" w:hAnsi="宋体" w:eastAsia="宋体" w:cs="宋体"/>
                <w:i w:val="0"/>
                <w:iCs w:val="0"/>
                <w:color w:val="auto"/>
                <w:sz w:val="24"/>
                <w:szCs w:val="24"/>
                <w:highlight w:val="none"/>
                <w:u w:val="none"/>
                <w:lang w:eastAsia="zh-CN"/>
              </w:rPr>
              <w:t>；</w:t>
            </w:r>
          </w:p>
          <w:p w14:paraId="2A9AF1A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highlight w:val="none"/>
                <w:u w:val="none"/>
                <w:lang w:eastAsia="zh-CN"/>
              </w:rPr>
            </w:pPr>
            <w:r>
              <w:rPr>
                <w:rFonts w:hint="eastAsia" w:ascii="宋体" w:hAnsi="宋体" w:eastAsia="宋体" w:cs="宋体"/>
                <w:i w:val="0"/>
                <w:iCs w:val="0"/>
                <w:color w:val="auto"/>
                <w:sz w:val="24"/>
                <w:szCs w:val="24"/>
                <w:highlight w:val="none"/>
                <w:u w:val="none"/>
                <w:lang w:val="en-US" w:eastAsia="zh-CN"/>
              </w:rPr>
              <w:t>5.</w:t>
            </w:r>
            <w:r>
              <w:rPr>
                <w:rFonts w:hint="eastAsia" w:ascii="宋体" w:hAnsi="宋体" w:eastAsia="宋体" w:cs="宋体"/>
                <w:i w:val="0"/>
                <w:iCs w:val="0"/>
                <w:color w:val="auto"/>
                <w:sz w:val="24"/>
                <w:szCs w:val="24"/>
                <w:highlight w:val="none"/>
                <w:u w:val="none"/>
              </w:rPr>
              <w:t>存储空间：≥512GB</w:t>
            </w:r>
            <w:r>
              <w:rPr>
                <w:rFonts w:hint="eastAsia" w:ascii="宋体" w:hAnsi="宋体" w:eastAsia="宋体" w:cs="宋体"/>
                <w:i w:val="0"/>
                <w:iCs w:val="0"/>
                <w:color w:val="auto"/>
                <w:sz w:val="24"/>
                <w:szCs w:val="24"/>
                <w:highlight w:val="none"/>
                <w:u w:val="none"/>
                <w:lang w:eastAsia="zh-CN"/>
              </w:rPr>
              <w:t>，</w:t>
            </w:r>
            <w:r>
              <w:rPr>
                <w:rFonts w:hint="eastAsia" w:ascii="宋体" w:hAnsi="宋体" w:eastAsia="宋体" w:cs="宋体"/>
                <w:i w:val="0"/>
                <w:iCs w:val="0"/>
                <w:color w:val="auto"/>
                <w:sz w:val="24"/>
                <w:szCs w:val="24"/>
                <w:highlight w:val="none"/>
                <w:u w:val="none"/>
              </w:rPr>
              <w:t>M.2PCIeNVMeSSD硬盘，支持扩展</w:t>
            </w:r>
            <w:r>
              <w:rPr>
                <w:rFonts w:hint="eastAsia" w:ascii="宋体" w:hAnsi="宋体" w:cs="宋体"/>
                <w:i w:val="0"/>
                <w:iCs w:val="0"/>
                <w:color w:val="auto"/>
                <w:sz w:val="24"/>
                <w:szCs w:val="24"/>
                <w:highlight w:val="none"/>
                <w:u w:val="none"/>
                <w:lang w:eastAsia="zh-CN"/>
              </w:rPr>
              <w:t>不低于</w:t>
            </w:r>
            <w:r>
              <w:rPr>
                <w:rFonts w:hint="eastAsia" w:ascii="宋体" w:hAnsi="宋体" w:eastAsia="宋体" w:cs="宋体"/>
                <w:i w:val="0"/>
                <w:iCs w:val="0"/>
                <w:color w:val="auto"/>
                <w:sz w:val="24"/>
                <w:szCs w:val="24"/>
                <w:highlight w:val="none"/>
                <w:u w:val="none"/>
              </w:rPr>
              <w:t>2个HDD硬盘+2个SSD硬盘</w:t>
            </w:r>
            <w:r>
              <w:rPr>
                <w:rFonts w:hint="eastAsia" w:ascii="宋体" w:hAnsi="宋体" w:eastAsia="宋体" w:cs="宋体"/>
                <w:i w:val="0"/>
                <w:iCs w:val="0"/>
                <w:color w:val="auto"/>
                <w:sz w:val="24"/>
                <w:szCs w:val="24"/>
                <w:highlight w:val="none"/>
                <w:u w:val="none"/>
                <w:lang w:eastAsia="zh-CN"/>
              </w:rPr>
              <w:t>；</w:t>
            </w:r>
          </w:p>
          <w:p w14:paraId="7699A22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sz w:val="24"/>
                <w:szCs w:val="24"/>
                <w:highlight w:val="none"/>
                <w:u w:val="none"/>
                <w:lang w:val="en-US" w:eastAsia="zh-CN"/>
              </w:rPr>
              <w:t>6.</w:t>
            </w:r>
            <w:r>
              <w:rPr>
                <w:rFonts w:hint="eastAsia" w:ascii="宋体" w:hAnsi="宋体" w:eastAsia="宋体" w:cs="宋体"/>
                <w:i w:val="0"/>
                <w:iCs w:val="0"/>
                <w:color w:val="000000"/>
                <w:sz w:val="24"/>
                <w:szCs w:val="24"/>
                <w:highlight w:val="none"/>
                <w:u w:val="none"/>
              </w:rPr>
              <w:t>网卡：集成10/</w:t>
            </w:r>
            <w:r>
              <w:rPr>
                <w:rFonts w:hint="eastAsia" w:ascii="宋体" w:hAnsi="宋体" w:eastAsia="宋体" w:cs="宋体"/>
                <w:i w:val="0"/>
                <w:iCs w:val="0"/>
                <w:color w:val="000000"/>
                <w:sz w:val="24"/>
                <w:szCs w:val="24"/>
                <w:highlight w:val="none"/>
                <w:u w:val="none"/>
                <w:lang w:eastAsia="zh-CN"/>
              </w:rPr>
              <w:t>10</w:t>
            </w:r>
            <w:r>
              <w:rPr>
                <w:rFonts w:hint="eastAsia" w:ascii="宋体" w:hAnsi="宋体" w:eastAsia="宋体" w:cs="宋体"/>
                <w:i w:val="0"/>
                <w:iCs w:val="0"/>
                <w:color w:val="000000"/>
                <w:sz w:val="24"/>
                <w:szCs w:val="24"/>
                <w:highlight w:val="none"/>
                <w:u w:val="none"/>
              </w:rPr>
              <w:t>/</w:t>
            </w:r>
            <w:r>
              <w:rPr>
                <w:rFonts w:hint="eastAsia" w:ascii="宋体" w:hAnsi="宋体" w:eastAsia="宋体" w:cs="宋体"/>
                <w:i w:val="0"/>
                <w:iCs w:val="0"/>
                <w:color w:val="000000"/>
                <w:sz w:val="24"/>
                <w:szCs w:val="24"/>
                <w:highlight w:val="none"/>
                <w:u w:val="none"/>
                <w:lang w:eastAsia="zh-CN"/>
              </w:rPr>
              <w:t>10</w:t>
            </w:r>
            <w:r>
              <w:rPr>
                <w:rFonts w:hint="eastAsia" w:ascii="宋体" w:hAnsi="宋体" w:eastAsia="宋体" w:cs="宋体"/>
                <w:i w:val="0"/>
                <w:iCs w:val="0"/>
                <w:color w:val="000000"/>
                <w:sz w:val="24"/>
                <w:szCs w:val="24"/>
                <w:highlight w:val="none"/>
                <w:u w:val="none"/>
              </w:rPr>
              <w:t>0M以太网卡</w:t>
            </w:r>
            <w:r>
              <w:rPr>
                <w:rFonts w:hint="eastAsia" w:ascii="宋体" w:hAnsi="宋体" w:eastAsia="宋体" w:cs="宋体"/>
                <w:i w:val="0"/>
                <w:iCs w:val="0"/>
                <w:color w:val="000000"/>
                <w:sz w:val="24"/>
                <w:szCs w:val="24"/>
                <w:highlight w:val="none"/>
                <w:u w:val="none"/>
                <w:lang w:eastAsia="zh-CN"/>
              </w:rPr>
              <w:t>；</w:t>
            </w:r>
          </w:p>
          <w:p w14:paraId="3E8E30A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sz w:val="24"/>
                <w:szCs w:val="24"/>
                <w:highlight w:val="none"/>
                <w:u w:val="none"/>
                <w:lang w:val="en-US" w:eastAsia="zh-CN"/>
              </w:rPr>
              <w:t>7.</w:t>
            </w:r>
            <w:r>
              <w:rPr>
                <w:rFonts w:hint="eastAsia" w:ascii="宋体" w:hAnsi="宋体" w:eastAsia="宋体" w:cs="宋体"/>
                <w:i w:val="0"/>
                <w:iCs w:val="0"/>
                <w:color w:val="000000"/>
                <w:sz w:val="24"/>
                <w:szCs w:val="24"/>
                <w:highlight w:val="none"/>
                <w:u w:val="none"/>
              </w:rPr>
              <w:t>扩展槽：≥1个PCIe16xGen5、1个PCIe1x，所有插槽均为出厂标配</w:t>
            </w:r>
            <w:r>
              <w:rPr>
                <w:rFonts w:hint="eastAsia" w:ascii="宋体" w:hAnsi="宋体" w:eastAsia="宋体" w:cs="宋体"/>
                <w:i w:val="0"/>
                <w:iCs w:val="0"/>
                <w:color w:val="000000"/>
                <w:sz w:val="24"/>
                <w:szCs w:val="24"/>
                <w:highlight w:val="none"/>
                <w:u w:val="none"/>
                <w:lang w:eastAsia="zh-CN"/>
              </w:rPr>
              <w:t>；</w:t>
            </w:r>
          </w:p>
          <w:p w14:paraId="5288BD4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sz w:val="24"/>
                <w:szCs w:val="24"/>
                <w:highlight w:val="none"/>
                <w:u w:val="none"/>
                <w:lang w:val="en-US" w:eastAsia="zh-CN"/>
              </w:rPr>
              <w:t>8.</w:t>
            </w:r>
            <w:r>
              <w:rPr>
                <w:rFonts w:hint="eastAsia" w:ascii="宋体" w:hAnsi="宋体" w:eastAsia="宋体" w:cs="宋体"/>
                <w:i w:val="0"/>
                <w:iCs w:val="0"/>
                <w:color w:val="000000"/>
                <w:sz w:val="24"/>
                <w:szCs w:val="24"/>
                <w:highlight w:val="none"/>
                <w:u w:val="none"/>
              </w:rPr>
              <w:t>键鼠：原厂USB防水抗菌键盘鼠标；</w:t>
            </w:r>
          </w:p>
          <w:p w14:paraId="6E4C1F6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sz w:val="24"/>
                <w:szCs w:val="24"/>
                <w:highlight w:val="none"/>
                <w:u w:val="none"/>
                <w:lang w:val="en-US" w:eastAsia="zh-CN"/>
              </w:rPr>
              <w:t>9.</w:t>
            </w:r>
            <w:r>
              <w:rPr>
                <w:rFonts w:hint="eastAsia" w:ascii="宋体" w:hAnsi="宋体" w:eastAsia="宋体" w:cs="宋体"/>
                <w:i w:val="0"/>
                <w:iCs w:val="0"/>
                <w:color w:val="000000"/>
                <w:sz w:val="24"/>
                <w:szCs w:val="24"/>
                <w:highlight w:val="none"/>
                <w:u w:val="none"/>
              </w:rPr>
              <w:t>接口：≥11个USB接口（至少包含8个USB3.2Gen1接口、1个USB3.2Gen2Type-C接口），≥1个HDMI1.4、≥1个DP、≥1个RJ-45端口、≥3个SATA3.0接口</w:t>
            </w:r>
            <w:r>
              <w:rPr>
                <w:rFonts w:hint="eastAsia" w:ascii="宋体" w:hAnsi="宋体" w:eastAsia="宋体" w:cs="宋体"/>
                <w:i w:val="0"/>
                <w:iCs w:val="0"/>
                <w:color w:val="000000"/>
                <w:sz w:val="24"/>
                <w:szCs w:val="24"/>
                <w:highlight w:val="none"/>
                <w:u w:val="none"/>
                <w:lang w:eastAsia="zh-CN"/>
              </w:rPr>
              <w:t>；</w:t>
            </w:r>
          </w:p>
          <w:p w14:paraId="5D75E849">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sz w:val="24"/>
                <w:szCs w:val="24"/>
                <w:highlight w:val="none"/>
                <w:u w:val="none"/>
                <w:lang w:eastAsia="zh-CN"/>
              </w:rPr>
              <w:t>10.</w:t>
            </w:r>
            <w:r>
              <w:rPr>
                <w:rFonts w:hint="eastAsia" w:ascii="宋体" w:hAnsi="宋体" w:eastAsia="宋体" w:cs="宋体"/>
                <w:i w:val="0"/>
                <w:iCs w:val="0"/>
                <w:color w:val="000000"/>
                <w:sz w:val="24"/>
                <w:szCs w:val="24"/>
                <w:highlight w:val="none"/>
                <w:u w:val="none"/>
              </w:rPr>
              <w:t>操作系统：</w:t>
            </w:r>
            <w:r>
              <w:rPr>
                <w:rFonts w:hint="eastAsia" w:ascii="宋体" w:hAnsi="宋体" w:eastAsia="宋体" w:cs="宋体"/>
                <w:i w:val="0"/>
                <w:iCs w:val="0"/>
                <w:color w:val="000000"/>
                <w:sz w:val="24"/>
                <w:szCs w:val="24"/>
                <w:highlight w:val="none"/>
                <w:u w:val="none"/>
                <w:lang w:val="en-US" w:eastAsia="zh-CN"/>
              </w:rPr>
              <w:t>至少支持</w:t>
            </w:r>
            <w:r>
              <w:rPr>
                <w:rFonts w:hint="eastAsia" w:ascii="宋体" w:hAnsi="宋体" w:eastAsia="宋体" w:cs="宋体"/>
                <w:i w:val="0"/>
                <w:iCs w:val="0"/>
                <w:color w:val="000000"/>
                <w:sz w:val="24"/>
                <w:szCs w:val="24"/>
                <w:highlight w:val="none"/>
                <w:u w:val="none"/>
              </w:rPr>
              <w:t>简体中文版Windows11操作系统</w:t>
            </w:r>
            <w:r>
              <w:rPr>
                <w:rFonts w:hint="eastAsia" w:ascii="宋体" w:hAnsi="宋体" w:eastAsia="宋体" w:cs="宋体"/>
                <w:i w:val="0"/>
                <w:iCs w:val="0"/>
                <w:color w:val="000000"/>
                <w:sz w:val="24"/>
                <w:szCs w:val="24"/>
                <w:highlight w:val="none"/>
                <w:u w:val="none"/>
                <w:lang w:eastAsia="zh-CN"/>
              </w:rPr>
              <w:t>；</w:t>
            </w:r>
          </w:p>
          <w:p w14:paraId="75136A63">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sz w:val="24"/>
                <w:szCs w:val="24"/>
                <w:highlight w:val="none"/>
                <w:u w:val="none"/>
                <w:lang w:eastAsia="zh-CN"/>
              </w:rPr>
              <w:t>11.</w:t>
            </w:r>
            <w:r>
              <w:rPr>
                <w:rFonts w:hint="eastAsia" w:ascii="宋体" w:hAnsi="宋体" w:eastAsia="宋体" w:cs="宋体"/>
                <w:i w:val="0"/>
                <w:iCs w:val="0"/>
                <w:color w:val="000000"/>
                <w:sz w:val="24"/>
                <w:szCs w:val="24"/>
                <w:highlight w:val="none"/>
                <w:u w:val="none"/>
              </w:rPr>
              <w:t>电源：≥200瓦高效电源，能效</w:t>
            </w:r>
            <w:r>
              <w:rPr>
                <w:rFonts w:hint="eastAsia" w:ascii="宋体" w:hAnsi="宋体" w:cs="宋体"/>
                <w:i w:val="0"/>
                <w:iCs w:val="0"/>
                <w:color w:val="000000"/>
                <w:sz w:val="24"/>
                <w:szCs w:val="24"/>
                <w:highlight w:val="none"/>
                <w:u w:val="none"/>
                <w:lang w:val="en-US" w:eastAsia="zh-CN"/>
              </w:rPr>
              <w:t>不低于</w:t>
            </w:r>
            <w:r>
              <w:rPr>
                <w:rFonts w:hint="eastAsia" w:ascii="宋体" w:hAnsi="宋体" w:eastAsia="宋体" w:cs="宋体"/>
                <w:i w:val="0"/>
                <w:iCs w:val="0"/>
                <w:color w:val="000000"/>
                <w:sz w:val="24"/>
                <w:szCs w:val="24"/>
                <w:highlight w:val="none"/>
                <w:u w:val="none"/>
              </w:rPr>
              <w:t>82%</w:t>
            </w:r>
            <w:r>
              <w:rPr>
                <w:rFonts w:hint="eastAsia" w:ascii="宋体" w:hAnsi="宋体" w:eastAsia="宋体" w:cs="宋体"/>
                <w:i w:val="0"/>
                <w:iCs w:val="0"/>
                <w:color w:val="000000"/>
                <w:sz w:val="24"/>
                <w:szCs w:val="24"/>
                <w:highlight w:val="none"/>
                <w:u w:val="none"/>
                <w:lang w:eastAsia="zh-CN"/>
              </w:rPr>
              <w:t>；</w:t>
            </w:r>
          </w:p>
          <w:p w14:paraId="79CFB431">
            <w:pPr>
              <w:keepNext w:val="0"/>
              <w:keepLines w:val="0"/>
              <w:widowControl/>
              <w:suppressLineNumbers w:val="0"/>
              <w:snapToGrid w:val="0"/>
              <w:spacing w:line="240" w:lineRule="auto"/>
              <w:ind w:left="0" w:leftChars="0" w:right="0" w:rightChars="0" w:firstLine="0" w:firstLineChars="0"/>
              <w:jc w:val="left"/>
              <w:textAlignment w:val="center"/>
              <w:rPr>
                <w:rFonts w:hint="default" w:ascii="宋体" w:hAnsi="宋体" w:eastAsia="宋体" w:cs="宋体"/>
                <w:b w:val="0"/>
                <w:bCs w:val="0"/>
                <w:i w:val="0"/>
                <w:iCs w:val="0"/>
                <w:color w:val="000000"/>
                <w:sz w:val="24"/>
                <w:szCs w:val="24"/>
                <w:highlight w:val="none"/>
                <w:u w:val="none"/>
                <w:lang w:val="en-US" w:eastAsia="zh-CN"/>
              </w:rPr>
            </w:pPr>
            <w:r>
              <w:rPr>
                <w:rFonts w:hint="eastAsia" w:ascii="宋体" w:hAnsi="宋体" w:eastAsia="宋体" w:cs="宋体"/>
                <w:b w:val="0"/>
                <w:bCs w:val="0"/>
                <w:i w:val="0"/>
                <w:iCs w:val="0"/>
                <w:color w:val="000000"/>
                <w:sz w:val="24"/>
                <w:szCs w:val="24"/>
                <w:highlight w:val="none"/>
                <w:u w:val="none"/>
                <w:lang w:eastAsia="zh-CN"/>
              </w:rPr>
              <w:t>12.</w:t>
            </w:r>
            <w:r>
              <w:rPr>
                <w:rFonts w:hint="eastAsia" w:ascii="宋体" w:hAnsi="宋体" w:eastAsia="宋体" w:cs="宋体"/>
                <w:b w:val="0"/>
                <w:bCs w:val="0"/>
                <w:i w:val="0"/>
                <w:iCs w:val="0"/>
                <w:color w:val="000000"/>
                <w:sz w:val="24"/>
                <w:szCs w:val="24"/>
                <w:highlight w:val="none"/>
                <w:u w:val="none"/>
              </w:rPr>
              <w:t>显示器：≥23.8英寸超窄边框LED显示器，分辨率</w:t>
            </w:r>
            <w:r>
              <w:rPr>
                <w:rFonts w:hint="eastAsia" w:ascii="宋体" w:hAnsi="宋体" w:cs="宋体"/>
                <w:b w:val="0"/>
                <w:bCs w:val="0"/>
                <w:i w:val="0"/>
                <w:iCs w:val="0"/>
                <w:color w:val="000000"/>
                <w:sz w:val="24"/>
                <w:szCs w:val="24"/>
                <w:highlight w:val="none"/>
                <w:u w:val="none"/>
                <w:lang w:val="en-US" w:eastAsia="zh-CN"/>
              </w:rPr>
              <w:t>不低于</w:t>
            </w:r>
            <w:r>
              <w:rPr>
                <w:rFonts w:hint="eastAsia" w:ascii="宋体" w:hAnsi="宋体" w:eastAsia="宋体" w:cs="宋体"/>
                <w:b w:val="0"/>
                <w:bCs w:val="0"/>
                <w:i w:val="0"/>
                <w:iCs w:val="0"/>
                <w:color w:val="000000"/>
                <w:sz w:val="24"/>
                <w:szCs w:val="24"/>
                <w:highlight w:val="none"/>
                <w:u w:val="none"/>
              </w:rPr>
              <w:t>1920x1080</w:t>
            </w:r>
            <w:r>
              <w:rPr>
                <w:rFonts w:hint="eastAsia" w:ascii="宋体" w:hAnsi="宋体" w:eastAsia="宋体" w:cs="宋体"/>
                <w:b w:val="0"/>
                <w:bCs w:val="0"/>
                <w:i w:val="0"/>
                <w:iCs w:val="0"/>
                <w:color w:val="000000"/>
                <w:sz w:val="24"/>
                <w:szCs w:val="24"/>
                <w:highlight w:val="none"/>
                <w:u w:val="none"/>
                <w:lang w:eastAsia="zh-CN"/>
              </w:rPr>
              <w:t>，为保证兼容性，显示器与实训终端</w:t>
            </w:r>
            <w:r>
              <w:rPr>
                <w:rFonts w:hint="eastAsia" w:ascii="宋体" w:hAnsi="宋体" w:cs="宋体"/>
                <w:b w:val="0"/>
                <w:bCs w:val="0"/>
                <w:i w:val="0"/>
                <w:iCs w:val="0"/>
                <w:color w:val="000000"/>
                <w:sz w:val="24"/>
                <w:szCs w:val="24"/>
                <w:highlight w:val="none"/>
                <w:u w:val="none"/>
                <w:lang w:val="en-US" w:eastAsia="zh-CN"/>
              </w:rPr>
              <w:t>需为</w:t>
            </w:r>
            <w:r>
              <w:rPr>
                <w:rFonts w:hint="eastAsia" w:ascii="宋体" w:hAnsi="宋体" w:eastAsia="宋体" w:cs="宋体"/>
                <w:b w:val="0"/>
                <w:bCs w:val="0"/>
                <w:i w:val="0"/>
                <w:iCs w:val="0"/>
                <w:color w:val="000000"/>
                <w:sz w:val="24"/>
                <w:szCs w:val="24"/>
                <w:highlight w:val="none"/>
                <w:u w:val="none"/>
                <w:lang w:eastAsia="zh-CN"/>
              </w:rPr>
              <w:t>同一品牌</w:t>
            </w:r>
            <w:r>
              <w:rPr>
                <w:rFonts w:hint="eastAsia" w:ascii="宋体" w:hAnsi="宋体" w:cs="宋体"/>
                <w:b w:val="0"/>
                <w:bCs w:val="0"/>
                <w:i w:val="0"/>
                <w:iCs w:val="0"/>
                <w:color w:val="000000"/>
                <w:sz w:val="24"/>
                <w:szCs w:val="24"/>
                <w:highlight w:val="none"/>
                <w:u w:val="none"/>
                <w:lang w:eastAsia="zh-CN"/>
              </w:rPr>
              <w:t>，</w:t>
            </w:r>
            <w:r>
              <w:rPr>
                <w:rFonts w:hint="eastAsia" w:ascii="宋体" w:hAnsi="宋体" w:eastAsia="宋体" w:cs="宋体"/>
                <w:b w:val="0"/>
                <w:bCs w:val="0"/>
                <w:i w:val="0"/>
                <w:iCs w:val="0"/>
                <w:color w:val="000000"/>
                <w:sz w:val="24"/>
                <w:szCs w:val="24"/>
                <w:highlight w:val="none"/>
                <w:u w:val="none"/>
                <w:lang w:val="en-US" w:eastAsia="zh-CN"/>
              </w:rPr>
              <w:t>提供强制节能证书；</w:t>
            </w:r>
          </w:p>
          <w:p w14:paraId="1D46FD0B">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FF0000"/>
                <w:sz w:val="24"/>
                <w:szCs w:val="24"/>
                <w:highlight w:val="none"/>
                <w:u w:val="none"/>
              </w:rPr>
            </w:pPr>
            <w:r>
              <w:rPr>
                <w:rFonts w:hint="eastAsia" w:ascii="宋体" w:hAnsi="宋体" w:eastAsia="宋体" w:cs="宋体"/>
                <w:i w:val="0"/>
                <w:iCs w:val="0"/>
                <w:color w:val="000000"/>
                <w:sz w:val="24"/>
                <w:szCs w:val="24"/>
                <w:highlight w:val="none"/>
                <w:u w:val="none"/>
              </w:rPr>
              <w:t>▲</w:t>
            </w:r>
            <w:r>
              <w:rPr>
                <w:rFonts w:hint="eastAsia" w:ascii="宋体" w:hAnsi="宋体" w:eastAsia="宋体" w:cs="宋体"/>
                <w:i w:val="0"/>
                <w:iCs w:val="0"/>
                <w:color w:val="000000"/>
                <w:sz w:val="24"/>
                <w:szCs w:val="24"/>
                <w:highlight w:val="none"/>
                <w:u w:val="none"/>
                <w:lang w:eastAsia="zh-CN"/>
              </w:rPr>
              <w:t>13.</w:t>
            </w:r>
            <w:r>
              <w:rPr>
                <w:rFonts w:hint="eastAsia" w:ascii="宋体" w:hAnsi="宋体" w:eastAsia="宋体" w:cs="宋体"/>
                <w:i w:val="0"/>
                <w:iCs w:val="0"/>
                <w:color w:val="000000"/>
                <w:sz w:val="24"/>
                <w:szCs w:val="24"/>
                <w:highlight w:val="none"/>
                <w:u w:val="none"/>
              </w:rPr>
              <w:t>机箱：标准MATX立式机箱，标配除菌风扇；机箱≥15L、顶置电源开关键，方便使用；</w:t>
            </w:r>
            <w:r>
              <w:rPr>
                <w:rFonts w:hint="eastAsia" w:ascii="宋体" w:hAnsi="宋体" w:eastAsia="宋体" w:cs="宋体"/>
                <w:i w:val="0"/>
                <w:iCs w:val="0"/>
                <w:color w:val="000000"/>
                <w:sz w:val="24"/>
                <w:szCs w:val="24"/>
                <w:highlight w:val="none"/>
                <w:u w:val="none"/>
                <w:lang w:eastAsia="zh-CN"/>
              </w:rPr>
              <w:t>（</w:t>
            </w:r>
            <w:r>
              <w:rPr>
                <w:rFonts w:hint="eastAsia" w:ascii="宋体" w:hAnsi="宋体" w:eastAsia="宋体" w:cs="宋体"/>
                <w:i w:val="0"/>
                <w:iCs w:val="0"/>
                <w:color w:val="000000"/>
                <w:kern w:val="0"/>
                <w:sz w:val="24"/>
                <w:szCs w:val="24"/>
                <w:highlight w:val="none"/>
                <w:u w:val="none"/>
                <w:lang w:val="en-US" w:eastAsia="zh-CN" w:bidi="ar"/>
              </w:rPr>
              <w:t>提供官网截图作为佐证材料并加盖公章）</w:t>
            </w:r>
          </w:p>
          <w:p w14:paraId="16AD9F2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cs="宋体"/>
                <w:i w:val="0"/>
                <w:iCs w:val="0"/>
                <w:color w:val="000000"/>
                <w:sz w:val="24"/>
                <w:szCs w:val="24"/>
                <w:highlight w:val="none"/>
                <w:u w:val="none"/>
                <w:lang w:eastAsia="zh-CN"/>
              </w:rPr>
            </w:pPr>
            <w:r>
              <w:rPr>
                <w:rFonts w:hint="eastAsia" w:ascii="宋体" w:hAnsi="宋体" w:eastAsia="宋体" w:cs="宋体"/>
                <w:i w:val="0"/>
                <w:iCs w:val="0"/>
                <w:color w:val="000000"/>
                <w:sz w:val="24"/>
                <w:szCs w:val="24"/>
                <w:highlight w:val="none"/>
                <w:u w:val="none"/>
              </w:rPr>
              <w:t>▲</w:t>
            </w:r>
            <w:r>
              <w:rPr>
                <w:rFonts w:hint="eastAsia" w:ascii="宋体" w:hAnsi="宋体" w:eastAsia="宋体" w:cs="宋体"/>
                <w:i w:val="0"/>
                <w:iCs w:val="0"/>
                <w:color w:val="000000"/>
                <w:sz w:val="24"/>
                <w:szCs w:val="24"/>
                <w:highlight w:val="none"/>
                <w:u w:val="none"/>
                <w:lang w:eastAsia="zh-CN"/>
              </w:rPr>
              <w:t>14.</w:t>
            </w:r>
            <w:r>
              <w:rPr>
                <w:rFonts w:hint="eastAsia" w:ascii="宋体" w:hAnsi="宋体" w:eastAsia="宋体" w:cs="宋体"/>
                <w:i w:val="0"/>
                <w:iCs w:val="0"/>
                <w:color w:val="000000"/>
                <w:sz w:val="24"/>
                <w:szCs w:val="24"/>
                <w:highlight w:val="none"/>
                <w:u w:val="none"/>
              </w:rPr>
              <w:t>安全功能：</w:t>
            </w:r>
            <w:r>
              <w:rPr>
                <w:rFonts w:hint="eastAsia" w:ascii="宋体" w:hAnsi="宋体" w:cs="宋体"/>
                <w:i w:val="0"/>
                <w:iCs w:val="0"/>
                <w:color w:val="000000"/>
                <w:sz w:val="24"/>
                <w:szCs w:val="24"/>
                <w:highlight w:val="none"/>
                <w:u w:val="none"/>
                <w:lang w:eastAsia="zh-CN"/>
              </w:rPr>
              <w:t>（</w:t>
            </w:r>
            <w:r>
              <w:rPr>
                <w:rFonts w:hint="eastAsia" w:ascii="宋体" w:hAnsi="宋体" w:cs="宋体"/>
                <w:i w:val="0"/>
                <w:iCs w:val="0"/>
                <w:color w:val="000000"/>
                <w:sz w:val="24"/>
                <w:szCs w:val="24"/>
                <w:highlight w:val="none"/>
                <w:u w:val="none"/>
                <w:lang w:val="en-US" w:eastAsia="zh-CN"/>
              </w:rPr>
              <w:t>1</w:t>
            </w:r>
            <w:r>
              <w:rPr>
                <w:rFonts w:hint="eastAsia" w:ascii="宋体" w:hAnsi="宋体" w:cs="宋体"/>
                <w:i w:val="0"/>
                <w:iCs w:val="0"/>
                <w:color w:val="000000"/>
                <w:sz w:val="24"/>
                <w:szCs w:val="24"/>
                <w:highlight w:val="none"/>
                <w:u w:val="none"/>
                <w:lang w:eastAsia="zh-CN"/>
              </w:rPr>
              <w:t>）</w:t>
            </w:r>
            <w:r>
              <w:rPr>
                <w:rFonts w:hint="eastAsia" w:ascii="宋体" w:hAnsi="宋体" w:eastAsia="宋体" w:cs="宋体"/>
                <w:i w:val="0"/>
                <w:iCs w:val="0"/>
                <w:color w:val="000000"/>
                <w:sz w:val="24"/>
                <w:szCs w:val="24"/>
                <w:highlight w:val="none"/>
                <w:u w:val="none"/>
              </w:rPr>
              <w:t>支持看门狗功能，可监控系统的运行状态</w:t>
            </w:r>
            <w:r>
              <w:rPr>
                <w:rFonts w:hint="eastAsia" w:ascii="宋体" w:hAnsi="宋体" w:eastAsia="宋体" w:cs="宋体"/>
                <w:i w:val="0"/>
                <w:iCs w:val="0"/>
                <w:color w:val="000000"/>
                <w:sz w:val="24"/>
                <w:szCs w:val="24"/>
                <w:highlight w:val="none"/>
                <w:u w:val="none"/>
                <w:lang w:eastAsia="zh-CN"/>
              </w:rPr>
              <w:t>。当</w:t>
            </w:r>
            <w:r>
              <w:rPr>
                <w:rFonts w:hint="eastAsia" w:ascii="宋体" w:hAnsi="宋体" w:eastAsia="宋体" w:cs="宋体"/>
                <w:i w:val="0"/>
                <w:iCs w:val="0"/>
                <w:color w:val="000000"/>
                <w:sz w:val="24"/>
                <w:szCs w:val="24"/>
                <w:highlight w:val="none"/>
                <w:u w:val="none"/>
              </w:rPr>
              <w:t>系统死机时该功能会自动重启系统，以确保计算机可以继续正常运行（提供中文版BIOS设置界面截图）；</w:t>
            </w:r>
            <w:r>
              <w:rPr>
                <w:rFonts w:hint="eastAsia" w:ascii="宋体" w:hAnsi="宋体" w:cs="宋体"/>
                <w:i w:val="0"/>
                <w:iCs w:val="0"/>
                <w:color w:val="000000"/>
                <w:sz w:val="24"/>
                <w:szCs w:val="24"/>
                <w:highlight w:val="none"/>
                <w:u w:val="none"/>
                <w:lang w:eastAsia="zh-CN"/>
              </w:rPr>
              <w:t>（</w:t>
            </w:r>
            <w:r>
              <w:rPr>
                <w:rFonts w:hint="eastAsia" w:ascii="宋体" w:hAnsi="宋体" w:cs="宋体"/>
                <w:i w:val="0"/>
                <w:iCs w:val="0"/>
                <w:color w:val="000000"/>
                <w:sz w:val="24"/>
                <w:szCs w:val="24"/>
                <w:highlight w:val="none"/>
                <w:u w:val="none"/>
                <w:lang w:val="en-US" w:eastAsia="zh-CN"/>
              </w:rPr>
              <w:t>2</w:t>
            </w:r>
            <w:r>
              <w:rPr>
                <w:rFonts w:hint="eastAsia" w:ascii="宋体" w:hAnsi="宋体" w:cs="宋体"/>
                <w:i w:val="0"/>
                <w:iCs w:val="0"/>
                <w:color w:val="000000"/>
                <w:sz w:val="24"/>
                <w:szCs w:val="24"/>
                <w:highlight w:val="none"/>
                <w:u w:val="none"/>
                <w:lang w:eastAsia="zh-CN"/>
              </w:rPr>
              <w:t>）</w:t>
            </w:r>
            <w:r>
              <w:rPr>
                <w:rFonts w:hint="eastAsia" w:ascii="宋体" w:hAnsi="宋体" w:eastAsia="宋体" w:cs="宋体"/>
                <w:i w:val="0"/>
                <w:iCs w:val="0"/>
                <w:color w:val="000000"/>
                <w:sz w:val="24"/>
                <w:szCs w:val="24"/>
                <w:highlight w:val="none"/>
                <w:u w:val="none"/>
              </w:rPr>
              <w:t>智能USB屏蔽技术，仅识别键盘鼠标，无法识别USB读取设备（提供中文版BIOS设置界面截图）；</w:t>
            </w:r>
            <w:r>
              <w:rPr>
                <w:rFonts w:hint="eastAsia" w:ascii="宋体" w:hAnsi="宋体" w:cs="宋体"/>
                <w:i w:val="0"/>
                <w:iCs w:val="0"/>
                <w:color w:val="000000"/>
                <w:sz w:val="24"/>
                <w:szCs w:val="24"/>
                <w:highlight w:val="none"/>
                <w:u w:val="none"/>
                <w:lang w:eastAsia="zh-CN"/>
              </w:rPr>
              <w:t>（</w:t>
            </w:r>
            <w:r>
              <w:rPr>
                <w:rFonts w:hint="eastAsia" w:ascii="宋体" w:hAnsi="宋体" w:cs="宋体"/>
                <w:i w:val="0"/>
                <w:iCs w:val="0"/>
                <w:color w:val="000000"/>
                <w:sz w:val="24"/>
                <w:szCs w:val="24"/>
                <w:highlight w:val="none"/>
                <w:u w:val="none"/>
                <w:lang w:val="en-US" w:eastAsia="zh-CN"/>
              </w:rPr>
              <w:t>3</w:t>
            </w:r>
            <w:r>
              <w:rPr>
                <w:rFonts w:hint="eastAsia" w:ascii="宋体" w:hAnsi="宋体" w:cs="宋体"/>
                <w:i w:val="0"/>
                <w:iCs w:val="0"/>
                <w:color w:val="000000"/>
                <w:sz w:val="24"/>
                <w:szCs w:val="24"/>
                <w:highlight w:val="none"/>
                <w:u w:val="none"/>
                <w:lang w:eastAsia="zh-CN"/>
              </w:rPr>
              <w:t>）</w:t>
            </w:r>
            <w:r>
              <w:rPr>
                <w:rFonts w:hint="eastAsia" w:ascii="宋体" w:hAnsi="宋体" w:eastAsia="宋体" w:cs="宋体"/>
                <w:i w:val="0"/>
                <w:iCs w:val="0"/>
                <w:color w:val="000000"/>
                <w:sz w:val="24"/>
                <w:szCs w:val="24"/>
                <w:highlight w:val="none"/>
                <w:u w:val="none"/>
              </w:rPr>
              <w:t>主机BIOS需自带基于硬件底层的数据安全擦除功能</w:t>
            </w:r>
            <w:r>
              <w:rPr>
                <w:rFonts w:hint="eastAsia" w:ascii="宋体" w:hAnsi="宋体" w:eastAsia="宋体" w:cs="宋体"/>
                <w:i w:val="0"/>
                <w:iCs w:val="0"/>
                <w:color w:val="000000"/>
                <w:sz w:val="24"/>
                <w:szCs w:val="24"/>
                <w:highlight w:val="none"/>
                <w:u w:val="none"/>
                <w:lang w:eastAsia="zh-CN"/>
              </w:rPr>
              <w:t>，且</w:t>
            </w:r>
            <w:r>
              <w:rPr>
                <w:rFonts w:hint="eastAsia" w:ascii="宋体" w:hAnsi="宋体" w:eastAsia="宋体" w:cs="宋体"/>
                <w:i w:val="0"/>
                <w:iCs w:val="0"/>
                <w:color w:val="000000"/>
                <w:sz w:val="24"/>
                <w:szCs w:val="24"/>
                <w:highlight w:val="none"/>
                <w:u w:val="none"/>
              </w:rPr>
              <w:t>保证硬盘数据擦除后不可恢复，所投产品制造商需提供原厂数据安全擦除软件（提供软件截图），有效防止数据</w:t>
            </w:r>
            <w:r>
              <w:rPr>
                <w:rFonts w:hint="eastAsia" w:ascii="宋体" w:hAnsi="宋体" w:eastAsia="宋体" w:cs="宋体"/>
                <w:i w:val="0"/>
                <w:iCs w:val="0"/>
                <w:color w:val="000000"/>
                <w:sz w:val="24"/>
                <w:szCs w:val="24"/>
                <w:highlight w:val="none"/>
                <w:u w:val="none"/>
                <w:lang w:eastAsia="zh-CN"/>
              </w:rPr>
              <w:t>泄露</w:t>
            </w:r>
            <w:r>
              <w:rPr>
                <w:rFonts w:hint="eastAsia" w:ascii="宋体" w:hAnsi="宋体" w:cs="宋体"/>
                <w:i w:val="0"/>
                <w:iCs w:val="0"/>
                <w:color w:val="000000"/>
                <w:sz w:val="24"/>
                <w:szCs w:val="24"/>
                <w:highlight w:val="none"/>
                <w:u w:val="none"/>
                <w:lang w:eastAsia="zh-CN"/>
              </w:rPr>
              <w:t>。</w:t>
            </w:r>
          </w:p>
          <w:p w14:paraId="2A3931EB">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sz w:val="24"/>
                <w:szCs w:val="24"/>
                <w:highlight w:val="none"/>
                <w:u w:val="none"/>
              </w:rPr>
              <w:t>（需提供</w:t>
            </w:r>
            <w:r>
              <w:rPr>
                <w:rFonts w:hint="eastAsia" w:ascii="宋体" w:hAnsi="宋体" w:eastAsia="宋体" w:cs="宋体"/>
                <w:i w:val="0"/>
                <w:iCs w:val="0"/>
                <w:color w:val="000000"/>
                <w:sz w:val="24"/>
                <w:szCs w:val="24"/>
                <w:highlight w:val="none"/>
                <w:u w:val="none"/>
                <w:lang w:val="en-US" w:eastAsia="zh-CN"/>
              </w:rPr>
              <w:t>功能</w:t>
            </w:r>
            <w:r>
              <w:rPr>
                <w:rFonts w:hint="eastAsia" w:ascii="宋体" w:hAnsi="宋体" w:eastAsia="宋体" w:cs="宋体"/>
                <w:i w:val="0"/>
                <w:iCs w:val="0"/>
                <w:color w:val="000000"/>
                <w:sz w:val="24"/>
                <w:szCs w:val="24"/>
                <w:highlight w:val="none"/>
                <w:u w:val="none"/>
              </w:rPr>
              <w:t>截图证明并加盖投标人公章</w:t>
            </w:r>
            <w:r>
              <w:rPr>
                <w:rFonts w:hint="eastAsia" w:ascii="宋体" w:hAnsi="宋体" w:eastAsia="宋体" w:cs="宋体"/>
                <w:i w:val="0"/>
                <w:iCs w:val="0"/>
                <w:color w:val="000000"/>
                <w:sz w:val="24"/>
                <w:szCs w:val="24"/>
                <w:highlight w:val="none"/>
                <w:u w:val="none"/>
                <w:lang w:eastAsia="zh-CN"/>
              </w:rPr>
              <w:t>）</w:t>
            </w:r>
          </w:p>
          <w:p w14:paraId="4B72F17E">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000000"/>
                <w:sz w:val="24"/>
                <w:szCs w:val="24"/>
                <w:highlight w:val="none"/>
                <w:u w:val="none"/>
                <w:lang w:val="en-US" w:eastAsia="zh-CN"/>
              </w:rPr>
              <w:t>▲15.整机应通过数据接口性能和棱缘试验测试合格认证；</w:t>
            </w:r>
            <w:r>
              <w:rPr>
                <w:rFonts w:hint="eastAsia" w:ascii="宋体" w:hAnsi="宋体" w:eastAsia="宋体" w:cs="宋体"/>
                <w:i w:val="0"/>
                <w:iCs w:val="0"/>
                <w:color w:val="000000"/>
                <w:sz w:val="24"/>
                <w:szCs w:val="24"/>
                <w:highlight w:val="none"/>
                <w:u w:val="none"/>
              </w:rPr>
              <w:t>（</w:t>
            </w:r>
            <w:r>
              <w:rPr>
                <w:rFonts w:hint="eastAsia" w:ascii="宋体" w:hAnsi="宋体" w:eastAsia="宋体" w:cs="宋体"/>
                <w:i w:val="0"/>
                <w:iCs w:val="0"/>
                <w:kern w:val="0"/>
                <w:sz w:val="24"/>
                <w:szCs w:val="24"/>
              </w:rPr>
              <w:t>提供具有CMA或CNAS标志的检测报告复印件或扫描件并加盖投标人公章，同时要求检测机构通过国家市场监督管理总局检验检测机构资质认定，提供检测机构在国家市场监督管理总局检验检测机构资质认定网上审批系统的查询截图</w:t>
            </w:r>
            <w:r>
              <w:rPr>
                <w:rFonts w:hint="eastAsia" w:ascii="宋体" w:hAnsi="宋体" w:eastAsia="宋体" w:cs="宋体"/>
                <w:i w:val="0"/>
                <w:iCs w:val="0"/>
                <w:color w:val="000000"/>
                <w:sz w:val="24"/>
                <w:szCs w:val="24"/>
                <w:highlight w:val="none"/>
                <w:u w:val="none"/>
                <w:lang w:eastAsia="zh-CN"/>
              </w:rPr>
              <w:t>）</w:t>
            </w:r>
          </w:p>
        </w:tc>
        <w:tc>
          <w:tcPr>
            <w:tcW w:w="793" w:type="dxa"/>
            <w:noWrap w:val="0"/>
            <w:vAlign w:val="center"/>
          </w:tcPr>
          <w:p w14:paraId="58EF7298">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730" w:type="dxa"/>
            <w:noWrap w:val="0"/>
            <w:vAlign w:val="center"/>
          </w:tcPr>
          <w:p w14:paraId="4EC010E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2EDB0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068EE128">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398" w:type="dxa"/>
            <w:noWrap w:val="0"/>
            <w:vAlign w:val="center"/>
          </w:tcPr>
          <w:p w14:paraId="3856A6B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高性能实训终端（</w:t>
            </w:r>
            <w:r>
              <w:rPr>
                <w:rFonts w:hint="eastAsia" w:ascii="宋体" w:hAnsi="宋体" w:eastAsia="宋体" w:cs="宋体"/>
                <w:b/>
                <w:bCs/>
                <w:i w:val="0"/>
                <w:iCs w:val="0"/>
                <w:color w:val="000000"/>
                <w:kern w:val="0"/>
                <w:sz w:val="24"/>
                <w:szCs w:val="24"/>
                <w:u w:val="none"/>
                <w:lang w:val="en-US" w:eastAsia="zh-CN" w:bidi="ar"/>
              </w:rPr>
              <w:t>核心产品</w:t>
            </w:r>
            <w:r>
              <w:rPr>
                <w:rFonts w:hint="eastAsia" w:ascii="宋体" w:hAnsi="宋体" w:eastAsia="宋体" w:cs="宋体"/>
                <w:i w:val="0"/>
                <w:iCs w:val="0"/>
                <w:color w:val="000000"/>
                <w:kern w:val="0"/>
                <w:sz w:val="24"/>
                <w:szCs w:val="24"/>
                <w:u w:val="none"/>
                <w:lang w:val="en-US" w:eastAsia="zh-CN" w:bidi="ar"/>
              </w:rPr>
              <w:t>）</w:t>
            </w:r>
          </w:p>
        </w:tc>
        <w:tc>
          <w:tcPr>
            <w:tcW w:w="5738" w:type="dxa"/>
            <w:noWrap w:val="0"/>
            <w:vAlign w:val="center"/>
          </w:tcPr>
          <w:p w14:paraId="5A6529F0">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★1.中央处理器：主频≥5.2GHz/30MB缓存，核心数≥16C/线程≥24条（需提供原厂产品技术功能证明文件并加盖投标人公章）；</w:t>
            </w:r>
          </w:p>
          <w:p w14:paraId="76FC0C82">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2.芯片组：支持DDR5内存，支持超频；</w:t>
            </w:r>
          </w:p>
          <w:p w14:paraId="279AFD3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★3.运行内存：≥16GBDDR43200双通道，最大支持64G内存扩展（需提供产品技术功能证明文件并加盖</w:t>
            </w:r>
            <w:r>
              <w:rPr>
                <w:rFonts w:hint="eastAsia" w:ascii="宋体" w:hAnsi="宋体" w:eastAsia="宋体" w:cs="宋体"/>
                <w:b/>
                <w:bCs/>
                <w:i w:val="0"/>
                <w:iCs w:val="0"/>
                <w:color w:val="000000"/>
                <w:sz w:val="24"/>
                <w:szCs w:val="24"/>
                <w:highlight w:val="none"/>
                <w:u w:val="none"/>
              </w:rPr>
              <w:t>投标人</w:t>
            </w:r>
            <w:r>
              <w:rPr>
                <w:rFonts w:hint="eastAsia" w:ascii="宋体" w:hAnsi="宋体" w:eastAsia="宋体" w:cs="宋体"/>
                <w:b/>
                <w:bCs/>
                <w:i w:val="0"/>
                <w:iCs w:val="0"/>
                <w:color w:val="auto"/>
                <w:kern w:val="0"/>
                <w:sz w:val="24"/>
                <w:szCs w:val="24"/>
                <w:highlight w:val="none"/>
                <w:u w:val="none"/>
                <w:lang w:val="en-US" w:eastAsia="zh-CN" w:bidi="ar"/>
              </w:rPr>
              <w:t>公章）；</w:t>
            </w:r>
          </w:p>
          <w:p w14:paraId="0EA798EA">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eastAsia="宋体" w:cs="宋体"/>
                <w:b/>
                <w:bCs/>
                <w:i w:val="0"/>
                <w:iCs w:val="0"/>
                <w:color w:val="auto"/>
                <w:kern w:val="0"/>
                <w:sz w:val="24"/>
                <w:szCs w:val="24"/>
                <w:highlight w:val="none"/>
                <w:u w:val="none"/>
                <w:lang w:val="en-US" w:eastAsia="zh-CN" w:bidi="ar"/>
              </w:rPr>
              <w:t>★4.存储空间：≥1TBSSDM.22280PCIeNVMe高速固态，支持M.2/SATA多种存储方式；（需提供产品技术功能证明文件并盖章证明）；</w:t>
            </w:r>
          </w:p>
          <w:p w14:paraId="72CCC3CE">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5.显卡：核显及以上，需支持至少8GBGPU显卡的升级槽位及供电；</w:t>
            </w:r>
          </w:p>
          <w:p w14:paraId="346DDD92">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6.声卡及音箱：集成HDAUDIO声卡，支持多音频流，内置扬声器；</w:t>
            </w:r>
          </w:p>
          <w:p w14:paraId="5731CDBF">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7.网卡：集成10/100/1000M自适应网卡；</w:t>
            </w:r>
          </w:p>
          <w:p w14:paraId="164BF2BF">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8.I/O扩展：≥原生10个USB接口（前置≥4*USB3.2+≥1*Type-C）、≥1*HDMI、≥1*DP、≥1*VGA，主板插槽≥1个PCIE3.0*1，≥1个PCIE4.0*16，≥1个PCI，≥2个M.2；</w:t>
            </w:r>
          </w:p>
          <w:p w14:paraId="4D97EC6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9.键鼠：原厂同品牌USB防水抗菌光电键鼠；</w:t>
            </w:r>
          </w:p>
          <w:p w14:paraId="310FFBD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▲10.机箱：自带多向双风扇散热技术（提供机箱电源实物照片证明并加盖投标人公章），内置入侵监控传感器，免工具开启</w:t>
            </w:r>
            <w:r>
              <w:rPr>
                <w:rFonts w:hint="eastAsia" w:ascii="宋体" w:hAnsi="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≥15L塔式机箱（提供官网截图作为佐证材料并加盖投标人公章）；</w:t>
            </w:r>
          </w:p>
          <w:p w14:paraId="3196185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▲11.电源：≥350W额定电源，转换效率≥92%主动式PFC，具备国家级电源节能认证，并提供证书；可适应90V至265V的工作电压（提供官网截图作为佐证材料并加盖投标人公章）；</w:t>
            </w:r>
          </w:p>
          <w:p w14:paraId="16ECE06B">
            <w:pPr>
              <w:keepNext w:val="0"/>
              <w:keepLines w:val="0"/>
              <w:widowControl/>
              <w:suppressLineNumbers w:val="0"/>
              <w:snapToGrid w:val="0"/>
              <w:spacing w:line="240" w:lineRule="auto"/>
              <w:ind w:left="0" w:leftChars="0" w:right="0" w:rightChars="0" w:firstLine="0" w:firstLineChars="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12.</w:t>
            </w:r>
            <w:r>
              <w:rPr>
                <w:rFonts w:hint="eastAsia" w:ascii="宋体" w:hAnsi="宋体" w:eastAsia="宋体" w:cs="宋体"/>
                <w:i w:val="0"/>
                <w:iCs w:val="0"/>
                <w:color w:val="000000"/>
                <w:sz w:val="24"/>
                <w:szCs w:val="24"/>
                <w:highlight w:val="none"/>
                <w:u w:val="none"/>
              </w:rPr>
              <w:t>操作系统：</w:t>
            </w:r>
            <w:r>
              <w:rPr>
                <w:rFonts w:hint="eastAsia" w:ascii="宋体" w:hAnsi="宋体" w:eastAsia="宋体" w:cs="宋体"/>
                <w:i w:val="0"/>
                <w:iCs w:val="0"/>
                <w:color w:val="000000"/>
                <w:sz w:val="24"/>
                <w:szCs w:val="24"/>
                <w:highlight w:val="none"/>
                <w:u w:val="none"/>
                <w:lang w:val="en-US" w:eastAsia="zh-CN"/>
              </w:rPr>
              <w:t>至少支持</w:t>
            </w:r>
            <w:r>
              <w:rPr>
                <w:rFonts w:hint="eastAsia" w:ascii="宋体" w:hAnsi="宋体" w:eastAsia="宋体" w:cs="宋体"/>
                <w:i w:val="0"/>
                <w:iCs w:val="0"/>
                <w:color w:val="000000"/>
                <w:sz w:val="24"/>
                <w:szCs w:val="24"/>
                <w:highlight w:val="none"/>
                <w:u w:val="none"/>
              </w:rPr>
              <w:t>简体中文版Windows11操作系统</w:t>
            </w:r>
            <w:r>
              <w:rPr>
                <w:rFonts w:hint="eastAsia" w:ascii="宋体" w:hAnsi="宋体" w:eastAsia="宋体" w:cs="宋体"/>
                <w:i w:val="0"/>
                <w:iCs w:val="0"/>
                <w:color w:val="000000"/>
                <w:sz w:val="24"/>
                <w:szCs w:val="24"/>
                <w:highlight w:val="none"/>
                <w:u w:val="none"/>
                <w:lang w:eastAsia="zh-CN"/>
              </w:rPr>
              <w:t>；</w:t>
            </w:r>
          </w:p>
          <w:p w14:paraId="2BD6A329">
            <w:pPr>
              <w:keepNext w:val="0"/>
              <w:keepLines w:val="0"/>
              <w:widowControl/>
              <w:suppressLineNumbers w:val="0"/>
              <w:snapToGrid w:val="0"/>
              <w:spacing w:line="240" w:lineRule="auto"/>
              <w:ind w:left="0" w:leftChars="0" w:right="0" w:rightChars="0" w:firstLine="0" w:firstLineChars="0"/>
              <w:jc w:val="left"/>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cs="宋体"/>
                <w:i w:val="0"/>
                <w:iCs w:val="0"/>
                <w:color w:val="auto"/>
                <w:kern w:val="0"/>
                <w:sz w:val="24"/>
                <w:szCs w:val="24"/>
                <w:highlight w:val="none"/>
                <w:u w:val="none"/>
                <w:lang w:val="en-US" w:eastAsia="zh-CN" w:bidi="ar"/>
              </w:rPr>
              <w:t>3</w:t>
            </w:r>
            <w:r>
              <w:rPr>
                <w:rFonts w:hint="eastAsia" w:ascii="宋体" w:hAnsi="宋体" w:eastAsia="宋体" w:cs="宋体"/>
                <w:i w:val="0"/>
                <w:iCs w:val="0"/>
                <w:color w:val="auto"/>
                <w:kern w:val="0"/>
                <w:sz w:val="24"/>
                <w:szCs w:val="24"/>
                <w:highlight w:val="none"/>
                <w:u w:val="none"/>
                <w:lang w:val="en-US" w:eastAsia="zh-CN" w:bidi="ar"/>
              </w:rPr>
              <w:t>.AI应用软件包：预装正版AI助手程序，集成多种AI工具以协助用户处理日常任务</w:t>
            </w:r>
            <w:r>
              <w:rPr>
                <w:rFonts w:hint="eastAsia" w:ascii="宋体" w:hAnsi="宋体" w:eastAsia="宋体" w:cs="宋体"/>
                <w:i w:val="0"/>
                <w:iCs w:val="0"/>
                <w:color w:val="auto"/>
                <w:kern w:val="0"/>
                <w:sz w:val="24"/>
                <w:szCs w:val="24"/>
                <w:u w:val="none"/>
                <w:lang w:val="en-US" w:eastAsia="zh-CN" w:bidi="ar"/>
              </w:rPr>
              <w:t>（</w:t>
            </w:r>
            <w:r>
              <w:rPr>
                <w:rFonts w:hint="eastAsia" w:ascii="宋体" w:hAnsi="宋体" w:eastAsia="宋体" w:cs="宋体"/>
                <w:i w:val="0"/>
                <w:iCs w:val="0"/>
                <w:color w:val="000000"/>
                <w:sz w:val="24"/>
                <w:szCs w:val="24"/>
                <w:highlight w:val="none"/>
                <w:u w:val="none"/>
              </w:rPr>
              <w:t>需提供</w:t>
            </w:r>
            <w:r>
              <w:rPr>
                <w:rFonts w:hint="eastAsia" w:ascii="宋体" w:hAnsi="宋体" w:eastAsia="宋体" w:cs="宋体"/>
                <w:i w:val="0"/>
                <w:iCs w:val="0"/>
                <w:color w:val="000000"/>
                <w:sz w:val="24"/>
                <w:szCs w:val="24"/>
                <w:highlight w:val="none"/>
                <w:u w:val="none"/>
                <w:lang w:val="en-US" w:eastAsia="zh-CN"/>
              </w:rPr>
              <w:t>功能</w:t>
            </w:r>
            <w:r>
              <w:rPr>
                <w:rFonts w:hint="eastAsia" w:ascii="宋体" w:hAnsi="宋体" w:eastAsia="宋体" w:cs="宋体"/>
                <w:i w:val="0"/>
                <w:iCs w:val="0"/>
                <w:color w:val="000000"/>
                <w:sz w:val="24"/>
                <w:szCs w:val="24"/>
                <w:highlight w:val="none"/>
                <w:u w:val="none"/>
              </w:rPr>
              <w:t>截图证明并加盖投标人公章</w:t>
            </w:r>
            <w:r>
              <w:rPr>
                <w:rFonts w:hint="eastAsia" w:ascii="宋体" w:hAnsi="宋体" w:eastAsia="宋体" w:cs="宋体"/>
                <w:i w:val="0"/>
                <w:iCs w:val="0"/>
                <w:color w:val="auto"/>
                <w:kern w:val="0"/>
                <w:sz w:val="24"/>
                <w:szCs w:val="24"/>
                <w:u w:val="none"/>
                <w:lang w:val="en-US" w:eastAsia="zh-CN" w:bidi="ar"/>
              </w:rPr>
              <w:t>）；</w:t>
            </w:r>
          </w:p>
          <w:p w14:paraId="23A0DD6D">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default" w:ascii="宋体" w:hAnsi="Times New Roman" w:eastAsia="宋体" w:cs="Times New Roman"/>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核心功能</w:t>
            </w:r>
            <w:r>
              <w:rPr>
                <w:rFonts w:hint="default" w:ascii="宋体" w:hAnsi="Times New Roman" w:eastAsia="宋体" w:cs="Times New Roman"/>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：主要包括“库/分析”“询问”与“执行”三大模块。</w:t>
            </w:r>
          </w:p>
          <w:p w14:paraId="573F608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default" w:ascii="宋体" w:hAnsi="Times New Roman" w:eastAsia="宋体" w:cs="Times New Roman"/>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库/分析</w:t>
            </w:r>
            <w:r>
              <w:rPr>
                <w:rFonts w:hint="default" w:ascii="宋体" w:hAnsi="Times New Roman" w:eastAsia="宋体" w:cs="Times New Roman"/>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：允许用户上传个人文档（如pdf、txt、docx格式），并基于文件内容进行交互，实现精准问答、总结关键信息或数据筛选。</w:t>
            </w:r>
          </w:p>
          <w:p w14:paraId="588A5980">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default" w:ascii="宋体" w:hAnsi="Times New Roman" w:eastAsia="宋体" w:cs="Times New Roman"/>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询问</w:t>
            </w:r>
            <w:r>
              <w:rPr>
                <w:rFonts w:hint="default" w:ascii="宋体" w:hAnsi="Times New Roman" w:eastAsia="宋体" w:cs="Times New Roman"/>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：可用于提出一般知识性问题，或协助创作各类文本内容。</w:t>
            </w:r>
          </w:p>
          <w:p w14:paraId="64709398">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default" w:ascii="宋体" w:hAnsi="Times New Roman" w:eastAsia="宋体" w:cs="Times New Roman"/>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执行</w:t>
            </w:r>
            <w:r>
              <w:rPr>
                <w:rFonts w:hint="default" w:ascii="宋体" w:hAnsi="Times New Roman" w:eastAsia="宋体" w:cs="Times New Roman"/>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：整合了系统设置调整与技术支持功能，可自动维护驱动程序与BIOS并提供故障排除指导。集成了多项AI能力助手，包含如下应用：</w:t>
            </w:r>
          </w:p>
          <w:p w14:paraId="7B084E8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Times New Roman" w:cs="Times New Roman"/>
                <w:i w:val="0"/>
                <w:iCs w:val="0"/>
                <w:color w:val="auto"/>
                <w:kern w:val="0"/>
                <w:sz w:val="24"/>
                <w:szCs w:val="24"/>
                <w:highlight w:val="none"/>
                <w:u w:val="none"/>
                <w:lang w:val="en-US" w:eastAsia="zh-CN" w:bidi="ar"/>
              </w:rPr>
              <w:t>（1）</w:t>
            </w:r>
            <w:r>
              <w:rPr>
                <w:rFonts w:hint="default" w:ascii="宋体" w:hAnsi="Times New Roman" w:eastAsia="宋体" w:cs="Times New Roman"/>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AI效率工具</w:t>
            </w:r>
            <w:r>
              <w:rPr>
                <w:rFonts w:hint="default" w:ascii="宋体" w:hAnsi="Times New Roman" w:eastAsia="宋体" w:cs="Times New Roman"/>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：整合了生成式AI工具，</w:t>
            </w:r>
            <w:r>
              <w:rPr>
                <w:rFonts w:hint="eastAsia" w:ascii="宋体" w:hAnsi="宋体" w:cs="宋体"/>
                <w:i w:val="0"/>
                <w:iCs w:val="0"/>
                <w:color w:val="auto"/>
                <w:kern w:val="0"/>
                <w:sz w:val="24"/>
                <w:szCs w:val="24"/>
                <w:highlight w:val="none"/>
                <w:u w:val="none"/>
                <w:lang w:val="en-US" w:eastAsia="zh-CN" w:bidi="ar"/>
              </w:rPr>
              <w:t>可</w:t>
            </w:r>
            <w:r>
              <w:rPr>
                <w:rFonts w:hint="eastAsia" w:ascii="宋体" w:hAnsi="宋体" w:eastAsia="宋体" w:cs="宋体"/>
                <w:i w:val="0"/>
                <w:iCs w:val="0"/>
                <w:color w:val="auto"/>
                <w:kern w:val="0"/>
                <w:sz w:val="24"/>
                <w:szCs w:val="24"/>
                <w:highlight w:val="none"/>
                <w:u w:val="none"/>
                <w:lang w:val="en-US" w:eastAsia="zh-CN" w:bidi="ar"/>
              </w:rPr>
              <w:t>接入</w:t>
            </w:r>
            <w:r>
              <w:rPr>
                <w:rFonts w:hint="eastAsia" w:ascii="宋体" w:hAnsi="宋体" w:cs="宋体"/>
                <w:i w:val="0"/>
                <w:iCs w:val="0"/>
                <w:color w:val="auto"/>
                <w:kern w:val="0"/>
                <w:sz w:val="24"/>
                <w:szCs w:val="24"/>
                <w:highlight w:val="none"/>
                <w:u w:val="none"/>
                <w:lang w:val="en-US" w:eastAsia="zh-CN" w:bidi="ar"/>
              </w:rPr>
              <w:t>市面流行的AI大模型</w:t>
            </w:r>
            <w:r>
              <w:rPr>
                <w:rFonts w:hint="eastAsia" w:ascii="宋体" w:hAnsi="宋体" w:eastAsia="宋体" w:cs="宋体"/>
                <w:i w:val="0"/>
                <w:iCs w:val="0"/>
                <w:color w:val="auto"/>
                <w:kern w:val="0"/>
                <w:sz w:val="24"/>
                <w:szCs w:val="24"/>
                <w:highlight w:val="none"/>
                <w:u w:val="none"/>
                <w:lang w:val="en-US" w:eastAsia="zh-CN" w:bidi="ar"/>
              </w:rPr>
              <w:t>进行自然语言对话，以及提供</w:t>
            </w:r>
            <w:r>
              <w:rPr>
                <w:rFonts w:hint="eastAsia" w:ascii="宋体" w:hAnsi="宋体" w:cs="宋体"/>
                <w:i w:val="0"/>
                <w:iCs w:val="0"/>
                <w:color w:val="auto"/>
                <w:kern w:val="0"/>
                <w:sz w:val="24"/>
                <w:szCs w:val="24"/>
                <w:highlight w:val="none"/>
                <w:u w:val="none"/>
                <w:lang w:val="en-US" w:eastAsia="zh-CN" w:bidi="ar"/>
              </w:rPr>
              <w:t>常用</w:t>
            </w:r>
            <w:r>
              <w:rPr>
                <w:rFonts w:hint="eastAsia" w:ascii="宋体" w:hAnsi="宋体" w:eastAsia="宋体" w:cs="宋体"/>
                <w:i w:val="0"/>
                <w:iCs w:val="0"/>
                <w:color w:val="auto"/>
                <w:kern w:val="0"/>
                <w:sz w:val="24"/>
                <w:szCs w:val="24"/>
                <w:highlight w:val="none"/>
                <w:u w:val="none"/>
                <w:lang w:val="en-US" w:eastAsia="zh-CN" w:bidi="ar"/>
              </w:rPr>
              <w:t>办公</w:t>
            </w:r>
            <w:r>
              <w:rPr>
                <w:rFonts w:hint="eastAsia" w:ascii="宋体" w:hAnsi="宋体" w:cs="宋体"/>
                <w:i w:val="0"/>
                <w:iCs w:val="0"/>
                <w:color w:val="auto"/>
                <w:kern w:val="0"/>
                <w:sz w:val="24"/>
                <w:szCs w:val="24"/>
                <w:highlight w:val="none"/>
                <w:u w:val="none"/>
                <w:lang w:val="en-US" w:eastAsia="zh-CN" w:bidi="ar"/>
              </w:rPr>
              <w:t>软件</w:t>
            </w:r>
            <w:r>
              <w:rPr>
                <w:rFonts w:hint="eastAsia" w:ascii="宋体" w:hAnsi="宋体" w:eastAsia="宋体" w:cs="宋体"/>
                <w:i w:val="0"/>
                <w:iCs w:val="0"/>
                <w:color w:val="auto"/>
                <w:kern w:val="0"/>
                <w:sz w:val="24"/>
                <w:szCs w:val="24"/>
                <w:highlight w:val="none"/>
                <w:u w:val="none"/>
                <w:lang w:val="en-US" w:eastAsia="zh-CN" w:bidi="ar"/>
              </w:rPr>
              <w:t>AI</w:t>
            </w:r>
            <w:r>
              <w:rPr>
                <w:rFonts w:hint="eastAsia" w:ascii="宋体" w:hAnsi="宋体" w:cs="宋体"/>
                <w:i w:val="0"/>
                <w:iCs w:val="0"/>
                <w:color w:val="auto"/>
                <w:kern w:val="0"/>
                <w:sz w:val="24"/>
                <w:szCs w:val="24"/>
                <w:highlight w:val="none"/>
                <w:u w:val="none"/>
                <w:lang w:val="en-US" w:eastAsia="zh-CN" w:bidi="ar"/>
              </w:rPr>
              <w:t>功能</w:t>
            </w:r>
            <w:r>
              <w:rPr>
                <w:rFonts w:hint="eastAsia" w:ascii="宋体" w:hAnsi="宋体" w:eastAsia="宋体" w:cs="宋体"/>
                <w:i w:val="0"/>
                <w:iCs w:val="0"/>
                <w:color w:val="auto"/>
                <w:kern w:val="0"/>
                <w:sz w:val="24"/>
                <w:szCs w:val="24"/>
                <w:highlight w:val="none"/>
                <w:u w:val="none"/>
                <w:lang w:val="en-US" w:eastAsia="zh-CN" w:bidi="ar"/>
              </w:rPr>
              <w:t>入口以快速生成PPT和文档。</w:t>
            </w:r>
          </w:p>
          <w:p w14:paraId="5F6AA79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Times New Roman" w:cs="Times New Roman"/>
                <w:i w:val="0"/>
                <w:iCs w:val="0"/>
                <w:color w:val="auto"/>
                <w:kern w:val="0"/>
                <w:sz w:val="24"/>
                <w:szCs w:val="24"/>
                <w:highlight w:val="none"/>
                <w:u w:val="none"/>
                <w:lang w:val="en-US" w:eastAsia="zh-CN" w:bidi="ar"/>
              </w:rPr>
              <w:t>（2）</w:t>
            </w:r>
            <w:r>
              <w:rPr>
                <w:rFonts w:hint="default" w:ascii="宋体" w:hAnsi="Times New Roman" w:eastAsia="宋体" w:cs="Times New Roman"/>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AI智能会议</w:t>
            </w:r>
            <w:r>
              <w:rPr>
                <w:rFonts w:hint="default" w:ascii="宋体" w:hAnsi="Times New Roman" w:eastAsia="宋体" w:cs="Times New Roman"/>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：支持中英双语同声传译、实时字幕生成、会议内容总结与记录，并能将结果保存为文本或音频文件。</w:t>
            </w:r>
          </w:p>
          <w:p w14:paraId="26DB0FC3">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Times New Roman" w:cs="Times New Roman"/>
                <w:i w:val="0"/>
                <w:iCs w:val="0"/>
                <w:color w:val="auto"/>
                <w:kern w:val="0"/>
                <w:sz w:val="24"/>
                <w:szCs w:val="24"/>
                <w:highlight w:val="none"/>
                <w:u w:val="none"/>
                <w:lang w:val="en-US" w:eastAsia="zh-CN" w:bidi="ar"/>
              </w:rPr>
              <w:t>（3）</w:t>
            </w:r>
            <w:r>
              <w:rPr>
                <w:rFonts w:hint="default" w:ascii="宋体" w:hAnsi="Times New Roman" w:eastAsia="宋体" w:cs="Times New Roman"/>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AI电脑管家</w:t>
            </w:r>
            <w:r>
              <w:rPr>
                <w:rFonts w:hint="default" w:ascii="宋体" w:hAnsi="Times New Roman" w:eastAsia="宋体" w:cs="Times New Roman"/>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：通过AI智能助手提供新机设置、系统调节、应用推荐、网络故障处理等本地化支持，承诺基于本地隐私保护处理数据。</w:t>
            </w:r>
          </w:p>
          <w:p w14:paraId="654905C2">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Times New Roman" w:cs="Times New Roman"/>
                <w:i w:val="0"/>
                <w:iCs w:val="0"/>
                <w:color w:val="auto"/>
                <w:kern w:val="0"/>
                <w:sz w:val="24"/>
                <w:szCs w:val="24"/>
                <w:highlight w:val="none"/>
                <w:u w:val="none"/>
                <w:lang w:val="en-US" w:eastAsia="zh-CN" w:bidi="ar"/>
              </w:rPr>
              <w:t>（4）</w:t>
            </w:r>
            <w:r>
              <w:rPr>
                <w:rFonts w:hint="default" w:ascii="宋体" w:hAnsi="Times New Roman" w:eastAsia="宋体" w:cs="Times New Roman"/>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AI生活助理</w:t>
            </w:r>
            <w:r>
              <w:rPr>
                <w:rFonts w:hint="default" w:ascii="宋体" w:hAnsi="Times New Roman" w:eastAsia="宋体" w:cs="Times New Roman"/>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：提供电脑状态管理、一键加速清理、桌面工具集成（如录屏、截屏、日程管理）以及文字智能提取等功能。</w:t>
            </w:r>
          </w:p>
          <w:p w14:paraId="174FEFD8">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cs="宋体"/>
                <w:i w:val="0"/>
                <w:iCs w:val="0"/>
                <w:color w:val="auto"/>
                <w:kern w:val="0"/>
                <w:sz w:val="24"/>
                <w:szCs w:val="24"/>
                <w:highlight w:val="none"/>
                <w:u w:val="none"/>
                <w:lang w:val="en-US" w:eastAsia="zh-CN" w:bidi="ar"/>
              </w:rPr>
              <w:t>4</w:t>
            </w:r>
            <w:r>
              <w:rPr>
                <w:rFonts w:hint="eastAsia" w:ascii="宋体" w:hAnsi="宋体" w:eastAsia="宋体" w:cs="宋体"/>
                <w:i w:val="0"/>
                <w:iCs w:val="0"/>
                <w:color w:val="auto"/>
                <w:kern w:val="0"/>
                <w:sz w:val="24"/>
                <w:szCs w:val="24"/>
                <w:highlight w:val="none"/>
                <w:u w:val="none"/>
                <w:lang w:val="en-US" w:eastAsia="zh-CN" w:bidi="ar"/>
              </w:rPr>
              <w:t>.硬件防护安全软件：提供原厂安全功能软件，设备自带的软件可对BIOS和浏览器提供持续运行的硬件增强型弹性防御保护。</w:t>
            </w:r>
          </w:p>
          <w:p w14:paraId="53FF2B36">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（1）提供原厂商用客户端安全（ClientSecurity）软件，帮助用户保护数据、设备访问和身份认证；防止未经授权的用户访问数据，并支持多元身份验证；</w:t>
            </w:r>
          </w:p>
          <w:p w14:paraId="52B82CE2">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（2）提供原厂电脑BIOS保护功能，该功能可监控内存BIOS，防止BIOS级别攻击，无需用户或管理员干预即可恢复平台，避免宕机，并将BIOS恢复至安全状态；</w:t>
            </w:r>
          </w:p>
          <w:p w14:paraId="7B122E4A">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3）提供原厂系统恢复和备份工具软件，实现对计算机的安全巡检、数据备份及恢复，对操作系统和硬件驱动程序进行智能备份和恢复，为首次安装软件的用户提供无损、智能分区，提升客户端安全及维护（安全功能需提供官网技术证明文件截屏并加盖</w:t>
            </w:r>
            <w:r>
              <w:rPr>
                <w:rFonts w:hint="eastAsia" w:ascii="宋体" w:hAnsi="宋体" w:eastAsia="宋体" w:cs="宋体"/>
                <w:i w:val="0"/>
                <w:iCs w:val="0"/>
                <w:color w:val="000000"/>
                <w:sz w:val="24"/>
                <w:szCs w:val="24"/>
                <w:highlight w:val="none"/>
                <w:u w:val="none"/>
              </w:rPr>
              <w:t>投标人</w:t>
            </w:r>
            <w:r>
              <w:rPr>
                <w:rFonts w:hint="eastAsia" w:ascii="宋体" w:hAnsi="宋体" w:eastAsia="宋体" w:cs="宋体"/>
                <w:i w:val="0"/>
                <w:iCs w:val="0"/>
                <w:color w:val="auto"/>
                <w:kern w:val="0"/>
                <w:sz w:val="24"/>
                <w:szCs w:val="24"/>
                <w:highlight w:val="none"/>
                <w:u w:val="none"/>
                <w:lang w:val="en-US" w:eastAsia="zh-CN" w:bidi="ar"/>
              </w:rPr>
              <w:t>公章）；</w:t>
            </w:r>
          </w:p>
          <w:p w14:paraId="01D4E2E0">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w:t>
            </w:r>
            <w:r>
              <w:rPr>
                <w:rFonts w:hint="eastAsia" w:ascii="宋体" w:hAnsi="宋体" w:cs="宋体"/>
                <w:i w:val="0"/>
                <w:iCs w:val="0"/>
                <w:color w:val="auto"/>
                <w:kern w:val="0"/>
                <w:sz w:val="24"/>
                <w:szCs w:val="24"/>
                <w:highlight w:val="none"/>
                <w:u w:val="none"/>
                <w:lang w:val="en-US" w:eastAsia="zh-CN" w:bidi="ar"/>
              </w:rPr>
              <w:t>5</w:t>
            </w:r>
            <w:r>
              <w:rPr>
                <w:rFonts w:hint="eastAsia" w:ascii="宋体" w:hAnsi="宋体" w:eastAsia="宋体" w:cs="宋体"/>
                <w:i w:val="0"/>
                <w:iCs w:val="0"/>
                <w:color w:val="auto"/>
                <w:kern w:val="0"/>
                <w:sz w:val="24"/>
                <w:szCs w:val="24"/>
                <w:highlight w:val="none"/>
                <w:u w:val="none"/>
                <w:lang w:val="en-US" w:eastAsia="zh-CN" w:bidi="ar"/>
              </w:rPr>
              <w:t>.MTBF平均无故障运行时间≥110万小时</w:t>
            </w:r>
            <w:r>
              <w:rPr>
                <w:rFonts w:hint="eastAsia" w:ascii="宋体" w:hAnsi="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u w:val="none"/>
                <w:lang w:val="en-US" w:eastAsia="zh-CN" w:bidi="ar"/>
              </w:rPr>
              <w:t>提供具有CMA或CNAS标志的检测报告复印件或扫描件并加盖投标人公章，同时要求检测机构通过国家市场监督管理总局检验检测机构资质认定，提供检测机构在国家市场监督管理总局检验检测机构资质认定网上审批系统的查询截图</w:t>
            </w:r>
            <w:r>
              <w:rPr>
                <w:rFonts w:hint="eastAsia" w:ascii="宋体" w:hAnsi="宋体" w:eastAsia="宋体" w:cs="宋体"/>
                <w:i w:val="0"/>
                <w:iCs w:val="0"/>
                <w:color w:val="auto"/>
                <w:kern w:val="0"/>
                <w:sz w:val="24"/>
                <w:szCs w:val="24"/>
                <w:highlight w:val="none"/>
                <w:u w:val="none"/>
                <w:lang w:val="en-US" w:eastAsia="zh-CN" w:bidi="ar"/>
              </w:rPr>
              <w:t>）</w:t>
            </w:r>
          </w:p>
          <w:p w14:paraId="3AC1023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val="0"/>
                <w:bCs w:val="0"/>
                <w:i w:val="0"/>
                <w:iCs w:val="0"/>
                <w:color w:val="auto"/>
                <w:kern w:val="0"/>
                <w:sz w:val="24"/>
                <w:szCs w:val="24"/>
                <w:highlight w:val="none"/>
                <w:u w:val="none"/>
                <w:lang w:val="en-US" w:eastAsia="zh-CN" w:bidi="ar"/>
              </w:rPr>
            </w:pPr>
            <w:r>
              <w:rPr>
                <w:rFonts w:hint="eastAsia" w:ascii="宋体" w:hAnsi="宋体" w:eastAsia="宋体" w:cs="宋体"/>
                <w:b w:val="0"/>
                <w:bCs w:val="0"/>
                <w:i w:val="0"/>
                <w:iCs w:val="0"/>
                <w:color w:val="auto"/>
                <w:kern w:val="0"/>
                <w:sz w:val="24"/>
                <w:szCs w:val="24"/>
                <w:highlight w:val="none"/>
                <w:u w:val="none"/>
                <w:lang w:val="en-US" w:eastAsia="zh-CN" w:bidi="ar"/>
              </w:rPr>
              <w:t>1</w:t>
            </w:r>
            <w:r>
              <w:rPr>
                <w:rFonts w:hint="eastAsia" w:ascii="宋体" w:hAnsi="宋体" w:cs="宋体"/>
                <w:b w:val="0"/>
                <w:bCs w:val="0"/>
                <w:i w:val="0"/>
                <w:iCs w:val="0"/>
                <w:color w:val="auto"/>
                <w:kern w:val="0"/>
                <w:sz w:val="24"/>
                <w:szCs w:val="24"/>
                <w:highlight w:val="none"/>
                <w:u w:val="none"/>
                <w:lang w:val="en-US" w:eastAsia="zh-CN" w:bidi="ar"/>
              </w:rPr>
              <w:t>6</w:t>
            </w:r>
            <w:r>
              <w:rPr>
                <w:rFonts w:hint="eastAsia" w:ascii="宋体" w:hAnsi="宋体" w:eastAsia="宋体" w:cs="宋体"/>
                <w:b w:val="0"/>
                <w:bCs w:val="0"/>
                <w:i w:val="0"/>
                <w:iCs w:val="0"/>
                <w:color w:val="auto"/>
                <w:kern w:val="0"/>
                <w:sz w:val="24"/>
                <w:szCs w:val="24"/>
                <w:highlight w:val="none"/>
                <w:u w:val="none"/>
                <w:lang w:val="en-US" w:eastAsia="zh-CN" w:bidi="ar"/>
              </w:rPr>
              <w:t>.显示器：</w:t>
            </w:r>
          </w:p>
          <w:p w14:paraId="27F3D958">
            <w:pPr>
              <w:keepNext w:val="0"/>
              <w:keepLines w:val="0"/>
              <w:widowControl/>
              <w:suppressLineNumbers w:val="0"/>
              <w:snapToGrid w:val="0"/>
              <w:spacing w:line="240" w:lineRule="auto"/>
              <w:ind w:left="0" w:leftChars="0" w:right="0" w:rightChars="0" w:firstLine="0" w:firstLineChars="0"/>
              <w:jc w:val="left"/>
              <w:textAlignment w:val="center"/>
              <w:rPr>
                <w:b w:val="0"/>
                <w:bCs w:val="0"/>
              </w:rPr>
            </w:pPr>
            <w:r>
              <w:rPr>
                <w:rFonts w:hint="eastAsia" w:ascii="宋体" w:hAnsi="宋体" w:cs="宋体"/>
                <w:b w:val="0"/>
                <w:bCs w:val="0"/>
                <w:i w:val="0"/>
                <w:iCs w:val="0"/>
                <w:color w:val="auto"/>
                <w:kern w:val="0"/>
                <w:sz w:val="24"/>
                <w:szCs w:val="24"/>
                <w:highlight w:val="none"/>
                <w:u w:val="none"/>
                <w:lang w:val="en-US" w:eastAsia="zh-CN" w:bidi="ar"/>
              </w:rPr>
              <w:t>（1）</w:t>
            </w:r>
            <w:r>
              <w:rPr>
                <w:rFonts w:hint="eastAsia" w:ascii="宋体" w:hAnsi="宋体" w:eastAsia="宋体" w:cs="宋体"/>
                <w:b w:val="0"/>
                <w:bCs w:val="0"/>
                <w:i w:val="0"/>
                <w:iCs w:val="0"/>
                <w:color w:val="auto"/>
                <w:kern w:val="0"/>
                <w:sz w:val="24"/>
                <w:szCs w:val="24"/>
                <w:highlight w:val="none"/>
                <w:u w:val="none"/>
                <w:lang w:val="en-US" w:eastAsia="zh-CN" w:bidi="ar"/>
              </w:rPr>
              <w:t>≥23.8寸FHD全高清1920*1080液晶，亮度≥250nits，接口VGA+HDMI，</w:t>
            </w:r>
            <w:r>
              <w:rPr>
                <w:rFonts w:hint="eastAsia" w:ascii="宋体" w:hAnsi="宋体" w:eastAsia="宋体" w:cs="宋体"/>
                <w:b w:val="0"/>
                <w:bCs w:val="0"/>
                <w:i w:val="0"/>
                <w:iCs w:val="0"/>
                <w:color w:val="000000"/>
                <w:sz w:val="24"/>
                <w:szCs w:val="24"/>
                <w:highlight w:val="none"/>
                <w:u w:val="none"/>
                <w:lang w:eastAsia="zh-CN"/>
              </w:rPr>
              <w:t>为保证兼容性，显示器与实训终端</w:t>
            </w:r>
            <w:r>
              <w:rPr>
                <w:rFonts w:hint="eastAsia" w:ascii="宋体" w:hAnsi="宋体" w:cs="宋体"/>
                <w:b w:val="0"/>
                <w:bCs w:val="0"/>
                <w:i w:val="0"/>
                <w:iCs w:val="0"/>
                <w:color w:val="000000"/>
                <w:sz w:val="24"/>
                <w:szCs w:val="24"/>
                <w:highlight w:val="none"/>
                <w:u w:val="none"/>
                <w:lang w:val="en-US" w:eastAsia="zh-CN"/>
              </w:rPr>
              <w:t>需为</w:t>
            </w:r>
            <w:r>
              <w:rPr>
                <w:rFonts w:hint="eastAsia" w:ascii="宋体" w:hAnsi="宋体" w:eastAsia="宋体" w:cs="宋体"/>
                <w:b w:val="0"/>
                <w:bCs w:val="0"/>
                <w:i w:val="0"/>
                <w:iCs w:val="0"/>
                <w:color w:val="000000"/>
                <w:sz w:val="24"/>
                <w:szCs w:val="24"/>
                <w:highlight w:val="none"/>
                <w:u w:val="none"/>
                <w:lang w:eastAsia="zh-CN"/>
              </w:rPr>
              <w:t>同一品牌</w:t>
            </w:r>
            <w:r>
              <w:rPr>
                <w:rFonts w:hint="eastAsia" w:ascii="宋体" w:hAnsi="宋体" w:cs="宋体"/>
                <w:b w:val="0"/>
                <w:bCs w:val="0"/>
                <w:i w:val="0"/>
                <w:iCs w:val="0"/>
                <w:color w:val="000000"/>
                <w:sz w:val="24"/>
                <w:szCs w:val="24"/>
                <w:highlight w:val="none"/>
                <w:u w:val="none"/>
                <w:lang w:eastAsia="zh-CN"/>
              </w:rPr>
              <w:t>，</w:t>
            </w:r>
            <w:r>
              <w:rPr>
                <w:rFonts w:hint="eastAsia" w:ascii="宋体" w:hAnsi="宋体" w:eastAsia="宋体" w:cs="宋体"/>
                <w:b w:val="0"/>
                <w:bCs w:val="0"/>
                <w:i w:val="0"/>
                <w:iCs w:val="0"/>
                <w:color w:val="auto"/>
                <w:sz w:val="24"/>
                <w:szCs w:val="24"/>
                <w:highlight w:val="none"/>
                <w:u w:val="none"/>
                <w:lang w:val="en-US" w:eastAsia="zh-CN"/>
              </w:rPr>
              <w:t>提供强制节能证书。</w:t>
            </w:r>
          </w:p>
          <w:p w14:paraId="02E3FFF0">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highlight w:val="none"/>
                <w:u w:val="none"/>
                <w:lang w:eastAsia="zh-CN"/>
              </w:rPr>
            </w:pPr>
            <w:r>
              <w:rPr>
                <w:rFonts w:hint="eastAsia" w:ascii="宋体" w:hAnsi="宋体" w:eastAsia="宋体" w:cs="宋体"/>
                <w:i w:val="0"/>
                <w:iCs w:val="0"/>
                <w:color w:val="auto"/>
                <w:kern w:val="0"/>
                <w:sz w:val="24"/>
                <w:szCs w:val="24"/>
                <w:highlight w:val="none"/>
                <w:u w:val="none"/>
                <w:lang w:val="en-US" w:eastAsia="zh-CN" w:bidi="ar"/>
              </w:rPr>
              <w:t>▲（2）</w:t>
            </w:r>
            <w:r>
              <w:rPr>
                <w:rFonts w:hint="eastAsia" w:ascii="宋体" w:hAnsi="宋体" w:cs="宋体"/>
                <w:i w:val="0"/>
                <w:iCs w:val="0"/>
                <w:color w:val="auto"/>
                <w:kern w:val="0"/>
                <w:sz w:val="24"/>
                <w:szCs w:val="24"/>
                <w:highlight w:val="none"/>
                <w:u w:val="none"/>
                <w:lang w:val="en-US" w:eastAsia="zh-CN" w:bidi="ar"/>
              </w:rPr>
              <w:t>显示器</w:t>
            </w:r>
            <w:r>
              <w:rPr>
                <w:rFonts w:hint="eastAsia" w:ascii="宋体" w:hAnsi="宋体" w:eastAsia="宋体" w:cs="宋体"/>
                <w:i w:val="0"/>
                <w:iCs w:val="0"/>
                <w:color w:val="auto"/>
                <w:kern w:val="0"/>
                <w:sz w:val="24"/>
                <w:szCs w:val="24"/>
                <w:highlight w:val="none"/>
                <w:u w:val="none"/>
                <w:lang w:val="en-US" w:eastAsia="zh-CN" w:bidi="ar"/>
              </w:rPr>
              <w:t>应具备寿命优化模块功能</w:t>
            </w:r>
            <w:r>
              <w:rPr>
                <w:rFonts w:hint="eastAsia" w:ascii="宋体" w:hAnsi="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w:t>
            </w:r>
            <w:r>
              <w:rPr>
                <w:rFonts w:hint="eastAsia" w:ascii="宋体" w:hAnsi="宋体" w:eastAsia="宋体" w:cs="宋体"/>
                <w:i w:val="0"/>
                <w:iCs w:val="0"/>
                <w:color w:val="000000"/>
                <w:sz w:val="24"/>
                <w:szCs w:val="24"/>
                <w:highlight w:val="none"/>
                <w:u w:val="none"/>
              </w:rPr>
              <w:t>需提供</w:t>
            </w:r>
            <w:r>
              <w:rPr>
                <w:rFonts w:hint="eastAsia" w:ascii="宋体" w:hAnsi="宋体" w:eastAsia="宋体" w:cs="宋体"/>
                <w:i w:val="0"/>
                <w:iCs w:val="0"/>
                <w:color w:val="000000"/>
                <w:sz w:val="24"/>
                <w:szCs w:val="24"/>
                <w:highlight w:val="none"/>
                <w:u w:val="none"/>
                <w:lang w:val="en-US" w:eastAsia="zh-CN"/>
              </w:rPr>
              <w:t>功能</w:t>
            </w:r>
            <w:r>
              <w:rPr>
                <w:rFonts w:hint="eastAsia" w:ascii="宋体" w:hAnsi="宋体" w:eastAsia="宋体" w:cs="宋体"/>
                <w:i w:val="0"/>
                <w:iCs w:val="0"/>
                <w:color w:val="000000"/>
                <w:sz w:val="24"/>
                <w:szCs w:val="24"/>
                <w:highlight w:val="none"/>
                <w:u w:val="none"/>
              </w:rPr>
              <w:t>截图证明并加盖投标人公章</w:t>
            </w:r>
            <w:r>
              <w:rPr>
                <w:rFonts w:hint="eastAsia" w:ascii="宋体" w:hAnsi="宋体" w:eastAsia="宋体" w:cs="宋体"/>
                <w:i w:val="0"/>
                <w:iCs w:val="0"/>
                <w:color w:val="auto"/>
                <w:kern w:val="0"/>
                <w:sz w:val="24"/>
                <w:szCs w:val="24"/>
                <w:highlight w:val="none"/>
                <w:u w:val="none"/>
                <w:lang w:val="en-US" w:eastAsia="zh-CN" w:bidi="ar"/>
              </w:rPr>
              <w:t>）</w:t>
            </w:r>
          </w:p>
        </w:tc>
        <w:tc>
          <w:tcPr>
            <w:tcW w:w="793" w:type="dxa"/>
            <w:noWrap w:val="0"/>
            <w:vAlign w:val="center"/>
          </w:tcPr>
          <w:p w14:paraId="185917F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730" w:type="dxa"/>
            <w:noWrap w:val="0"/>
            <w:vAlign w:val="center"/>
          </w:tcPr>
          <w:p w14:paraId="5A361BD6">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5D729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023FDBD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398" w:type="dxa"/>
            <w:noWrap w:val="0"/>
            <w:vAlign w:val="center"/>
          </w:tcPr>
          <w:p w14:paraId="6C4E54A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实训终端利旧更新</w:t>
            </w:r>
          </w:p>
        </w:tc>
        <w:tc>
          <w:tcPr>
            <w:tcW w:w="5738" w:type="dxa"/>
            <w:noWrap w:val="0"/>
            <w:vAlign w:val="center"/>
          </w:tcPr>
          <w:p w14:paraId="790558DE">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对现有机房电脑及相关设备进行全面的维护与升级，确保设备稳定高效运行，满足日常教学、实训及考试需求。服务内容包括硬件检测维修、软件更新安装、资产清查登记等。</w:t>
            </w:r>
          </w:p>
        </w:tc>
        <w:tc>
          <w:tcPr>
            <w:tcW w:w="793" w:type="dxa"/>
            <w:noWrap w:val="0"/>
            <w:vAlign w:val="center"/>
          </w:tcPr>
          <w:p w14:paraId="638BB22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730" w:type="dxa"/>
            <w:noWrap w:val="0"/>
            <w:vAlign w:val="center"/>
          </w:tcPr>
          <w:p w14:paraId="0BC25F4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68AB5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7039940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398" w:type="dxa"/>
            <w:noWrap w:val="0"/>
            <w:vAlign w:val="center"/>
          </w:tcPr>
          <w:p w14:paraId="3E55AF9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auto"/>
                <w:kern w:val="0"/>
                <w:sz w:val="24"/>
                <w:szCs w:val="24"/>
                <w:u w:val="none"/>
                <w:lang w:val="en-US" w:eastAsia="zh-CN" w:bidi="ar"/>
              </w:rPr>
              <w:t>云管理系统</w:t>
            </w:r>
          </w:p>
        </w:tc>
        <w:tc>
          <w:tcPr>
            <w:tcW w:w="5738" w:type="dxa"/>
            <w:noWrap w:val="0"/>
            <w:vAlign w:val="center"/>
          </w:tcPr>
          <w:p w14:paraId="7BC98330">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1.平台基于校园网络，支持跨网段跨路由管理计算机终端，通过独立软件实现不同配置的所有品牌计算机终端集中统一管理；</w:t>
            </w:r>
          </w:p>
          <w:p w14:paraId="4CBD5A39">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2.平台应对服务器配置要求较低，在服务器故障时，可临时使用笔记本电脑、台式电脑等代替专业服务器管理，进行系统更新、系统部署、系统维护等，提供极端情况下的故障应急处理能力；</w:t>
            </w:r>
          </w:p>
          <w:p w14:paraId="53207A8E">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▲3.平台为了更好地适应不同的网络环境，服务器能以覆盖PXE数据段、可用内存高端、临近PXE数据段三种启动加载模式连接</w:t>
            </w:r>
            <w:r>
              <w:rPr>
                <w:rFonts w:hint="eastAsia" w:ascii="宋体" w:hAnsi="宋体" w:cs="宋体"/>
                <w:i w:val="0"/>
                <w:iCs w:val="0"/>
                <w:color w:val="000000"/>
                <w:kern w:val="0"/>
                <w:sz w:val="24"/>
                <w:szCs w:val="24"/>
                <w:u w:val="none"/>
                <w:lang w:val="en-US" w:eastAsia="zh-CN" w:bidi="ar"/>
              </w:rPr>
              <w:t>终端；</w:t>
            </w:r>
            <w:r>
              <w:rPr>
                <w:rFonts w:hint="eastAsia" w:ascii="宋体" w:hAnsi="宋体" w:eastAsia="宋体" w:cs="宋体"/>
                <w:i w:val="0"/>
                <w:iCs w:val="0"/>
                <w:color w:val="auto"/>
                <w:kern w:val="0"/>
                <w:sz w:val="24"/>
                <w:szCs w:val="24"/>
                <w:u w:val="none"/>
                <w:lang w:val="en-US" w:eastAsia="zh-CN" w:bidi="ar"/>
              </w:rPr>
              <w:t>（提供</w:t>
            </w:r>
            <w:r>
              <w:rPr>
                <w:rFonts w:hint="eastAsia" w:ascii="宋体" w:hAnsi="宋体" w:cs="宋体"/>
                <w:i w:val="0"/>
                <w:iCs w:val="0"/>
                <w:color w:val="auto"/>
                <w:kern w:val="0"/>
                <w:sz w:val="24"/>
                <w:szCs w:val="24"/>
                <w:u w:val="none"/>
                <w:lang w:val="en-US" w:eastAsia="zh-CN" w:bidi="ar"/>
              </w:rPr>
              <w:t>官方技术证明文件或功能截图</w:t>
            </w:r>
            <w:r>
              <w:rPr>
                <w:rFonts w:hint="eastAsia" w:ascii="宋体" w:hAnsi="宋体" w:eastAsia="宋体" w:cs="宋体"/>
                <w:i w:val="0"/>
                <w:iCs w:val="0"/>
                <w:color w:val="auto"/>
                <w:kern w:val="0"/>
                <w:sz w:val="24"/>
                <w:szCs w:val="24"/>
                <w:u w:val="none"/>
                <w:lang w:val="en-US" w:eastAsia="zh-CN" w:bidi="ar"/>
              </w:rPr>
              <w:t>并加盖投标人公章）</w:t>
            </w:r>
          </w:p>
          <w:p w14:paraId="3C7086C9">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4.平台可以配置组内机器种子线程数、部署数据缓冲区大小、部署二级缓冲池大小、磁盘IO缓冲区开始地址、磁盘IO缓冲区大小、最低响应时间、组内终端磁盘IO模式、压缩存储等，可根据实际环境调整最优策略。</w:t>
            </w:r>
          </w:p>
          <w:p w14:paraId="226E9813">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5.平台支持不同的组间部署方式，支持只部署一个组和多个组同时部署；</w:t>
            </w:r>
          </w:p>
          <w:p w14:paraId="6D60B25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6.平台可以根据终端配置和使用情况，灵活选择系统部署策略，支持部署所有操作系统、部署显示系统、部署默认系统、部署隐藏系统，并可选择是否允许开机自动后台部署。</w:t>
            </w:r>
          </w:p>
          <w:p w14:paraId="094FC5F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7.平台支持对终端上系统和软件进行控制，通过执行不同的命令和参数来控制终端不同的软件应用方式；</w:t>
            </w:r>
          </w:p>
          <w:p w14:paraId="56AC84C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平台应能兼容WINDOWS操作系统，支持扩展镜像存储目录配置，所有镜像信息、磁盘信息、终端信息、桌面信息、配置参数全部放在同一文件夹下面，只要将该文件夹拷贝到任何一台计算机上面，一分钟内就可以搭建起新的管理平台，并可随时调整数据库路径；</w:t>
            </w:r>
          </w:p>
          <w:p w14:paraId="038BAA32">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9.平台客户端支持在无引导（没有配置操作系统和其他软件）的终端电脑上，首次</w:t>
            </w:r>
            <w:r>
              <w:rPr>
                <w:rFonts w:hint="eastAsia" w:ascii="宋体" w:hAnsi="宋体" w:cs="宋体"/>
                <w:i w:val="0"/>
                <w:iCs w:val="0"/>
                <w:color w:val="000000"/>
                <w:kern w:val="0"/>
                <w:sz w:val="24"/>
                <w:szCs w:val="24"/>
                <w:u w:val="none"/>
                <w:lang w:val="en-US" w:eastAsia="zh-CN" w:bidi="ar"/>
              </w:rPr>
              <w:t>联网</w:t>
            </w:r>
            <w:r>
              <w:rPr>
                <w:rFonts w:hint="eastAsia" w:ascii="宋体" w:hAnsi="宋体" w:eastAsia="宋体" w:cs="宋体"/>
                <w:i w:val="0"/>
                <w:iCs w:val="0"/>
                <w:color w:val="000000"/>
                <w:kern w:val="0"/>
                <w:sz w:val="24"/>
                <w:szCs w:val="24"/>
                <w:u w:val="none"/>
                <w:lang w:val="en-US" w:eastAsia="zh-CN" w:bidi="ar"/>
              </w:rPr>
              <w:t>开机即可使用操作系统和办公软件，在操作系统使用过程中，可查看数据在后台自动部署，部署完成后操作系统可断网使用；</w:t>
            </w:r>
          </w:p>
          <w:p w14:paraId="5C75E06A">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10.平台客户端支持操作系统镜像复用，终端安装多个操作系统只占用一个操作系统的空间，多个操作系统的分区大小的总和大于硬盘物理容量，所有操作系统均可正常使用。</w:t>
            </w:r>
          </w:p>
          <w:p w14:paraId="0A5D5C6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11.平台客户端支持远程监控，在任意一台客户端都可以针对某一台客户端进行远程操控，方便远程解决某一个终端的软件安装、调试等问题。</w:t>
            </w:r>
          </w:p>
          <w:p w14:paraId="08BF20DE">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12.支持终端系统和程序个性化定制，一个实验室中任意一台终端可单独引用不同的操作系统镜像，进行个性化设置，从而满足个别终端的特殊使用需求。</w:t>
            </w:r>
          </w:p>
          <w:p w14:paraId="4FC7CB12">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13.平台客户端支持桌面更新节点间的任意切换，切换后不会删除或影响已有更新节点，且每个操作系统桌面下的更新节点数量不少于10个。</w:t>
            </w:r>
          </w:p>
          <w:p w14:paraId="621AEE9B">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14.平台客户端支持终端操作系统和文件个性化保留，在操作系统还原保护状态下，可远程一键保存客户端的个性化数据，确保管理员定制的数据不被还原；</w:t>
            </w:r>
          </w:p>
          <w:p w14:paraId="4E8C3FD8">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15.支持终端分区数据共享，在不同的操作系统中，可以访问同一个分区里面的数据，实现数据在使用过程中可以共用的目的。</w:t>
            </w:r>
          </w:p>
          <w:p w14:paraId="67CD0A11">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支持输入磁盘名称、磁盘大小、磁盘是否显示帮助、是否显示操作系统选单、是否延迟关机，并且可以设置延迟关机等待时间。设置需要验证密码的管理操作：查看系统信息、删除系统索引、还原系统、保存系统、删除系统、卸载、显示隐藏系统；</w:t>
            </w:r>
          </w:p>
          <w:p w14:paraId="5F774B3A">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终端不依赖网络和服务端可自我还原，支持每次还原、每天第一次启动还原、每周第一次启动还原、每月第一次启动还原、手动还原等多种还原方式。终端可以针对各个分区设置不同的还原方式，比如系统分区设置每天第一次启动还原，数据分区设置每周第一次启动还原，以满足分区不同的还原需求。</w:t>
            </w:r>
            <w:r>
              <w:rPr>
                <w:rFonts w:hint="eastAsia" w:ascii="宋体" w:hAnsi="宋体" w:eastAsia="宋体" w:cs="宋体"/>
                <w:i w:val="0"/>
                <w:iCs w:val="0"/>
                <w:color w:val="auto"/>
                <w:kern w:val="0"/>
                <w:sz w:val="24"/>
                <w:szCs w:val="24"/>
                <w:u w:val="none"/>
                <w:lang w:val="en-US" w:eastAsia="zh-CN" w:bidi="ar"/>
              </w:rPr>
              <w:t>（提供</w:t>
            </w:r>
            <w:r>
              <w:rPr>
                <w:rFonts w:hint="eastAsia" w:ascii="宋体" w:hAnsi="宋体" w:cs="宋体"/>
                <w:i w:val="0"/>
                <w:iCs w:val="0"/>
                <w:color w:val="auto"/>
                <w:kern w:val="0"/>
                <w:sz w:val="24"/>
                <w:szCs w:val="24"/>
                <w:u w:val="none"/>
                <w:lang w:val="en-US" w:eastAsia="zh-CN" w:bidi="ar"/>
              </w:rPr>
              <w:t>官方技术证明文件或功能截图</w:t>
            </w:r>
            <w:r>
              <w:rPr>
                <w:rFonts w:hint="eastAsia" w:ascii="宋体" w:hAnsi="宋体" w:eastAsia="宋体" w:cs="宋体"/>
                <w:i w:val="0"/>
                <w:iCs w:val="0"/>
                <w:color w:val="auto"/>
                <w:kern w:val="0"/>
                <w:sz w:val="24"/>
                <w:szCs w:val="24"/>
                <w:u w:val="none"/>
                <w:lang w:val="en-US" w:eastAsia="zh-CN" w:bidi="ar"/>
              </w:rPr>
              <w:t>并加盖投标人公章）</w:t>
            </w:r>
          </w:p>
          <w:p w14:paraId="101404B0">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18.支持与中控对接管理：实现开系统、关系统、开投影机、关投影机、开/关计算机、开电子锁、幕布升/降。</w:t>
            </w:r>
          </w:p>
          <w:p w14:paraId="0A38186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19.平台客户端支持启动界面提供管理接口，断网的情况下，教室管理员也可以更新系统和应用软件。</w:t>
            </w:r>
          </w:p>
          <w:p w14:paraId="1937D4C2">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auto"/>
                <w:kern w:val="0"/>
                <w:sz w:val="24"/>
                <w:szCs w:val="24"/>
                <w:highlight w:val="none"/>
                <w:u w:val="none"/>
                <w:lang w:val="en-US" w:eastAsia="zh-CN" w:bidi="ar"/>
              </w:rPr>
              <w:t>★</w:t>
            </w:r>
            <w:r>
              <w:rPr>
                <w:rFonts w:hint="eastAsia" w:ascii="宋体" w:hAnsi="宋体" w:eastAsia="宋体" w:cs="宋体"/>
                <w:b/>
                <w:bCs/>
                <w:i w:val="0"/>
                <w:iCs w:val="0"/>
                <w:color w:val="000000"/>
                <w:kern w:val="0"/>
                <w:sz w:val="24"/>
                <w:szCs w:val="24"/>
                <w:u w:val="none"/>
                <w:lang w:val="en-US" w:eastAsia="zh-CN" w:bidi="ar"/>
              </w:rPr>
              <w:t>20.本次所投的终端云管理系统需与学校前期管理系统无缝对接，实现集中统一平台管理。（提供承诺函并加盖投标人公章）</w:t>
            </w:r>
          </w:p>
        </w:tc>
        <w:tc>
          <w:tcPr>
            <w:tcW w:w="793" w:type="dxa"/>
            <w:noWrap w:val="0"/>
            <w:vAlign w:val="center"/>
          </w:tcPr>
          <w:p w14:paraId="4D505C3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730" w:type="dxa"/>
            <w:noWrap w:val="0"/>
            <w:vAlign w:val="center"/>
          </w:tcPr>
          <w:p w14:paraId="24E70D9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3E0A3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51076B5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w:t>
            </w:r>
          </w:p>
        </w:tc>
        <w:tc>
          <w:tcPr>
            <w:tcW w:w="1398" w:type="dxa"/>
            <w:noWrap w:val="0"/>
            <w:vAlign w:val="center"/>
          </w:tcPr>
          <w:p w14:paraId="60BD637C">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桌面管理系统</w:t>
            </w:r>
          </w:p>
        </w:tc>
        <w:tc>
          <w:tcPr>
            <w:tcW w:w="5738" w:type="dxa"/>
            <w:noWrap w:val="0"/>
            <w:vAlign w:val="center"/>
          </w:tcPr>
          <w:p w14:paraId="62E76ED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1.为实现异构平台混合管理，要求云桌面管理平台支持在Windows或麒麟等国产系统搭建，支持对终端的操作系统镜像生成与统一分发管理。</w:t>
            </w:r>
          </w:p>
          <w:p w14:paraId="34C3D711">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2.可充分利用学校现有网络，支持在镜像下发时进行组内网络探测与网速传输测试。</w:t>
            </w:r>
          </w:p>
          <w:p w14:paraId="0B5BC3C3">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3.为了提升机房的统一部署与更新时间，减少老师的操作步骤与等待时间，支持镜像下发时的策略设置，更新镜像时锁定终端屏幕和更新时隐藏下载窗口；支持系统镜像下发后自动执行关机、重启等操作。</w:t>
            </w:r>
          </w:p>
          <w:p w14:paraId="7916984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4.为方便学校进行硬件资产统计，支持平台收集所有终端硬件配置信息，包含但不限于终端名称、主板型号、CPU型号、内存容量、最近运行时间、合计运行时间、硬件变更和记录信息等。</w:t>
            </w:r>
          </w:p>
          <w:p w14:paraId="0A55BF3E">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5.为方便学校掌握终端硬件运行情况，支持平台收集所有终端的运行状态信息，包含但不限于终端名称、CPU温度、开机时间、硬盘信息等。</w:t>
            </w:r>
          </w:p>
          <w:p w14:paraId="3A57F99D">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6.为保障在大批量终端集中下发与更新镜像时能够获得更快的速度，满足学校考试环境部署或统一更换镜像的需求，当学校网络带宽有限时，可支持在管理集群内将主服务器内镜像提前下发至IO服务器，通过IO服务器分发镜像，实现数据分流，提升局域网内镜像的更新速度。</w:t>
            </w:r>
          </w:p>
          <w:p w14:paraId="578C7188">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7.支持平台通过计划任务设置，可设置固定时间、每天、每周、每月定时执行各种任务类型，包括开机、关机、切换模板、下发模板、还原系统盘、还原数据盘。</w:t>
            </w:r>
          </w:p>
          <w:p w14:paraId="5672826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8.支持大数据展示。可展示包括但不限于资产统计、设备详情、开关机对比、日志、系统使用情况等信息。</w:t>
            </w:r>
          </w:p>
          <w:p w14:paraId="6048B188">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9.为避免网络端口被占用而引起的教学环境不可用的问题，云桌面管理平台支持对服务器使用的网络端口进行检测，并通过检测结果帮助管理员快速分析和解决问题。</w:t>
            </w:r>
          </w:p>
          <w:p w14:paraId="6257C6C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10.可提供网盘功能：支持用户在终端登录网盘，实现数据漫游与数据共享；支持用户将网盘中的文件分享给其他用户，其他用户可通过链接和提取码查看文件。</w:t>
            </w:r>
          </w:p>
          <w:p w14:paraId="2E90E9FD">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11.网盘回收站功能：为防止误删重要文件，删除的文件会先保留在回收站，可根据实际情况按需取回。</w:t>
            </w:r>
          </w:p>
          <w:p w14:paraId="0E14AFE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12.支持系统名称、LOGO、登录背景图等可按需修改客户单位名称。</w:t>
            </w:r>
          </w:p>
          <w:p w14:paraId="7C73A30E">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13.为满足学校各类考试需求，包括但不限于国家计算机一、二级等级考试、社会职称考试等，支持ATA、NCRE等考试模式，支持设置考试专属镜像并在考试开始前将考试镜像设置为隐藏模式，不被破坏。为方便后期溯源备查考试结果并可快速进入下一场考试，支持管理员自定义保留考试桌面保留的周期时间，即在保留学生完整桌面、系统环境、文件数据的同时，可快速部署下一场考试桌面。</w:t>
            </w:r>
          </w:p>
          <w:p w14:paraId="06166AD8">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▲14.为方便学校对教学软件运行情况的统计，支持平台收集所有终端的软件信息，包含但不限于程序名称、运行次数、运行时长、版本、程序大小等。（提供官方软件技术功能证明文件或功能截图并加盖</w:t>
            </w:r>
            <w:r>
              <w:rPr>
                <w:rFonts w:hint="eastAsia" w:ascii="宋体" w:hAnsi="宋体" w:eastAsia="宋体" w:cs="宋体"/>
                <w:i w:val="0"/>
                <w:iCs w:val="0"/>
                <w:color w:val="000000"/>
                <w:sz w:val="24"/>
                <w:szCs w:val="24"/>
                <w:highlight w:val="none"/>
                <w:u w:val="none"/>
              </w:rPr>
              <w:t>投标人</w:t>
            </w:r>
            <w:r>
              <w:rPr>
                <w:rFonts w:hint="eastAsia" w:ascii="宋体" w:hAnsi="宋体" w:eastAsia="宋体" w:cs="宋体"/>
                <w:i w:val="0"/>
                <w:iCs w:val="0"/>
                <w:color w:val="auto"/>
                <w:kern w:val="0"/>
                <w:sz w:val="24"/>
                <w:szCs w:val="24"/>
                <w:u w:val="none"/>
                <w:lang w:val="en-US" w:eastAsia="zh-CN" w:bidi="ar"/>
              </w:rPr>
              <w:t>公章）</w:t>
            </w:r>
          </w:p>
          <w:p w14:paraId="1590DA38">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15.为简化管理，云桌面管理平台支持创建组织、用户、角色，支持管理员对不同用户和角色进行分级分权管理。</w:t>
            </w:r>
          </w:p>
          <w:p w14:paraId="2CA84459">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16.终端支持多盘缓存模式，即在终端固态盘容量小导致无法多镜像缓存时，支持固态盘和机械盘混合缓存载入，充分利用终端现有存储资源。</w:t>
            </w:r>
          </w:p>
          <w:p w14:paraId="76E96C1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17.终端支持部署多操作系统：支持统信UOS、麒麟KOS、Linux、Windows全系列，支持从管理端或客户端自主选择启动环境；且多个系统环境可快速切换。</w:t>
            </w:r>
          </w:p>
          <w:p w14:paraId="15273BA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18.为满足国产化要求，云桌面客户端支持部署在兆芯、海光、飞腾和龙芯架构的国产芯片终端设备上，实现异构设备的统一管理。</w:t>
            </w:r>
          </w:p>
          <w:p w14:paraId="69110B63">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19.当终端无法进入系统时，支持基于Linux和Windows两种方式进行系统数据恢复。</w:t>
            </w:r>
          </w:p>
          <w:p w14:paraId="3F63C4BA">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20.支持对终端端口进行分类控制，包括但不限于控制所有USB存储接口、光盘驱动器接口、打印机接口、1394接口、串并口接口、蓝牙驱动器接口等。</w:t>
            </w:r>
          </w:p>
          <w:p w14:paraId="2327BE0B">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21.提供备课与教学云空间功能，老师可将课件、教材等上传至云空间，上传后数据可跟随老师账号实时漫游，可在教室直接登录并使用，避免因使用U盘导致的病毒交叉感染；云空间支持文件分享功能，可通过链接和提取码的方式分享给其他老师或学生，构建校内资源与知识共享平台。</w:t>
            </w:r>
          </w:p>
          <w:p w14:paraId="2138D69B">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22.为防止学生误入底层系统或在镜像下发时误操作，在管理平台设置终端密码后，输入密码方可继续配置或操作。</w:t>
            </w:r>
          </w:p>
          <w:p w14:paraId="2DCB18E8">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四、多媒体教学：</w:t>
            </w:r>
          </w:p>
          <w:p w14:paraId="5193102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1.教师演示：为提升教师演示的灵活性，支持对单一、部分或全体学生进行屏幕演示，支持以全屏、窗口方式进行屏幕演示；</w:t>
            </w:r>
          </w:p>
          <w:p w14:paraId="6397C60B">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2.屏幕笔：即教师教学使用的辅助工具，功能包括但不限于突出显示项目、添加注释、添加批注等；</w:t>
            </w:r>
          </w:p>
          <w:p w14:paraId="2D94066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视频广播：为保障教师机播放的视频可流畅地同步广播到学生机，采用流媒体技术，实现同步广播，且达到流畅无延时，支持市面常见的媒体音视频格式，包括但不限于WindowsMedia文件、VCD文件、DVD文件、Real文件、AVI文件、MP3等，支持视频清晰度包括但不限于720p、1080p；</w:t>
            </w:r>
          </w:p>
          <w:p w14:paraId="3E1D05C1">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4.分组讨论：教师可以创建多个小组进行讨论活动，并可任意选择分组加入讨论活动。同组师生支持多种方式进行交流，包括但不限于文字、表情、图片等。</w:t>
            </w:r>
          </w:p>
          <w:p w14:paraId="4355CC2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5.视频直播：为达到更形象的教学效果，支持通过USB摄像头将教师的画面实时广播到学生机，为快速设置摄像头，支持引导提示客户选择视频设备；</w:t>
            </w:r>
          </w:p>
          <w:p w14:paraId="66ECE36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6.屏幕录制：教师机可以将本地的操作和讲解过程录制为ASF录像文件，可以用MediaPlayer直接播放。</w:t>
            </w:r>
          </w:p>
          <w:p w14:paraId="37527C1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7.语音广播：教师机支持将声音广播至学生，声音来源包括但不限于麦克风或其他输入设备（如磁带、CD）；</w:t>
            </w:r>
          </w:p>
          <w:p w14:paraId="5FF9BB3F">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8.教师可与任意一名已登录的学生进行双向语音交谈，且其他学生不会受到干扰，教师可动态切换对讲对象；</w:t>
            </w:r>
          </w:p>
          <w:p w14:paraId="1D85E48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9.教师可选定一台学生机，由此学生代替教师进行示范教学；</w:t>
            </w:r>
          </w:p>
          <w:p w14:paraId="0D6FB4CB">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10.教师分派组长执行指定的功能，组长代替教师进行小组教学。小组不需要再临时创建，可以直接使用既有分组信息。教师可以监控每个分组的教学过程，以了解分组教学的进度；</w:t>
            </w:r>
          </w:p>
          <w:p w14:paraId="31005DDF">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11.支持屏幕录制与回放。教师机可以将本机的操作过程、讲解录制为一个文件，内容可回放，并可通过屏幕广播给学生；</w:t>
            </w:r>
          </w:p>
          <w:p w14:paraId="2D763A6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12.允许教师将教师机不同盘符中的目录或文件一起发送至学生机的某目录下。若目录不存在，则自动新建此目录；若盘符不存在或路径非法，则不允许分发；</w:t>
            </w:r>
          </w:p>
          <w:p w14:paraId="293F794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13.教师机可以监视单一、部分、全体学生机的屏幕。教师机每屏可监视多个学生屏幕。</w:t>
            </w:r>
          </w:p>
          <w:p w14:paraId="5FFC2353">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14.为方便教师收取作业并批改，支持学生把做好的作业直接提交到教师机。教师可选择接收或拒绝学生提交的文件，且可限制学生提交文件的数目和大小。</w:t>
            </w:r>
          </w:p>
          <w:p w14:paraId="43A40A71">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15.支持对学生访问网站的黑名单或白名单设置，支持对学生可以访问的Internet站点进行管理。支持多浏览器限制，包括但不限于QQ、IE、谷歌、360、遨游等。</w:t>
            </w:r>
          </w:p>
          <w:p w14:paraId="29546AE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16.为防止学生在教学过程中打游戏或使用QQ等聊天工具，支持通过各种策略限制学生使用程序。</w:t>
            </w:r>
          </w:p>
          <w:p w14:paraId="7BA60192">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17.支持远程设置学生桌面主题、桌面背景、屏幕保护方案、学生的频道号和音量、学生端密码，是否启用进程保护、断线锁屏、热键退出等。</w:t>
            </w:r>
          </w:p>
        </w:tc>
        <w:tc>
          <w:tcPr>
            <w:tcW w:w="793" w:type="dxa"/>
            <w:noWrap w:val="0"/>
            <w:vAlign w:val="center"/>
          </w:tcPr>
          <w:p w14:paraId="5FDC8DAC">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140</w:t>
            </w:r>
          </w:p>
        </w:tc>
        <w:tc>
          <w:tcPr>
            <w:tcW w:w="730" w:type="dxa"/>
            <w:noWrap w:val="0"/>
            <w:vAlign w:val="center"/>
          </w:tcPr>
          <w:p w14:paraId="374C3282">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套</w:t>
            </w:r>
          </w:p>
        </w:tc>
      </w:tr>
      <w:tr w14:paraId="27342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08B019E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398" w:type="dxa"/>
            <w:noWrap w:val="0"/>
            <w:vAlign w:val="center"/>
          </w:tcPr>
          <w:p w14:paraId="11957C86">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教学管理系统</w:t>
            </w:r>
          </w:p>
        </w:tc>
        <w:tc>
          <w:tcPr>
            <w:tcW w:w="5738" w:type="dxa"/>
            <w:noWrap w:val="0"/>
            <w:vAlign w:val="center"/>
          </w:tcPr>
          <w:p w14:paraId="76D0EF1E">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智能云桌面教学软件：云教室管理软件，包含P2P/广播/组播/单播模板下发，广播教学、随堂点名、语音广播、远程设置、IP管理等功能。可根据不同的终端硬件配置，选择Intel集成显卡解码、NVIDIA显卡解码、DXVA2解码等多种不同的解码方式，实现最优的多媒体互动效果（需提供官方软件技术功能证明文件或功能截图并加盖投标人公章）。</w:t>
            </w:r>
          </w:p>
          <w:p w14:paraId="2E8E368A">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①提供学生端离线使用。当网络中断时，学生端依然可以正常启动，多个教学桌面正常切换使用无任何影响。</w:t>
            </w:r>
          </w:p>
          <w:p w14:paraId="0ABD1D1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②提供学生端硬件直通机制。系统启动和数据运行直接在硬件平台上执行，无需额外启动中间层软件。不仅具有良好的USB设备兼容性，还可实现对硬件资源100%的充分利用，避免资源浪费。</w:t>
            </w:r>
          </w:p>
          <w:p w14:paraId="0A1C4800">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③提供学生端还原模式、维护模式、升级模式，可根据需要进行一键快速切换，方便后期终端维护。</w:t>
            </w:r>
          </w:p>
          <w:p w14:paraId="48F7513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④提供学生端模板一键自动上传功能。为节省网络带宽资源，支持上传模板所有数据、系统数据、分区数据、增量数据等多种方式，节省维护时间和成本，提升上传效率。</w:t>
            </w:r>
          </w:p>
          <w:p w14:paraId="3F26B0D2">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⑤提供学生端Windows7/8/10/11、Linux、统信UOS、银河麒麟等多种系统桌面独立启动及多系统一键切换，每个系统可以单独设置不还原/手动/自动/每天/每周/每月/每次开机等还原策略。</w:t>
            </w:r>
          </w:p>
          <w:p w14:paraId="53D1269D">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⑥提供学生端组策略管理。当网络中断后，学生终端与教师端失去连线，学生端依然可以独立设置任务管理器、控制面板、桌面显示、注册表、电源选项、设备管理器、磁盘管理、系统信息、系统服务、网络、声音等项目的使用策略，使学生端依然处于可控范围。</w:t>
            </w:r>
          </w:p>
          <w:p w14:paraId="3CDA1D4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⑦提供学生终端多硬盘、多桌面部署。每一个系统桌面可独立建立</w:t>
            </w:r>
            <w:r>
              <w:rPr>
                <w:rFonts w:hint="eastAsia" w:ascii="宋体" w:hAnsi="宋体" w:cs="宋体"/>
                <w:i w:val="0"/>
                <w:iCs w:val="0"/>
                <w:color w:val="000000"/>
                <w:kern w:val="0"/>
                <w:sz w:val="24"/>
                <w:szCs w:val="24"/>
                <w:u w:val="none"/>
                <w:lang w:val="en-US" w:eastAsia="zh-CN" w:bidi="ar"/>
              </w:rPr>
              <w:t>不少于</w:t>
            </w:r>
            <w:r>
              <w:rPr>
                <w:rFonts w:hint="eastAsia" w:ascii="宋体" w:hAnsi="宋体" w:eastAsia="宋体" w:cs="宋体"/>
                <w:i w:val="0"/>
                <w:iCs w:val="0"/>
                <w:color w:val="000000"/>
                <w:kern w:val="0"/>
                <w:sz w:val="24"/>
                <w:szCs w:val="24"/>
                <w:u w:val="none"/>
                <w:lang w:val="en-US" w:eastAsia="zh-CN" w:bidi="ar"/>
              </w:rPr>
              <w:t>50个虚拟桌面，系统和数据分离存储，数据分区可设置私有、共享等分区所属模式。</w:t>
            </w:r>
          </w:p>
          <w:p w14:paraId="2B301CED">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⑧提供学生终端进程保护和断网锁屏功能，防止学生恶意卸载或退出云教室管理软件，或拔掉网线破坏上课环境，确保上课正常秩序。</w:t>
            </w:r>
          </w:p>
          <w:p w14:paraId="1132402E">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⑨提供学生端系统单独设置桌面启动密码或免密自动登录，确保系统登录安全。</w:t>
            </w:r>
          </w:p>
        </w:tc>
        <w:tc>
          <w:tcPr>
            <w:tcW w:w="793" w:type="dxa"/>
            <w:noWrap w:val="0"/>
            <w:vAlign w:val="center"/>
          </w:tcPr>
          <w:p w14:paraId="33C9F40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100</w:t>
            </w:r>
          </w:p>
        </w:tc>
        <w:tc>
          <w:tcPr>
            <w:tcW w:w="730" w:type="dxa"/>
            <w:noWrap w:val="0"/>
            <w:vAlign w:val="center"/>
          </w:tcPr>
          <w:p w14:paraId="1D11C8B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r>
      <w:tr w14:paraId="26D1B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151A6A2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398" w:type="dxa"/>
            <w:noWrap w:val="0"/>
            <w:vAlign w:val="center"/>
          </w:tcPr>
          <w:p w14:paraId="16ABC0A8">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等级考试系统</w:t>
            </w:r>
          </w:p>
          <w:p w14:paraId="220D4CE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（一级WPS）</w:t>
            </w:r>
          </w:p>
        </w:tc>
        <w:tc>
          <w:tcPr>
            <w:tcW w:w="5738" w:type="dxa"/>
            <w:noWrap w:val="0"/>
            <w:vAlign w:val="center"/>
          </w:tcPr>
          <w:p w14:paraId="7A4C799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1.等级考试软件</w:t>
            </w:r>
          </w:p>
          <w:p w14:paraId="2340D676">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一、服务器端功能</w:t>
            </w:r>
          </w:p>
          <w:p w14:paraId="6B79D9BB">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●1）导入、更新题库：升级只需要在服务器端更新题库，客户端会在下一次启动时自动下载最新试卷；（提供操作功能视频）</w:t>
            </w:r>
          </w:p>
          <w:p w14:paraId="013CAACF">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2）导入学生信息：学生信息可以用.xlsx格式进行导入；</w:t>
            </w:r>
          </w:p>
          <w:p w14:paraId="2FB67AD9">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3）导出成绩：可以按照要求提供相关的考试成绩，并保留考试文件，以便查询；</w:t>
            </w:r>
          </w:p>
          <w:p w14:paraId="0B31F8A8">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●4）多科目题库管理：可添加多个科目，练习模式时客户端根据加密狗控制显示多个科目，考试模式时客户端根据预置的学号对应的科目自动下载该科目的试卷；（提供操作功能视频）</w:t>
            </w:r>
          </w:p>
          <w:p w14:paraId="56A33A7A">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5）练习模式和考试模式切换；</w:t>
            </w:r>
          </w:p>
          <w:p w14:paraId="694F36EF">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6）网络设置：可对某些网段进行设置，以加强考试的安全；</w:t>
            </w:r>
          </w:p>
          <w:p w14:paraId="4A5DB43F">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7）权限设置：可添加教师多用户管理权限，每个教师只能看到自己的班级学生；</w:t>
            </w:r>
          </w:p>
          <w:p w14:paraId="54376252">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●8）数据备份/还原：对于服务器端的数据可以进行备份存储，必要时也可以还原查看；（提供操作功能视频）</w:t>
            </w:r>
          </w:p>
          <w:p w14:paraId="17D2469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9）对客户端进行控制，可以进行强制交卷、延时处理、换机考试等操作；</w:t>
            </w:r>
          </w:p>
          <w:p w14:paraId="135D28F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10）考试设置：可设置在考试时是否当场显示分数，可以设置是否上传学生答卷（用于期末考试备份试卷）。</w:t>
            </w:r>
          </w:p>
          <w:p w14:paraId="1C3F0A3E">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二、客户端功能</w:t>
            </w:r>
          </w:p>
          <w:p w14:paraId="442EC2F1">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1）全真模拟真实考试环境，包含一级等级考试历年考试真题，题量丰富，试题难度与正式考试题一致；</w:t>
            </w:r>
          </w:p>
          <w:p w14:paraId="183DD329">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●2）详细的操作讲解（MP4格式，真人讲解）：对上机题的所有步骤进行详细讲解演示，实现自动评分，进行详细的知识点解析，方便学习；（提供操作功能视频）</w:t>
            </w:r>
          </w:p>
          <w:p w14:paraId="01D86C81">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3）专项练习功能：可分别对Word、Excel、PowerPoint等模块进行单独练习；</w:t>
            </w:r>
          </w:p>
          <w:p w14:paraId="2F31BFD6">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4）综合练习功能：按考试环境组卷成套练习，用于日常练习，练习过程可以查看答案、评析、视频演示来帮助学习；</w:t>
            </w:r>
          </w:p>
          <w:p w14:paraId="41E82FEA">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5）考试功能：模拟正式考试环境，可按随机抽题和固定抽题进行考试，用于学校组织期中和期末及摸底考试；</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6）自动阅卷评分：评分规则必须和国家正式考试的评分规则保持一致，可以对计算机文化基础（主要包括Windows操作系统、中文OFFICE2016）等知识点的操作题进行自动阅卷评分，能够实现对网络操作等的考试环境模拟兼容性。（提供投标人承诺函并加盖投标人公章）</w:t>
            </w:r>
          </w:p>
          <w:p w14:paraId="5A9437B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三、系统升级要求</w:t>
            </w:r>
          </w:p>
          <w:p w14:paraId="5AD9774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★系统至少保证一年内更新，包括软件、题库；（提供投标人承诺函并加盖</w:t>
            </w:r>
            <w:r>
              <w:rPr>
                <w:rFonts w:hint="eastAsia" w:ascii="宋体" w:hAnsi="宋体" w:eastAsia="宋体" w:cs="宋体"/>
                <w:b/>
                <w:bCs/>
                <w:i w:val="0"/>
                <w:iCs w:val="0"/>
                <w:color w:val="000000"/>
                <w:sz w:val="24"/>
                <w:szCs w:val="24"/>
                <w:highlight w:val="none"/>
                <w:u w:val="none"/>
              </w:rPr>
              <w:t>投标人</w:t>
            </w:r>
            <w:r>
              <w:rPr>
                <w:rFonts w:hint="eastAsia" w:ascii="宋体" w:hAnsi="宋体" w:eastAsia="宋体" w:cs="宋体"/>
                <w:b/>
                <w:bCs/>
                <w:i w:val="0"/>
                <w:iCs w:val="0"/>
                <w:color w:val="000000"/>
                <w:kern w:val="0"/>
                <w:sz w:val="24"/>
                <w:szCs w:val="24"/>
                <w:u w:val="none"/>
                <w:lang w:val="en-US" w:eastAsia="zh-CN" w:bidi="ar"/>
              </w:rPr>
              <w:t>公章）</w:t>
            </w:r>
          </w:p>
          <w:p w14:paraId="73BB7B89">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四、题库说明</w:t>
            </w:r>
          </w:p>
          <w:p w14:paraId="61330C6B">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★1.题型规范要求（提供投标人承诺函并加盖</w:t>
            </w:r>
            <w:r>
              <w:rPr>
                <w:rFonts w:hint="eastAsia" w:ascii="宋体" w:hAnsi="宋体" w:eastAsia="宋体" w:cs="宋体"/>
                <w:b/>
                <w:bCs/>
                <w:i w:val="0"/>
                <w:iCs w:val="0"/>
                <w:color w:val="000000"/>
                <w:sz w:val="24"/>
                <w:szCs w:val="24"/>
                <w:highlight w:val="none"/>
                <w:u w:val="none"/>
              </w:rPr>
              <w:t>投标人</w:t>
            </w:r>
            <w:r>
              <w:rPr>
                <w:rFonts w:hint="eastAsia" w:ascii="宋体" w:hAnsi="宋体" w:eastAsia="宋体" w:cs="宋体"/>
                <w:b/>
                <w:bCs/>
                <w:i w:val="0"/>
                <w:iCs w:val="0"/>
                <w:color w:val="000000"/>
                <w:kern w:val="0"/>
                <w:sz w:val="24"/>
                <w:szCs w:val="24"/>
                <w:u w:val="none"/>
                <w:lang w:val="en-US" w:eastAsia="zh-CN" w:bidi="ar"/>
              </w:rPr>
              <w:t>公章）</w:t>
            </w:r>
          </w:p>
          <w:p w14:paraId="46508C5F">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1）题目必须符合国家计算机等级考试大纲要求；</w:t>
            </w:r>
          </w:p>
          <w:p w14:paraId="34A53178">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2）题目必须是国家计算机等级考试题库里的真题；</w:t>
            </w:r>
          </w:p>
          <w:p w14:paraId="77178A66">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3）题目难度必须和国家计算机等级考试要求一致；</w:t>
            </w:r>
          </w:p>
          <w:p w14:paraId="2C045CF1">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4）题型、结构必须和国家计算机等级考试真题一致。</w:t>
            </w:r>
          </w:p>
          <w:p w14:paraId="0A94407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★2.题库量（提供承诺函并加盖投标人公章）</w:t>
            </w:r>
          </w:p>
          <w:p w14:paraId="388D829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1）题量必须不低于国家考试库的数量；</w:t>
            </w:r>
          </w:p>
          <w:p w14:paraId="028D2E6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2）题库每年必须更新两次，保持和国家题库真题一致。</w:t>
            </w:r>
          </w:p>
        </w:tc>
        <w:tc>
          <w:tcPr>
            <w:tcW w:w="793" w:type="dxa"/>
            <w:noWrap w:val="0"/>
            <w:vAlign w:val="center"/>
          </w:tcPr>
          <w:p w14:paraId="33CF29A0">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730" w:type="dxa"/>
            <w:noWrap w:val="0"/>
            <w:vAlign w:val="center"/>
          </w:tcPr>
          <w:p w14:paraId="3E4A523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37971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6A85DCA6">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398" w:type="dxa"/>
            <w:noWrap w:val="0"/>
            <w:vAlign w:val="center"/>
          </w:tcPr>
          <w:p w14:paraId="224D6130">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考场半球摄像机</w:t>
            </w:r>
          </w:p>
        </w:tc>
        <w:tc>
          <w:tcPr>
            <w:tcW w:w="5738" w:type="dxa"/>
            <w:noWrap w:val="0"/>
            <w:vAlign w:val="center"/>
          </w:tcPr>
          <w:p w14:paraId="34A6A6D6">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1.符合《国家教育考试网上巡查系统视频标准技术规范（2017版）》及GB/T28181-2022《公共安全视频监控联网系统信息传输、交换、控制技术要求》等相关技术规范（提供具有CMA或CNAS标志的检测报告复印件或扫描件并加盖投标人公章，同时要求检测机构通过国家市场监督管理总局检验检测机构资质认定，提供检测机构在国家市场监督管理总局检验检测机构资质认定网上审批系统的查询截图）</w:t>
            </w:r>
          </w:p>
          <w:p w14:paraId="36D8EBC8">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b/>
                <w:bCs/>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2.通讯指令应能满足考点中心控制系统和国家、省级网上巡查系统平台的调用，能实现与国家、湖北省教育考试院网上巡查系统互联互通，厂商提供设备近一年内与湖北省教育考试院网上巡查系统平台成功对接的视频画面截图（截图需显示考点学校、考场、日期等，并加盖</w:t>
            </w:r>
            <w:r>
              <w:rPr>
                <w:rFonts w:hint="eastAsia" w:ascii="宋体" w:hAnsi="宋体" w:cs="宋体"/>
                <w:b/>
                <w:bCs/>
                <w:i w:val="0"/>
                <w:iCs w:val="0"/>
                <w:color w:val="auto"/>
                <w:kern w:val="0"/>
                <w:sz w:val="24"/>
                <w:szCs w:val="24"/>
                <w:u w:val="none"/>
                <w:lang w:val="en-US" w:eastAsia="zh-CN" w:bidi="ar"/>
              </w:rPr>
              <w:t>投标人</w:t>
            </w:r>
            <w:r>
              <w:rPr>
                <w:rFonts w:hint="eastAsia" w:ascii="宋体" w:hAnsi="宋体" w:eastAsia="宋体" w:cs="宋体"/>
                <w:b/>
                <w:bCs/>
                <w:i w:val="0"/>
                <w:iCs w:val="0"/>
                <w:color w:val="auto"/>
                <w:kern w:val="0"/>
                <w:sz w:val="24"/>
                <w:szCs w:val="24"/>
                <w:u w:val="none"/>
                <w:lang w:val="en-US" w:eastAsia="zh-CN" w:bidi="ar"/>
              </w:rPr>
              <w:t>公章）。</w:t>
            </w:r>
          </w:p>
          <w:p w14:paraId="6001AE7F">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3.支持绊线入侵、区域入侵；</w:t>
            </w:r>
          </w:p>
          <w:p w14:paraId="1B3741B5">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4.采用不低于400万像素1/3英寸CMOS图像传感器，低照度效果好，图像清晰度高；</w:t>
            </w:r>
          </w:p>
          <w:p w14:paraId="6A41C8C5">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5.可输出≥400万（2560×1440）@25fps，最大可输出400万（2688×1520）@20fps；</w:t>
            </w:r>
          </w:p>
          <w:p w14:paraId="366C1DC5">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6.支持H.265编码，压缩比高，实现超低码流传输；</w:t>
            </w:r>
          </w:p>
          <w:p w14:paraId="30620BE9">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7.内置高效红外补光灯，红外监控距离≥30米；</w:t>
            </w:r>
          </w:p>
          <w:p w14:paraId="372ECB7A">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8.支持走廊模式、宽动态、3D降噪、强光抑制、背光补偿、数字水印，适用不同监控环境；</w:t>
            </w:r>
          </w:p>
          <w:p w14:paraId="74AE90A0">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9.具有隐私区域遮挡功能，区域的个数可达到≥4个，大小、方位支持自行设置；</w:t>
            </w:r>
          </w:p>
          <w:p w14:paraId="05D7B29F">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10.支持ROI、SMARTH.264/H.265，灵活编码，适用不同带宽和存储环境；</w:t>
            </w:r>
          </w:p>
          <w:p w14:paraId="785F49D7">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11.在IE浏览器下，具有感兴趣区域（ROI）设置选项，可设置</w:t>
            </w:r>
            <w:r>
              <w:rPr>
                <w:rFonts w:hint="eastAsia" w:ascii="宋体" w:hAnsi="宋体" w:cs="宋体"/>
                <w:i w:val="0"/>
                <w:iCs w:val="0"/>
                <w:color w:val="auto"/>
                <w:kern w:val="0"/>
                <w:sz w:val="24"/>
                <w:szCs w:val="24"/>
                <w:u w:val="none"/>
                <w:lang w:val="en-US" w:eastAsia="zh-CN" w:bidi="ar"/>
              </w:rPr>
              <w:t>不少于</w:t>
            </w:r>
            <w:r>
              <w:rPr>
                <w:rFonts w:hint="eastAsia" w:ascii="宋体" w:hAnsi="宋体" w:eastAsia="宋体" w:cs="宋体"/>
                <w:i w:val="0"/>
                <w:iCs w:val="0"/>
                <w:color w:val="auto"/>
                <w:kern w:val="0"/>
                <w:sz w:val="24"/>
                <w:szCs w:val="24"/>
                <w:u w:val="none"/>
                <w:lang w:val="en-US" w:eastAsia="zh-CN" w:bidi="ar"/>
              </w:rPr>
              <w:t>4块感兴趣区域、6个图像质量等级；</w:t>
            </w:r>
          </w:p>
          <w:p w14:paraId="69630D8E">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12.支持报警</w:t>
            </w:r>
            <w:r>
              <w:rPr>
                <w:rFonts w:hint="eastAsia" w:ascii="宋体" w:hAnsi="宋体" w:cs="宋体"/>
                <w:i w:val="0"/>
                <w:iCs w:val="0"/>
                <w:color w:val="auto"/>
                <w:kern w:val="0"/>
                <w:sz w:val="24"/>
                <w:szCs w:val="24"/>
                <w:u w:val="none"/>
                <w:lang w:val="en-US" w:eastAsia="zh-CN" w:bidi="ar"/>
              </w:rPr>
              <w:t>接入</w:t>
            </w:r>
            <w:r>
              <w:rPr>
                <w:rFonts w:hint="eastAsia" w:ascii="宋体" w:hAnsi="宋体" w:eastAsia="宋体" w:cs="宋体"/>
                <w:i w:val="0"/>
                <w:iCs w:val="0"/>
                <w:color w:val="auto"/>
                <w:kern w:val="0"/>
                <w:sz w:val="24"/>
                <w:szCs w:val="24"/>
                <w:u w:val="none"/>
                <w:lang w:val="en-US" w:eastAsia="zh-CN" w:bidi="ar"/>
              </w:rPr>
              <w:t>≥2</w:t>
            </w:r>
            <w:r>
              <w:rPr>
                <w:rFonts w:hint="eastAsia" w:ascii="宋体" w:hAnsi="宋体" w:cs="宋体"/>
                <w:i w:val="0"/>
                <w:iCs w:val="0"/>
                <w:color w:val="auto"/>
                <w:kern w:val="0"/>
                <w:sz w:val="24"/>
                <w:szCs w:val="24"/>
                <w:u w:val="none"/>
                <w:lang w:val="en-US" w:eastAsia="zh-CN" w:bidi="ar"/>
              </w:rPr>
              <w:t>端口、</w:t>
            </w:r>
            <w:r>
              <w:rPr>
                <w:rFonts w:hint="eastAsia" w:ascii="宋体" w:hAnsi="宋体" w:eastAsia="宋体" w:cs="宋体"/>
                <w:i w:val="0"/>
                <w:iCs w:val="0"/>
                <w:color w:val="auto"/>
                <w:kern w:val="0"/>
                <w:sz w:val="24"/>
                <w:szCs w:val="24"/>
                <w:u w:val="none"/>
                <w:lang w:val="en-US" w:eastAsia="zh-CN" w:bidi="ar"/>
              </w:rPr>
              <w:t>报警</w:t>
            </w:r>
            <w:r>
              <w:rPr>
                <w:rFonts w:hint="eastAsia" w:ascii="宋体" w:hAnsi="宋体" w:cs="宋体"/>
                <w:i w:val="0"/>
                <w:iCs w:val="0"/>
                <w:color w:val="auto"/>
                <w:kern w:val="0"/>
                <w:sz w:val="24"/>
                <w:szCs w:val="24"/>
                <w:u w:val="none"/>
                <w:lang w:val="en-US" w:eastAsia="zh-CN" w:bidi="ar"/>
              </w:rPr>
              <w:t>输出</w:t>
            </w:r>
            <w:r>
              <w:rPr>
                <w:rFonts w:hint="eastAsia" w:ascii="宋体" w:hAnsi="宋体" w:eastAsia="宋体" w:cs="宋体"/>
                <w:i w:val="0"/>
                <w:iCs w:val="0"/>
                <w:color w:val="auto"/>
                <w:kern w:val="0"/>
                <w:sz w:val="24"/>
                <w:szCs w:val="24"/>
                <w:u w:val="none"/>
                <w:lang w:val="en-US" w:eastAsia="zh-CN" w:bidi="ar"/>
              </w:rPr>
              <w:t>≥2</w:t>
            </w:r>
            <w:r>
              <w:rPr>
                <w:rFonts w:hint="eastAsia" w:ascii="宋体" w:hAnsi="宋体" w:cs="宋体"/>
                <w:i w:val="0"/>
                <w:iCs w:val="0"/>
                <w:color w:val="auto"/>
                <w:kern w:val="0"/>
                <w:sz w:val="24"/>
                <w:szCs w:val="24"/>
                <w:u w:val="none"/>
                <w:lang w:val="en-US" w:eastAsia="zh-CN" w:bidi="ar"/>
              </w:rPr>
              <w:t>端口</w:t>
            </w:r>
            <w:r>
              <w:rPr>
                <w:rFonts w:hint="eastAsia" w:ascii="宋体" w:hAnsi="宋体" w:eastAsia="宋体" w:cs="宋体"/>
                <w:i w:val="0"/>
                <w:iCs w:val="0"/>
                <w:color w:val="auto"/>
                <w:kern w:val="0"/>
                <w:sz w:val="24"/>
                <w:szCs w:val="24"/>
                <w:u w:val="none"/>
                <w:lang w:val="en-US" w:eastAsia="zh-CN" w:bidi="ar"/>
              </w:rPr>
              <w:t>、音频</w:t>
            </w:r>
            <w:r>
              <w:rPr>
                <w:rFonts w:hint="eastAsia" w:ascii="宋体" w:hAnsi="宋体" w:cs="宋体"/>
                <w:i w:val="0"/>
                <w:iCs w:val="0"/>
                <w:color w:val="auto"/>
                <w:kern w:val="0"/>
                <w:sz w:val="24"/>
                <w:szCs w:val="24"/>
                <w:u w:val="none"/>
                <w:lang w:val="en-US" w:eastAsia="zh-CN" w:bidi="ar"/>
              </w:rPr>
              <w:t>接入</w:t>
            </w:r>
            <w:r>
              <w:rPr>
                <w:rFonts w:hint="eastAsia" w:ascii="宋体" w:hAnsi="宋体" w:eastAsia="宋体" w:cs="宋体"/>
                <w:i w:val="0"/>
                <w:iCs w:val="0"/>
                <w:color w:val="auto"/>
                <w:kern w:val="0"/>
                <w:sz w:val="24"/>
                <w:szCs w:val="24"/>
                <w:u w:val="none"/>
                <w:lang w:val="en-US" w:eastAsia="zh-CN" w:bidi="ar"/>
              </w:rPr>
              <w:t>≥1</w:t>
            </w:r>
            <w:r>
              <w:rPr>
                <w:rFonts w:hint="eastAsia" w:ascii="宋体" w:hAnsi="宋体" w:cs="宋体"/>
                <w:i w:val="0"/>
                <w:iCs w:val="0"/>
                <w:color w:val="auto"/>
                <w:kern w:val="0"/>
                <w:sz w:val="24"/>
                <w:szCs w:val="24"/>
                <w:u w:val="none"/>
                <w:lang w:val="en-US" w:eastAsia="zh-CN" w:bidi="ar"/>
              </w:rPr>
              <w:t>端口、音频输出</w:t>
            </w:r>
            <w:r>
              <w:rPr>
                <w:rFonts w:hint="eastAsia" w:ascii="宋体" w:hAnsi="宋体" w:eastAsia="宋体" w:cs="宋体"/>
                <w:i w:val="0"/>
                <w:iCs w:val="0"/>
                <w:color w:val="auto"/>
                <w:kern w:val="0"/>
                <w:sz w:val="24"/>
                <w:szCs w:val="24"/>
                <w:u w:val="none"/>
                <w:lang w:val="en-US" w:eastAsia="zh-CN" w:bidi="ar"/>
              </w:rPr>
              <w:t>≥1</w:t>
            </w:r>
            <w:r>
              <w:rPr>
                <w:rFonts w:hint="eastAsia" w:ascii="宋体" w:hAnsi="宋体" w:cs="宋体"/>
                <w:i w:val="0"/>
                <w:iCs w:val="0"/>
                <w:color w:val="auto"/>
                <w:kern w:val="0"/>
                <w:sz w:val="24"/>
                <w:szCs w:val="24"/>
                <w:u w:val="none"/>
                <w:lang w:val="en-US" w:eastAsia="zh-CN" w:bidi="ar"/>
              </w:rPr>
              <w:t>端口</w:t>
            </w:r>
            <w:r>
              <w:rPr>
                <w:rFonts w:hint="eastAsia" w:ascii="宋体" w:hAnsi="宋体" w:eastAsia="宋体" w:cs="宋体"/>
                <w:i w:val="0"/>
                <w:iCs w:val="0"/>
                <w:color w:val="auto"/>
                <w:kern w:val="0"/>
                <w:sz w:val="24"/>
                <w:szCs w:val="24"/>
                <w:u w:val="none"/>
                <w:lang w:val="en-US" w:eastAsia="zh-CN" w:bidi="ar"/>
              </w:rPr>
              <w:t>，支持≥256GBMicroSD卡；</w:t>
            </w:r>
          </w:p>
          <w:p w14:paraId="174CA823">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13.在视频遮挡、SD卡空间不足、SD卡出错、无SD卡、非法访问、网络断开、IP冲突时，能给出报警提示；</w:t>
            </w:r>
          </w:p>
          <w:p w14:paraId="5F803FED">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14.具有≥1路RJ45接口、≥2路报警输入接口、≥2路报警输出接口、≥1路音频输入接口、≥1路音频输出接口、≥1个SD卡插槽、≥1个硬件恢复按钮；</w:t>
            </w:r>
          </w:p>
          <w:p w14:paraId="342B0CFC">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15.支持将视频图像存储至SD卡或客户端，支持SD卡热拔插；</w:t>
            </w:r>
          </w:p>
          <w:p w14:paraId="75067231">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16.在正常工作时断开网络，可将抓拍图片存储至内置SD卡中，当网络恢复后，再将这些图片上传至指定的存储服务器；</w:t>
            </w:r>
          </w:p>
          <w:p w14:paraId="0DD96E86">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17.支持DC12V/POE供电方式，支持12V电源返送，电流≥165mA，方便工程安装；</w:t>
            </w:r>
          </w:p>
          <w:p w14:paraId="32EC38CD">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18.支持</w:t>
            </w:r>
            <w:r>
              <w:rPr>
                <w:rFonts w:hint="eastAsia" w:ascii="宋体" w:hAnsi="宋体" w:cs="宋体"/>
                <w:i w:val="0"/>
                <w:iCs w:val="0"/>
                <w:color w:val="auto"/>
                <w:kern w:val="0"/>
                <w:sz w:val="24"/>
                <w:szCs w:val="24"/>
                <w:u w:val="none"/>
                <w:lang w:val="en-US" w:eastAsia="zh-CN" w:bidi="ar"/>
              </w:rPr>
              <w:t>不低于</w:t>
            </w:r>
            <w:r>
              <w:rPr>
                <w:rFonts w:hint="eastAsia" w:ascii="宋体" w:hAnsi="宋体" w:eastAsia="宋体" w:cs="宋体"/>
                <w:i w:val="0"/>
                <w:iCs w:val="0"/>
                <w:color w:val="auto"/>
                <w:kern w:val="0"/>
                <w:sz w:val="24"/>
                <w:szCs w:val="24"/>
                <w:u w:val="none"/>
                <w:lang w:val="en-US" w:eastAsia="zh-CN" w:bidi="ar"/>
              </w:rPr>
              <w:t>IP67、IK10防护等级；</w:t>
            </w:r>
          </w:p>
          <w:p w14:paraId="0B1370FC">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★19.为保证系统兼容性，本设备必须能接入学校原有网关、转发、中心三合一服务器，实现集中录像和增、删、改、查等操作。（提供投标人对接承诺函并加盖</w:t>
            </w:r>
            <w:r>
              <w:rPr>
                <w:rFonts w:hint="eastAsia" w:ascii="宋体" w:hAnsi="宋体" w:eastAsia="宋体" w:cs="宋体"/>
                <w:b/>
                <w:bCs/>
                <w:i w:val="0"/>
                <w:iCs w:val="0"/>
                <w:color w:val="000000"/>
                <w:sz w:val="24"/>
                <w:szCs w:val="24"/>
                <w:highlight w:val="none"/>
                <w:u w:val="none"/>
              </w:rPr>
              <w:t>投标人</w:t>
            </w:r>
            <w:r>
              <w:rPr>
                <w:rFonts w:hint="eastAsia" w:ascii="宋体" w:hAnsi="宋体" w:eastAsia="宋体" w:cs="宋体"/>
                <w:b/>
                <w:bCs/>
                <w:i w:val="0"/>
                <w:iCs w:val="0"/>
                <w:color w:val="auto"/>
                <w:kern w:val="0"/>
                <w:sz w:val="24"/>
                <w:szCs w:val="24"/>
                <w:u w:val="none"/>
                <w:lang w:val="en-US" w:eastAsia="zh-CN" w:bidi="ar"/>
              </w:rPr>
              <w:t>公章）</w:t>
            </w:r>
          </w:p>
        </w:tc>
        <w:tc>
          <w:tcPr>
            <w:tcW w:w="793" w:type="dxa"/>
            <w:noWrap w:val="0"/>
            <w:vAlign w:val="center"/>
          </w:tcPr>
          <w:p w14:paraId="11FD949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30" w:type="dxa"/>
            <w:noWrap w:val="0"/>
            <w:vAlign w:val="center"/>
          </w:tcPr>
          <w:p w14:paraId="2DF21146">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7FE7A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350A0438">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398" w:type="dxa"/>
            <w:noWrap w:val="0"/>
            <w:vAlign w:val="center"/>
          </w:tcPr>
          <w:p w14:paraId="1F523138">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考场半球拾音器</w:t>
            </w:r>
          </w:p>
        </w:tc>
        <w:tc>
          <w:tcPr>
            <w:tcW w:w="5738" w:type="dxa"/>
            <w:noWrap w:val="0"/>
            <w:vAlign w:val="center"/>
          </w:tcPr>
          <w:p w14:paraId="6BD0EAB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1.保真型监听器，高保真、语音清晰纯真、低噪音，灵敏度高，内置DSP降噪芯片，Clearspeech优化电路设计，高保真，抗回音，持续稳定音频监听面积达10～100平方米。</w:t>
            </w:r>
          </w:p>
          <w:p w14:paraId="4A0F4E6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2.频率响应≥300Hz～8500Hz（±6dB），灵敏度（标准音源1米，94dBSPL）：-4.0dB～+3.0dB（0dB=1V/Pa,1KHz）。</w:t>
            </w:r>
          </w:p>
          <w:p w14:paraId="418A746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3.最大承受音压≥120dBSPL（1KHz,THD1%），输出阻抗≥600～1000欧姆非平衡，输出信号幅度≥2.5Vpp/-25db。</w:t>
            </w:r>
          </w:p>
          <w:p w14:paraId="2AFDB65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4.麦克风：电容咪头。</w:t>
            </w:r>
          </w:p>
        </w:tc>
        <w:tc>
          <w:tcPr>
            <w:tcW w:w="793" w:type="dxa"/>
            <w:noWrap w:val="0"/>
            <w:vAlign w:val="center"/>
          </w:tcPr>
          <w:p w14:paraId="4C1B67F0">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730" w:type="dxa"/>
            <w:noWrap w:val="0"/>
            <w:vAlign w:val="center"/>
          </w:tcPr>
          <w:p w14:paraId="0EAF51A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r>
      <w:tr w14:paraId="687B4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2F7EF2D1">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398" w:type="dxa"/>
            <w:noWrap w:val="0"/>
            <w:vAlign w:val="center"/>
          </w:tcPr>
          <w:p w14:paraId="026EB7B8">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巡查POE交换机</w:t>
            </w:r>
          </w:p>
        </w:tc>
        <w:tc>
          <w:tcPr>
            <w:tcW w:w="5738" w:type="dxa"/>
            <w:noWrap w:val="0"/>
            <w:vAlign w:val="center"/>
          </w:tcPr>
          <w:p w14:paraId="6F3BD43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1.交换容量：≥20Gbps，包转发率：≥14.88Mpps。</w:t>
            </w:r>
          </w:p>
          <w:p w14:paraId="0D04C7CE">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2.≥9个10/100/1000Mbps自适应电口（其中≥8个支持POE/POE+，整机PoE最大输出功率≥70W，单端口最大输出功率≥35W），≥1个SFP千兆光口；</w:t>
            </w:r>
          </w:p>
          <w:p w14:paraId="069C0FCA">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3.支持广播风暴抑制、MAC地址过滤、端口限速等功能；</w:t>
            </w:r>
          </w:p>
        </w:tc>
        <w:tc>
          <w:tcPr>
            <w:tcW w:w="793" w:type="dxa"/>
            <w:noWrap w:val="0"/>
            <w:vAlign w:val="center"/>
          </w:tcPr>
          <w:p w14:paraId="20686B7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730" w:type="dxa"/>
            <w:noWrap w:val="0"/>
            <w:vAlign w:val="center"/>
          </w:tcPr>
          <w:p w14:paraId="19EA020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1F8DF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557FDCD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398" w:type="dxa"/>
            <w:noWrap w:val="0"/>
            <w:vAlign w:val="center"/>
          </w:tcPr>
          <w:p w14:paraId="74B4870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auto"/>
                <w:kern w:val="0"/>
                <w:sz w:val="24"/>
                <w:szCs w:val="24"/>
                <w:u w:val="none"/>
                <w:lang w:val="en-US" w:eastAsia="zh-CN" w:bidi="ar"/>
              </w:rPr>
              <w:t>智慧教学终端</w:t>
            </w:r>
          </w:p>
        </w:tc>
        <w:tc>
          <w:tcPr>
            <w:tcW w:w="5738" w:type="dxa"/>
            <w:noWrap w:val="0"/>
            <w:vAlign w:val="center"/>
          </w:tcPr>
          <w:p w14:paraId="219F8E59">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1.智能交互黑板显示尺寸≥86英寸，分辨率：</w:t>
            </w:r>
            <w:r>
              <w:rPr>
                <w:rFonts w:hint="eastAsia" w:ascii="宋体" w:hAnsi="宋体" w:eastAsia="宋体" w:cs="宋体"/>
                <w:i w:val="0"/>
                <w:iCs w:val="0"/>
                <w:color w:val="auto"/>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3840*2160，采用先进触控技术，在Windows、安卓及国产化系统下均支持</w:t>
            </w:r>
            <w:r>
              <w:rPr>
                <w:rFonts w:hint="eastAsia" w:ascii="宋体" w:hAnsi="宋体" w:eastAsia="宋体" w:cs="宋体"/>
                <w:i w:val="0"/>
                <w:iCs w:val="0"/>
                <w:color w:val="auto"/>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40点触控。</w:t>
            </w:r>
          </w:p>
          <w:p w14:paraId="16A8A8C2">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2.智能交互黑板表面玻璃采用高强度钢化玻璃，AG防眩光，厚度≤3.2mm，硬度≥莫氏7级，石墨硬度≥9H。</w:t>
            </w:r>
          </w:p>
          <w:p w14:paraId="3BF768FA">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3.智能交互黑板背光系统支持DC调光方式，多级亮度调节，拍摄时画面无条纹闪烁。光源稳定无频闪，防止眼睛疲劳。</w:t>
            </w:r>
          </w:p>
          <w:p w14:paraId="0EE06940">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.智能交互黑板全通道支持纸质护眼模式，可实现画面纹理的实时调整；支持纸质纹理：素描纸、宣纸、水彩纸、牛皮纸、水纹纸；支持透明度调节与色温调节；显示画面各像素点灰度不规则，减少背景干扰。</w:t>
            </w:r>
          </w:p>
          <w:p w14:paraId="235D41BB">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.书写侧板主屏与侧板过渡平滑，表面无凸起部件阻隔；侧板采用金属材质，支持磁性教具吸附。</w:t>
            </w:r>
          </w:p>
          <w:p w14:paraId="3728B1A3">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6</w:t>
            </w:r>
            <w:r>
              <w:rPr>
                <w:rFonts w:hint="eastAsia" w:ascii="宋体" w:hAnsi="宋体" w:eastAsia="宋体" w:cs="宋体"/>
                <w:i w:val="0"/>
                <w:iCs w:val="0"/>
                <w:color w:val="000000"/>
                <w:kern w:val="0"/>
                <w:sz w:val="24"/>
                <w:szCs w:val="24"/>
                <w:u w:val="none"/>
                <w:lang w:val="en-US" w:eastAsia="zh-CN" w:bidi="ar"/>
              </w:rPr>
              <w:t>.智能交互黑板前置面板至少具备1路HDMI接口（非转接），2路USB3.0接口，1路Type-C接口；后置标配非扩展HDMI输入≥2路，HDMI输出≥1路（支持安卓及其他通道信号输出）。</w:t>
            </w:r>
          </w:p>
          <w:p w14:paraId="33218744">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7</w:t>
            </w:r>
            <w:r>
              <w:rPr>
                <w:rFonts w:hint="eastAsia" w:ascii="宋体" w:hAnsi="宋体" w:eastAsia="宋体" w:cs="宋体"/>
                <w:i w:val="0"/>
                <w:iCs w:val="0"/>
                <w:color w:val="000000"/>
                <w:kern w:val="0"/>
                <w:sz w:val="24"/>
                <w:szCs w:val="24"/>
                <w:u w:val="none"/>
                <w:lang w:val="en-US" w:eastAsia="zh-CN" w:bidi="ar"/>
              </w:rPr>
              <w:t>.智能交互黑板具有笔槽结构，可放置书写笔、粉笔、水性笔等，笔槽具有漏灰孔设计。</w:t>
            </w:r>
            <w:r>
              <w:rPr>
                <w:rFonts w:hint="eastAsia" w:ascii="宋体" w:hAnsi="宋体" w:eastAsia="宋体" w:cs="宋体"/>
                <w:i w:val="0"/>
                <w:iCs w:val="0"/>
                <w:color w:val="auto"/>
                <w:kern w:val="0"/>
                <w:sz w:val="24"/>
                <w:szCs w:val="24"/>
                <w:u w:val="none"/>
                <w:lang w:val="en-US" w:eastAsia="zh-CN" w:bidi="ar"/>
              </w:rPr>
              <w:t>（提供具有CMA或CNAS标志的检测报告复印件或扫描件并加盖投标人公章，同时要求检测机构通过国家市场监督管理总局检验检测机构资质认定，提供检测机构在国家市场监督管理总局检验检测机构资质认定网上审批系统的查询截图）</w:t>
            </w:r>
          </w:p>
          <w:p w14:paraId="4C5FFEEE">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8</w:t>
            </w:r>
            <w:r>
              <w:rPr>
                <w:rFonts w:hint="eastAsia" w:ascii="宋体" w:hAnsi="宋体" w:eastAsia="宋体" w:cs="宋体"/>
                <w:i w:val="0"/>
                <w:iCs w:val="0"/>
                <w:color w:val="000000"/>
                <w:kern w:val="0"/>
                <w:sz w:val="24"/>
                <w:szCs w:val="24"/>
                <w:u w:val="none"/>
                <w:lang w:val="en-US" w:eastAsia="zh-CN" w:bidi="ar"/>
              </w:rPr>
              <w:t>.智能交互黑板前置按键≥7个，可实现音量加减、窗口关闭、触控开关等功能。</w:t>
            </w:r>
          </w:p>
          <w:p w14:paraId="7CD8489F">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9</w:t>
            </w:r>
            <w:r>
              <w:rPr>
                <w:rFonts w:hint="eastAsia" w:ascii="宋体" w:hAnsi="宋体" w:eastAsia="宋体" w:cs="宋体"/>
                <w:i w:val="0"/>
                <w:iCs w:val="0"/>
                <w:color w:val="000000"/>
                <w:kern w:val="0"/>
                <w:sz w:val="24"/>
                <w:szCs w:val="24"/>
                <w:u w:val="none"/>
                <w:lang w:val="en-US" w:eastAsia="zh-CN" w:bidi="ar"/>
              </w:rPr>
              <w:t>.前置接口面板支持前拆，在不需要拆下整机打开背板的情况下进行前拆维护</w:t>
            </w:r>
            <w:r>
              <w:rPr>
                <w:rFonts w:hint="eastAsia" w:ascii="宋体" w:hAnsi="宋体" w:eastAsia="宋体" w:cs="宋体"/>
                <w:i w:val="0"/>
                <w:iCs w:val="0"/>
                <w:color w:val="auto"/>
                <w:kern w:val="0"/>
                <w:sz w:val="24"/>
                <w:szCs w:val="24"/>
                <w:u w:val="none"/>
                <w:lang w:val="en-US" w:eastAsia="zh-CN" w:bidi="ar"/>
              </w:rPr>
              <w:t>（提供具有CMA或CNAS标志的检测报告复印件或扫描件并加盖投标人公章，同时要求检测机构通过国家市场监督管理总局检验检测机构资质认定，提供检测机构在国家市场监督管理总局检验检测机构资质认定网上审批系统的查询截图）</w:t>
            </w:r>
            <w:r>
              <w:rPr>
                <w:rFonts w:hint="eastAsia" w:ascii="宋体" w:hAnsi="宋体" w:eastAsia="宋体" w:cs="宋体"/>
                <w:i w:val="0"/>
                <w:iCs w:val="0"/>
                <w:color w:val="000000"/>
                <w:kern w:val="0"/>
                <w:sz w:val="24"/>
                <w:szCs w:val="24"/>
                <w:u w:val="none"/>
                <w:lang w:val="en-US" w:eastAsia="zh-CN" w:bidi="ar"/>
              </w:rPr>
              <w:t>。</w:t>
            </w:r>
          </w:p>
          <w:p w14:paraId="1E50060F">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0</w:t>
            </w:r>
            <w:r>
              <w:rPr>
                <w:rFonts w:hint="eastAsia" w:ascii="宋体" w:hAnsi="宋体" w:eastAsia="宋体" w:cs="宋体"/>
                <w:i w:val="0"/>
                <w:iCs w:val="0"/>
                <w:color w:val="000000"/>
                <w:kern w:val="0"/>
                <w:sz w:val="24"/>
                <w:szCs w:val="24"/>
                <w:u w:val="none"/>
                <w:lang w:val="en-US" w:eastAsia="zh-CN" w:bidi="ar"/>
              </w:rPr>
              <w:t>.智能交互黑板接口及主要功能按键具备丝印中文标识。</w:t>
            </w:r>
          </w:p>
          <w:p w14:paraId="640B0A3E">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1</w:t>
            </w:r>
            <w:r>
              <w:rPr>
                <w:rFonts w:hint="eastAsia" w:ascii="宋体" w:hAnsi="宋体" w:eastAsia="宋体" w:cs="宋体"/>
                <w:i w:val="0"/>
                <w:iCs w:val="0"/>
                <w:color w:val="000000"/>
                <w:kern w:val="0"/>
                <w:sz w:val="24"/>
                <w:szCs w:val="24"/>
                <w:u w:val="none"/>
                <w:lang w:val="en-US" w:eastAsia="zh-CN" w:bidi="ar"/>
              </w:rPr>
              <w:t>.智能交互黑板采用≥12核国产化驱动芯片，</w:t>
            </w:r>
            <w:r>
              <w:rPr>
                <w:rFonts w:hint="eastAsia" w:ascii="宋体" w:hAnsi="宋体" w:eastAsia="宋体" w:cs="宋体"/>
                <w:i w:val="0"/>
                <w:iCs w:val="0"/>
                <w:color w:val="auto"/>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8核CPU、</w:t>
            </w:r>
            <w:r>
              <w:rPr>
                <w:rFonts w:hint="eastAsia" w:ascii="宋体" w:hAnsi="宋体" w:eastAsia="宋体" w:cs="宋体"/>
                <w:i w:val="0"/>
                <w:iCs w:val="0"/>
                <w:color w:val="auto"/>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4核GPU，至少支持Android系统版本14.0，内存≥4G，存储≥32G。</w:t>
            </w:r>
          </w:p>
          <w:p w14:paraId="7AC4191E">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2</w:t>
            </w:r>
            <w:r>
              <w:rPr>
                <w:rFonts w:hint="eastAsia" w:ascii="宋体" w:hAnsi="宋体" w:eastAsia="宋体" w:cs="宋体"/>
                <w:i w:val="0"/>
                <w:iCs w:val="0"/>
                <w:color w:val="000000"/>
                <w:kern w:val="0"/>
                <w:sz w:val="24"/>
                <w:szCs w:val="24"/>
                <w:u w:val="none"/>
                <w:lang w:val="en-US" w:eastAsia="zh-CN" w:bidi="ar"/>
              </w:rPr>
              <w:t>.采用针孔阵列发声设计，2.2声道，下边框具有</w:t>
            </w:r>
            <w:r>
              <w:rPr>
                <w:rFonts w:hint="eastAsia" w:ascii="宋体" w:hAnsi="宋体" w:eastAsia="宋体" w:cs="宋体"/>
                <w:i w:val="0"/>
                <w:iCs w:val="0"/>
                <w:color w:val="auto"/>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6个发声单元，最大功率≥80W,扬声器在100%音量下，1米处声压级≥90dB，10米处声压级≥80dB；最低谐振频率不高于100Hz。</w:t>
            </w:r>
          </w:p>
          <w:p w14:paraId="4F6298BF">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.内置一体化超高清摄像头，单颗摄像头有效像素＞1900W，可输出最大分辨率5104*3864的图片与视频，支持搭配AI软件实现自动点名点数功能，支持远程巡课功能，具备指示灯工作状态提示。</w:t>
            </w:r>
          </w:p>
          <w:p w14:paraId="3576D23F">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i w:val="0"/>
                <w:iCs w:val="0"/>
                <w:color w:val="000000"/>
                <w:kern w:val="0"/>
                <w:sz w:val="24"/>
                <w:szCs w:val="24"/>
                <w:u w:val="none"/>
                <w:lang w:val="en-US" w:eastAsia="zh-CN" w:bidi="ar"/>
              </w:rPr>
              <w:t>.智能交互黑板内置</w:t>
            </w:r>
            <w:r>
              <w:rPr>
                <w:rFonts w:hint="eastAsia" w:ascii="宋体" w:hAnsi="宋体" w:eastAsia="宋体" w:cs="宋体"/>
                <w:i w:val="0"/>
                <w:iCs w:val="0"/>
                <w:color w:val="auto"/>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8阵列麦克风，拾音角度≥180°，可用于对教室环境音频进行采集。</w:t>
            </w:r>
          </w:p>
          <w:p w14:paraId="255D7D9D">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.智能交互黑板整机具备前置物理电脑还原物理按键，针孔式设计防止误操作，并具有中文标识便于识别</w:t>
            </w:r>
            <w:r>
              <w:rPr>
                <w:rFonts w:hint="eastAsia" w:ascii="宋体" w:hAnsi="宋体" w:eastAsia="宋体" w:cs="宋体"/>
                <w:i w:val="0"/>
                <w:iCs w:val="0"/>
                <w:color w:val="auto"/>
                <w:kern w:val="0"/>
                <w:sz w:val="24"/>
                <w:szCs w:val="24"/>
                <w:u w:val="none"/>
                <w:lang w:val="en-US" w:eastAsia="zh-CN" w:bidi="ar"/>
              </w:rPr>
              <w:t>（提供具有CMA或CNAS标志的检测报告复印件或扫描件并加盖投标人公章，同时要求检测机构通过国家市场监督管理总局检验检测机构资质认定，提供检测机构在国家市场监督管理总局检验检测机构资质认定网上审批系统的查询截图）。</w:t>
            </w:r>
          </w:p>
          <w:p w14:paraId="6D1D0342">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6</w:t>
            </w:r>
            <w:r>
              <w:rPr>
                <w:rFonts w:hint="eastAsia" w:ascii="宋体" w:hAnsi="宋体" w:eastAsia="宋体" w:cs="宋体"/>
                <w:i w:val="0"/>
                <w:iCs w:val="0"/>
                <w:color w:val="000000"/>
                <w:kern w:val="0"/>
                <w:sz w:val="24"/>
                <w:szCs w:val="24"/>
                <w:u w:val="none"/>
                <w:lang w:val="en-US" w:eastAsia="zh-CN" w:bidi="ar"/>
              </w:rPr>
              <w:t>.只需一根网线连接，即可实现Windows和Andriod双系统同时上网。</w:t>
            </w:r>
          </w:p>
          <w:p w14:paraId="52012DAA">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7</w:t>
            </w:r>
            <w:r>
              <w:rPr>
                <w:rFonts w:hint="eastAsia" w:ascii="宋体" w:hAnsi="宋体" w:eastAsia="宋体" w:cs="宋体"/>
                <w:i w:val="0"/>
                <w:iCs w:val="0"/>
                <w:color w:val="000000"/>
                <w:kern w:val="0"/>
                <w:sz w:val="24"/>
                <w:szCs w:val="24"/>
                <w:u w:val="none"/>
                <w:lang w:val="en-US" w:eastAsia="zh-CN" w:bidi="ar"/>
              </w:rPr>
              <w:t>.智能交互黑板</w:t>
            </w:r>
            <w:r>
              <w:rPr>
                <w:rFonts w:hint="eastAsia" w:ascii="宋体" w:hAnsi="宋体" w:cs="宋体"/>
                <w:i w:val="0"/>
                <w:iCs w:val="0"/>
                <w:color w:val="000000"/>
                <w:kern w:val="0"/>
                <w:sz w:val="24"/>
                <w:szCs w:val="24"/>
                <w:u w:val="none"/>
                <w:lang w:val="en-US" w:eastAsia="zh-CN" w:bidi="ar"/>
              </w:rPr>
              <w:t>具备独立</w:t>
            </w:r>
            <w:r>
              <w:rPr>
                <w:rFonts w:hint="eastAsia" w:ascii="宋体" w:hAnsi="宋体" w:eastAsia="宋体" w:cs="宋体"/>
                <w:i w:val="0"/>
                <w:iCs w:val="0"/>
                <w:color w:val="000000"/>
                <w:kern w:val="0"/>
                <w:sz w:val="24"/>
                <w:szCs w:val="24"/>
                <w:u w:val="none"/>
                <w:lang w:val="en-US" w:eastAsia="zh-CN" w:bidi="ar"/>
              </w:rPr>
              <w:t>无线网卡</w:t>
            </w:r>
            <w:r>
              <w:rPr>
                <w:rFonts w:hint="eastAsia" w:ascii="宋体" w:hAnsi="宋体" w:cs="宋体"/>
                <w:i w:val="0"/>
                <w:iCs w:val="0"/>
                <w:color w:val="000000"/>
                <w:kern w:val="0"/>
                <w:sz w:val="24"/>
                <w:szCs w:val="24"/>
                <w:u w:val="none"/>
                <w:lang w:val="en-US" w:eastAsia="zh-CN" w:bidi="ar"/>
              </w:rPr>
              <w:t>和蓝牙模块，且</w:t>
            </w:r>
            <w:r>
              <w:rPr>
                <w:rFonts w:hint="eastAsia" w:ascii="宋体" w:hAnsi="宋体" w:eastAsia="宋体" w:cs="宋体"/>
                <w:i w:val="0"/>
                <w:iCs w:val="0"/>
                <w:color w:val="000000"/>
                <w:kern w:val="0"/>
                <w:sz w:val="24"/>
                <w:szCs w:val="24"/>
                <w:u w:val="none"/>
                <w:lang w:val="en-US" w:eastAsia="zh-CN" w:bidi="ar"/>
              </w:rPr>
              <w:t>支持单独拆卸。</w:t>
            </w:r>
            <w:r>
              <w:rPr>
                <w:rFonts w:hint="eastAsia" w:ascii="宋体" w:hAnsi="宋体" w:cs="宋体"/>
                <w:i w:val="0"/>
                <w:iCs w:val="0"/>
                <w:color w:val="000000"/>
                <w:kern w:val="0"/>
                <w:sz w:val="24"/>
                <w:szCs w:val="24"/>
                <w:u w:val="none"/>
                <w:lang w:val="en-US" w:eastAsia="zh-CN" w:bidi="ar"/>
              </w:rPr>
              <w:t>无线网卡不低于Wi-Fi6，</w:t>
            </w:r>
            <w:r>
              <w:rPr>
                <w:rFonts w:hint="eastAsia" w:ascii="宋体" w:hAnsi="宋体" w:eastAsia="宋体" w:cs="宋体"/>
                <w:i w:val="0"/>
                <w:iCs w:val="0"/>
                <w:color w:val="000000"/>
                <w:kern w:val="0"/>
                <w:sz w:val="24"/>
                <w:szCs w:val="24"/>
                <w:u w:val="none"/>
                <w:lang w:val="en-US" w:eastAsia="zh-CN" w:bidi="ar"/>
              </w:rPr>
              <w:t>蓝牙</w:t>
            </w:r>
            <w:r>
              <w:rPr>
                <w:rFonts w:hint="eastAsia" w:ascii="宋体" w:hAnsi="宋体" w:cs="宋体"/>
                <w:i w:val="0"/>
                <w:iCs w:val="0"/>
                <w:color w:val="000000"/>
                <w:kern w:val="0"/>
                <w:sz w:val="24"/>
                <w:szCs w:val="24"/>
                <w:u w:val="none"/>
                <w:lang w:val="en-US" w:eastAsia="zh-CN" w:bidi="ar"/>
              </w:rPr>
              <w:t>不低于</w:t>
            </w:r>
            <w:r>
              <w:rPr>
                <w:rFonts w:hint="eastAsia" w:ascii="宋体" w:hAnsi="宋体" w:eastAsia="宋体" w:cs="宋体"/>
                <w:i w:val="0"/>
                <w:iCs w:val="0"/>
                <w:color w:val="000000"/>
                <w:kern w:val="0"/>
                <w:sz w:val="24"/>
                <w:szCs w:val="24"/>
                <w:u w:val="none"/>
                <w:lang w:val="en-US" w:eastAsia="zh-CN" w:bidi="ar"/>
              </w:rPr>
              <w:t>5.</w:t>
            </w:r>
            <w:r>
              <w:rPr>
                <w:rFonts w:hint="eastAsia" w:ascii="宋体" w:hAnsi="宋体" w:cs="宋体"/>
                <w:i w:val="0"/>
                <w:iCs w:val="0"/>
                <w:color w:val="000000"/>
                <w:kern w:val="0"/>
                <w:sz w:val="24"/>
                <w:szCs w:val="24"/>
                <w:u w:val="none"/>
                <w:lang w:val="en-US" w:eastAsia="zh-CN" w:bidi="ar"/>
              </w:rPr>
              <w:t>4版本</w:t>
            </w:r>
            <w:r>
              <w:rPr>
                <w:rFonts w:hint="eastAsia" w:ascii="宋体" w:hAnsi="宋体" w:eastAsia="宋体" w:cs="宋体"/>
                <w:i w:val="0"/>
                <w:iCs w:val="0"/>
                <w:color w:val="000000"/>
                <w:kern w:val="0"/>
                <w:sz w:val="24"/>
                <w:szCs w:val="24"/>
                <w:u w:val="none"/>
                <w:lang w:val="en-US" w:eastAsia="zh-CN" w:bidi="ar"/>
              </w:rPr>
              <w:t>。</w:t>
            </w:r>
          </w:p>
          <w:p w14:paraId="33F22F19">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8</w:t>
            </w:r>
            <w:r>
              <w:rPr>
                <w:rFonts w:hint="eastAsia" w:ascii="宋体" w:hAnsi="宋体" w:eastAsia="宋体" w:cs="宋体"/>
                <w:i w:val="0"/>
                <w:iCs w:val="0"/>
                <w:color w:val="000000"/>
                <w:kern w:val="0"/>
                <w:sz w:val="24"/>
                <w:szCs w:val="24"/>
                <w:u w:val="none"/>
                <w:lang w:val="en-US" w:eastAsia="zh-CN" w:bidi="ar"/>
              </w:rPr>
              <w:t>.内置电脑CPU配置不低于8核12线程，主频不低于2.0GHz，内存：≥8GDDR4；硬盘：≥256GSSD固态硬盘。</w:t>
            </w:r>
          </w:p>
        </w:tc>
        <w:tc>
          <w:tcPr>
            <w:tcW w:w="793" w:type="dxa"/>
            <w:noWrap w:val="0"/>
            <w:vAlign w:val="center"/>
          </w:tcPr>
          <w:p w14:paraId="3F73C80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730" w:type="dxa"/>
            <w:noWrap w:val="0"/>
            <w:vAlign w:val="center"/>
          </w:tcPr>
          <w:p w14:paraId="1057353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7BAE2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54844A8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398" w:type="dxa"/>
            <w:noWrap w:val="0"/>
            <w:vAlign w:val="center"/>
          </w:tcPr>
          <w:p w14:paraId="14A3618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auto"/>
                <w:kern w:val="0"/>
                <w:sz w:val="24"/>
                <w:szCs w:val="24"/>
                <w:u w:val="none"/>
                <w:lang w:val="en-US" w:eastAsia="zh-CN" w:bidi="ar"/>
              </w:rPr>
              <w:t>显示终端</w:t>
            </w:r>
          </w:p>
        </w:tc>
        <w:tc>
          <w:tcPr>
            <w:tcW w:w="5738" w:type="dxa"/>
            <w:noWrap w:val="0"/>
            <w:vAlign w:val="center"/>
          </w:tcPr>
          <w:p w14:paraId="3B3FAB3D">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1.屏幕尺寸：≥98英寸；</w:t>
            </w:r>
          </w:p>
          <w:p w14:paraId="3B484E43">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2.能效等级：一级能效；</w:t>
            </w:r>
          </w:p>
          <w:p w14:paraId="664CC73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3.屏幕刷新率：≥144Hz，亮度：≥1000nits；</w:t>
            </w:r>
          </w:p>
          <w:p w14:paraId="6233E62A">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4.支持壁挂式安装。</w:t>
            </w:r>
          </w:p>
        </w:tc>
        <w:tc>
          <w:tcPr>
            <w:tcW w:w="793" w:type="dxa"/>
            <w:noWrap w:val="0"/>
            <w:vAlign w:val="center"/>
          </w:tcPr>
          <w:p w14:paraId="0179482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730" w:type="dxa"/>
            <w:noWrap w:val="0"/>
            <w:vAlign w:val="center"/>
          </w:tcPr>
          <w:p w14:paraId="28DAAE5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3B540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3E537A7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398" w:type="dxa"/>
            <w:noWrap w:val="0"/>
            <w:vAlign w:val="center"/>
          </w:tcPr>
          <w:p w14:paraId="18F7D24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AI全向拾音麦</w:t>
            </w:r>
          </w:p>
        </w:tc>
        <w:tc>
          <w:tcPr>
            <w:tcW w:w="5738" w:type="dxa"/>
            <w:noWrap w:val="0"/>
            <w:vAlign w:val="center"/>
          </w:tcPr>
          <w:p w14:paraId="12C77B7A">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麦克风数量：≥30个阵列单元；（提供具有CMA或CNAS标志的检测报告复印件或扫描件并加盖投标人公章，同时要求检测机构通过国家市场监督管理总局检验检测机构资质认定，提供检测机构在国家市场监督管理总局检验检测机构资质认定网上审批系统的查询截图）</w:t>
            </w:r>
          </w:p>
          <w:p w14:paraId="51B8DBEA">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MIC灵敏度：≤-38dBv/94dBSPL@1KHz（提供具有CMA或CNAS标志的检测报告复印件或扫描件并加盖投标人公章，同时要求检测机构通过国家市场监督管理总局检验检测机构资质认定，提供检测机构在国家市场监督管理总局检验检测机构资质认定网上审批系统的查询截图）；</w:t>
            </w:r>
          </w:p>
          <w:p w14:paraId="39C78996">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3.MIC频响：≥20Hz～20,000Hz；</w:t>
            </w:r>
          </w:p>
          <w:p w14:paraId="5891B32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4.信噪比：≥73.9dB（A）；</w:t>
            </w:r>
          </w:p>
          <w:p w14:paraId="7DE1F46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5.动态范围：≥84dB（A）；</w:t>
            </w:r>
          </w:p>
          <w:p w14:paraId="47B83A88">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6.最大声压级：≥104dBSPL；</w:t>
            </w:r>
          </w:p>
          <w:p w14:paraId="76172E60">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7.设备灵敏度：≥-10.22dBFS/Pa；</w:t>
            </w:r>
          </w:p>
          <w:p w14:paraId="7627D582">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8.≥10/100/1000Mbps自适应网口*1，支持802.3at，Type-C，USB2.0接口≥1个，凤凰端子≥2个，Reset按键≥1个；</w:t>
            </w:r>
          </w:p>
          <w:p w14:paraId="5887D1E3">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9.支持802.af/802.3atPOE供电协议，通过网线进行供电，供电距离≥80米，减少强电施工，简化布线和维护；</w:t>
            </w:r>
          </w:p>
          <w:p w14:paraId="452B9311">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10.AFC：MSG15dB，收敛时间&lt;300ms；</w:t>
            </w:r>
          </w:p>
          <w:p w14:paraId="7992F20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11.AES：≥65dB；</w:t>
            </w:r>
          </w:p>
          <w:p w14:paraId="2AFE542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12.稳态降噪：最大35dB；</w:t>
            </w:r>
          </w:p>
          <w:p w14:paraId="54C1B960">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13.AI降噪：最大25dB；</w:t>
            </w:r>
          </w:p>
          <w:p w14:paraId="23E3C00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14.本地扩声延时不高于30毫秒，以确保扩声后的高保真的声音还原和良好的听觉感受；</w:t>
            </w:r>
          </w:p>
          <w:p w14:paraId="580866B8">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15.设备本地扩声增益≥10dB，声音采样率≥48KHz，采样深度≥24bit（提供具有CMA或CNAS标志的检测报告复印件或扫描件并加盖投标人公章，同时要求检测机构通过国家市场监督管理总局检验检测机构资质认定，提供检测机构在国家市场监督管理总局检验检测机构资质认定网上审批系统的查询截图）；</w:t>
            </w:r>
          </w:p>
          <w:p w14:paraId="41798856">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●16.支持多种类别的噪声抑制，如教室中常见的敲桌子、衣物面料摩擦声等噪声（提供对应降噪算法开、关的噪声抑制效果演示视频，视频中间不允许有任何剪辑）；</w:t>
            </w:r>
          </w:p>
          <w:p w14:paraId="39E10AC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17.开启本地扩声时，能有效控制扩声边界，对扩声区域外1米区域的声音不进行任何程度的扩音处理；</w:t>
            </w:r>
          </w:p>
          <w:p w14:paraId="1AE1CCBE">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18.AGC：不少于三段式增益调节；</w:t>
            </w:r>
          </w:p>
          <w:p w14:paraId="3FCD0FB1">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19.EQ：可调节范围≥0~24000Hz；</w:t>
            </w:r>
          </w:p>
          <w:p w14:paraId="37C70C0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20.设备支持保存、导入配置参数，设备支持预配置多个参数实现快速切换；</w:t>
            </w:r>
          </w:p>
          <w:p w14:paraId="6D6E1B96">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21.支持遥控器更改吸顶麦工作模式、控制音量大小，方便根据场景的实际需求，进行灵活的控制，提高用户操作便利性；</w:t>
            </w:r>
          </w:p>
          <w:p w14:paraId="0F04ECAE">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22.具备状态指示灯，通过不同颜色、状态的指示灯显示，便于用户直观获取设备的工作状态信息；</w:t>
            </w:r>
          </w:p>
          <w:p w14:paraId="62EF206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可基于室内平面图标示的域精确设置拾音区，并灵活调节拾音区覆盖范围，根据建筑结构，能够满足矩形、方形、梯形或其他与建筑结构匹配的拾音区形状，调节范围可以精确到0.01米（提供拾音区范围、形状调节功能演示视频）；</w:t>
            </w:r>
          </w:p>
          <w:p w14:paraId="32B74632">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24.支持在线更新设备固件，确保会议设备始终处于最佳状态；</w:t>
            </w:r>
          </w:p>
          <w:p w14:paraId="14C2426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25.提供≥4个可独立配置的拾音区，支持基于室内平面图的拾音区框选，以适应不同教学场景；</w:t>
            </w:r>
          </w:p>
          <w:p w14:paraId="11E1A663">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26.音频信号输出增益可调，可调节范围-20dB~20dB；</w:t>
            </w:r>
          </w:p>
          <w:p w14:paraId="6104BBD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●27.吸顶麦系统支持配置的保存、导入，预配置多个参数进行切换，方便大规模系统配置和调试（提供调试软件录制视频，视频中间不允许有任何剪辑）；</w:t>
            </w:r>
          </w:p>
          <w:p w14:paraId="2B97A8CA">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28.设备支持算法参数调优，可区分通话拾音区和扩音拾音区，精细化配置算法资源。当前可调整的算法模块包括：AFC、AES、EQ（可调节范围0~24000Hz）、AGC、输出增益、稳态降噪、AI降噪、混响抑制等；</w:t>
            </w:r>
          </w:p>
          <w:p w14:paraId="2E47AB8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29.麦克风不需要音频处理器的情况下，可以与第三方音视频会议系统连接使用；</w:t>
            </w:r>
          </w:p>
          <w:p w14:paraId="1D9DE4E3">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30.支持基于TCP/IP的API接口，至少可以提供音量控制、功能开关、设备重启、状态查询接口，满足采购人二次开发及集中管理、集中控制需求（需附API文档）；</w:t>
            </w:r>
          </w:p>
          <w:p w14:paraId="4C47AA93">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●31.具备可视化声源定位能力，实时捕捉讲师位置，便于精准定位收音区域（提供功能演示视频）。</w:t>
            </w:r>
          </w:p>
        </w:tc>
        <w:tc>
          <w:tcPr>
            <w:tcW w:w="793" w:type="dxa"/>
            <w:noWrap w:val="0"/>
            <w:vAlign w:val="center"/>
          </w:tcPr>
          <w:p w14:paraId="7542A58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730" w:type="dxa"/>
            <w:noWrap w:val="0"/>
            <w:vAlign w:val="center"/>
          </w:tcPr>
          <w:p w14:paraId="1A0E83F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679B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7BBAA64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398" w:type="dxa"/>
            <w:noWrap w:val="0"/>
            <w:vAlign w:val="center"/>
          </w:tcPr>
          <w:p w14:paraId="67FE3C78">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音频处理器</w:t>
            </w:r>
          </w:p>
        </w:tc>
        <w:tc>
          <w:tcPr>
            <w:tcW w:w="5738" w:type="dxa"/>
            <w:noWrap w:val="0"/>
            <w:vAlign w:val="center"/>
          </w:tcPr>
          <w:p w14:paraId="71A8C3AB">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1.模拟输入通道：≥4；</w:t>
            </w:r>
          </w:p>
          <w:p w14:paraId="5C295E1B">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2.功率放大器：≥4x150W8ohms；</w:t>
            </w:r>
          </w:p>
          <w:p w14:paraId="706EC3C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3.DSP处理能力：≥400MIPS，1.6GFLOPS；</w:t>
            </w:r>
          </w:p>
          <w:p w14:paraId="7AB87FCD">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4.采样率：48kHz，±100ppm；</w:t>
            </w:r>
          </w:p>
          <w:p w14:paraId="1DDAC186">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5.输入动态范围：≥110dB；</w:t>
            </w:r>
          </w:p>
          <w:p w14:paraId="1A1CE22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6.输出动态范围：≥112dB；</w:t>
            </w:r>
          </w:p>
          <w:p w14:paraId="02F294B6">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7.两通道独立AEC，尾长时间：≥512ms，收敛率：≥60dB/S，回声消除幅度：≥60dB；</w:t>
            </w:r>
          </w:p>
          <w:p w14:paraId="311792ED">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8.独立通道的AFC（反馈抑制），采用陷波式算法，传声增益提升幅度：≥10dB；</w:t>
            </w:r>
          </w:p>
          <w:p w14:paraId="4A0CC3F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9.噪声抑制（ANS），信噪比提升≥18dB；</w:t>
            </w:r>
          </w:p>
          <w:p w14:paraId="4A9E31AE">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10.内置两进两出的USB声卡，支持音乐播放、录制和软视频会议，如ZOOM、腾讯会议、钉钉会议等。</w:t>
            </w:r>
          </w:p>
          <w:p w14:paraId="66BF379F">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11.≥8段英式参量均衡，提供≥5种滤波器选择；</w:t>
            </w:r>
          </w:p>
          <w:p w14:paraId="39498D3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12.具有中央控制功能，支持RS232、RS485、UDP三种控制方式，可对系统中的电源、信号切换、环境控制、音频等整体控制，实现一键开启系统所需要的功能。</w:t>
            </w:r>
          </w:p>
        </w:tc>
        <w:tc>
          <w:tcPr>
            <w:tcW w:w="793" w:type="dxa"/>
            <w:noWrap w:val="0"/>
            <w:vAlign w:val="center"/>
          </w:tcPr>
          <w:p w14:paraId="5DC5589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730" w:type="dxa"/>
            <w:noWrap w:val="0"/>
            <w:vAlign w:val="center"/>
          </w:tcPr>
          <w:p w14:paraId="382CA018">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49C71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73C8DDB8">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398" w:type="dxa"/>
            <w:noWrap w:val="0"/>
            <w:vAlign w:val="center"/>
          </w:tcPr>
          <w:p w14:paraId="0E96141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壁挂音箱</w:t>
            </w:r>
          </w:p>
        </w:tc>
        <w:tc>
          <w:tcPr>
            <w:tcW w:w="5738" w:type="dxa"/>
            <w:noWrap w:val="0"/>
            <w:vAlign w:val="center"/>
          </w:tcPr>
          <w:p w14:paraId="17F823C1">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1.单元组成：≥1x6.5"低音，1x1”高音；</w:t>
            </w:r>
          </w:p>
          <w:p w14:paraId="36F89360">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2.频率响应：≥70Hz—20KHz；</w:t>
            </w:r>
          </w:p>
          <w:p w14:paraId="79D63D30">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3.额定阻抗：≥8Ω；</w:t>
            </w:r>
          </w:p>
          <w:p w14:paraId="4051D998">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4.额定功率：≥80W；</w:t>
            </w:r>
          </w:p>
          <w:p w14:paraId="618563A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5.最大功率：≥160W；</w:t>
            </w:r>
          </w:p>
          <w:p w14:paraId="305AAC1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6.灵敏度：≥90dB；</w:t>
            </w:r>
          </w:p>
        </w:tc>
        <w:tc>
          <w:tcPr>
            <w:tcW w:w="793" w:type="dxa"/>
            <w:noWrap w:val="0"/>
            <w:vAlign w:val="center"/>
          </w:tcPr>
          <w:p w14:paraId="4290F51F">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730" w:type="dxa"/>
            <w:noWrap w:val="0"/>
            <w:vAlign w:val="center"/>
          </w:tcPr>
          <w:p w14:paraId="483DB91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r>
      <w:tr w14:paraId="54C1D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7361C30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398" w:type="dxa"/>
            <w:noWrap w:val="0"/>
            <w:vAlign w:val="center"/>
          </w:tcPr>
          <w:p w14:paraId="33A5958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八口POE交换机</w:t>
            </w:r>
          </w:p>
        </w:tc>
        <w:tc>
          <w:tcPr>
            <w:tcW w:w="5738" w:type="dxa"/>
            <w:noWrap w:val="0"/>
            <w:vAlign w:val="center"/>
          </w:tcPr>
          <w:p w14:paraId="027249C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1.交换容量：≥20Gbps，包转发率：≥14.88Mpps；</w:t>
            </w:r>
          </w:p>
          <w:p w14:paraId="7CC7E593">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2.≥9个10/100/1000Mbps自适应电口（其中≥8个支持POE/POE+，整机PoE最大输出功率≥70W，单端口最大输出功率≥35W），≥1个SFP千兆光口；</w:t>
            </w:r>
          </w:p>
          <w:p w14:paraId="761BBC0A">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3.支持广播风暴抑制、MAC地址过滤、端口限速等功能；</w:t>
            </w:r>
          </w:p>
        </w:tc>
        <w:tc>
          <w:tcPr>
            <w:tcW w:w="793" w:type="dxa"/>
            <w:noWrap w:val="0"/>
            <w:vAlign w:val="center"/>
          </w:tcPr>
          <w:p w14:paraId="4A7C57C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730" w:type="dxa"/>
            <w:noWrap w:val="0"/>
            <w:vAlign w:val="center"/>
          </w:tcPr>
          <w:p w14:paraId="3AC22A0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r>
      <w:tr w14:paraId="0991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49C03DB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17</w:t>
            </w:r>
          </w:p>
        </w:tc>
        <w:tc>
          <w:tcPr>
            <w:tcW w:w="1398" w:type="dxa"/>
            <w:noWrap w:val="0"/>
            <w:vAlign w:val="center"/>
          </w:tcPr>
          <w:p w14:paraId="254EBDB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定制实训工位</w:t>
            </w:r>
          </w:p>
        </w:tc>
        <w:tc>
          <w:tcPr>
            <w:tcW w:w="5738" w:type="dxa"/>
            <w:noWrap w:val="0"/>
            <w:vAlign w:val="center"/>
          </w:tcPr>
          <w:p w14:paraId="7CFB7E4D">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1.尺寸：≥1200</w:t>
            </w:r>
            <w:r>
              <w:rPr>
                <w:rFonts w:hint="eastAsia" w:ascii="宋体" w:hAnsi="宋体" w:cs="宋体"/>
                <w:i w:val="0"/>
                <w:iCs w:val="0"/>
                <w:color w:val="auto"/>
                <w:kern w:val="0"/>
                <w:sz w:val="24"/>
                <w:szCs w:val="24"/>
                <w:u w:val="none"/>
                <w:lang w:val="en-US" w:eastAsia="zh-CN" w:bidi="ar"/>
              </w:rPr>
              <w:t>mm</w:t>
            </w:r>
            <w:r>
              <w:rPr>
                <w:rFonts w:hint="eastAsia" w:ascii="宋体" w:hAnsi="宋体" w:eastAsia="宋体" w:cs="宋体"/>
                <w:i w:val="0"/>
                <w:iCs w:val="0"/>
                <w:color w:val="auto"/>
                <w:kern w:val="0"/>
                <w:sz w:val="24"/>
                <w:szCs w:val="24"/>
                <w:u w:val="none"/>
                <w:lang w:val="en-US" w:eastAsia="zh-CN" w:bidi="ar"/>
              </w:rPr>
              <w:t>*600</w:t>
            </w:r>
            <w:r>
              <w:rPr>
                <w:rFonts w:hint="eastAsia" w:ascii="宋体" w:hAnsi="宋体" w:cs="宋体"/>
                <w:i w:val="0"/>
                <w:iCs w:val="0"/>
                <w:color w:val="auto"/>
                <w:kern w:val="0"/>
                <w:sz w:val="24"/>
                <w:szCs w:val="24"/>
                <w:u w:val="none"/>
                <w:lang w:val="en-US" w:eastAsia="zh-CN" w:bidi="ar"/>
              </w:rPr>
              <w:t>mm</w:t>
            </w:r>
            <w:r>
              <w:rPr>
                <w:rFonts w:hint="eastAsia" w:ascii="宋体" w:hAnsi="宋体" w:eastAsia="宋体" w:cs="宋体"/>
                <w:i w:val="0"/>
                <w:iCs w:val="0"/>
                <w:color w:val="auto"/>
                <w:kern w:val="0"/>
                <w:sz w:val="24"/>
                <w:szCs w:val="24"/>
                <w:u w:val="none"/>
                <w:lang w:val="en-US" w:eastAsia="zh-CN" w:bidi="ar"/>
              </w:rPr>
              <w:t>*750</w:t>
            </w:r>
            <w:r>
              <w:rPr>
                <w:rFonts w:hint="eastAsia" w:ascii="宋体" w:hAnsi="宋体" w:cs="宋体"/>
                <w:i w:val="0"/>
                <w:iCs w:val="0"/>
                <w:color w:val="auto"/>
                <w:kern w:val="0"/>
                <w:sz w:val="24"/>
                <w:szCs w:val="24"/>
                <w:u w:val="none"/>
                <w:lang w:val="en-US" w:eastAsia="zh-CN" w:bidi="ar"/>
              </w:rPr>
              <w:t>mm</w:t>
            </w:r>
            <w:r>
              <w:rPr>
                <w:rFonts w:hint="eastAsia" w:ascii="宋体" w:hAnsi="宋体" w:eastAsia="宋体" w:cs="宋体"/>
                <w:i w:val="0"/>
                <w:iCs w:val="0"/>
                <w:color w:val="auto"/>
                <w:kern w:val="0"/>
                <w:sz w:val="24"/>
                <w:szCs w:val="24"/>
                <w:u w:val="none"/>
                <w:lang w:val="en-US" w:eastAsia="zh-CN" w:bidi="ar"/>
              </w:rPr>
              <w:t>；</w:t>
            </w:r>
            <w:r>
              <w:rPr>
                <w:rFonts w:hint="eastAsia" w:ascii="宋体" w:hAnsi="宋体" w:cs="宋体"/>
                <w:i w:val="0"/>
                <w:iCs w:val="0"/>
                <w:color w:val="auto"/>
                <w:kern w:val="0"/>
                <w:sz w:val="24"/>
                <w:szCs w:val="24"/>
                <w:u w:val="none"/>
                <w:lang w:val="en-US" w:eastAsia="zh-CN" w:bidi="ar"/>
              </w:rPr>
              <w:t>（长*宽*高）</w:t>
            </w:r>
          </w:p>
          <w:p w14:paraId="5F566F80">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2.桌面：E1级环保板材，厚度为≥25</w:t>
            </w:r>
            <w:r>
              <w:rPr>
                <w:rFonts w:hint="eastAsia" w:ascii="宋体" w:hAnsi="宋体" w:cs="宋体"/>
                <w:i w:val="0"/>
                <w:iCs w:val="0"/>
                <w:color w:val="auto"/>
                <w:kern w:val="0"/>
                <w:sz w:val="24"/>
                <w:szCs w:val="24"/>
                <w:u w:val="none"/>
                <w:lang w:val="en-US" w:eastAsia="zh-CN" w:bidi="ar"/>
              </w:rPr>
              <w:t>mm</w:t>
            </w:r>
            <w:r>
              <w:rPr>
                <w:rFonts w:hint="eastAsia" w:ascii="宋体" w:hAnsi="宋体" w:eastAsia="宋体" w:cs="宋体"/>
                <w:i w:val="0"/>
                <w:iCs w:val="0"/>
                <w:color w:val="auto"/>
                <w:kern w:val="0"/>
                <w:sz w:val="24"/>
                <w:szCs w:val="24"/>
                <w:u w:val="none"/>
                <w:lang w:val="en-US" w:eastAsia="zh-CN" w:bidi="ar"/>
              </w:rPr>
              <w:t>，内材经过防虫、防腐的化学处理，强度高、刚性好、不变形、比重合理；封边：PVC胶边；</w:t>
            </w:r>
          </w:p>
          <w:p w14:paraId="327FA3C1">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3.桌架：带电源线槽和网络布线槽，支架采用≥1.5*5cm钢管弯曲焊接，上框采用≥2*2cm方管焊接。</w:t>
            </w:r>
          </w:p>
          <w:p w14:paraId="5C6C89AC">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4.挡板：采用优质冷轧板折弯焊接，整体支架经过磷化除锈，喷涂高温处理，耐久不掉色</w:t>
            </w:r>
          </w:p>
          <w:p w14:paraId="4AB9C76D">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5.木板颜色：多色可选或提供样品色定制；</w:t>
            </w:r>
          </w:p>
          <w:p w14:paraId="2E94E1B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6.桌子配3面围挡，隔板采用木质，前挡板采用磨砂钢化玻璃。</w:t>
            </w:r>
          </w:p>
          <w:p w14:paraId="3A036215">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7.椅子：</w:t>
            </w:r>
          </w:p>
          <w:p w14:paraId="5F55432B">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（1）钢木结构，尺寸规格：≥340*240*450</w:t>
            </w:r>
            <w:r>
              <w:rPr>
                <w:rFonts w:hint="eastAsia" w:ascii="宋体" w:hAnsi="宋体" w:cs="宋体"/>
                <w:i w:val="0"/>
                <w:iCs w:val="0"/>
                <w:color w:val="auto"/>
                <w:kern w:val="0"/>
                <w:sz w:val="24"/>
                <w:szCs w:val="24"/>
                <w:u w:val="none"/>
                <w:lang w:val="en-US" w:eastAsia="zh-CN" w:bidi="ar"/>
              </w:rPr>
              <w:t>mm</w:t>
            </w:r>
            <w:r>
              <w:rPr>
                <w:rFonts w:hint="eastAsia" w:ascii="宋体" w:hAnsi="宋体" w:eastAsia="宋体" w:cs="宋体"/>
                <w:i w:val="0"/>
                <w:iCs w:val="0"/>
                <w:color w:val="auto"/>
                <w:kern w:val="0"/>
                <w:sz w:val="24"/>
                <w:szCs w:val="24"/>
                <w:u w:val="none"/>
                <w:lang w:val="en-US" w:eastAsia="zh-CN" w:bidi="ar"/>
              </w:rPr>
              <w:t>（长*宽*高）</w:t>
            </w:r>
          </w:p>
          <w:p w14:paraId="62490FDD">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（2）凳面为三聚氰胺面板，厚度≥18</w:t>
            </w:r>
            <w:r>
              <w:rPr>
                <w:rFonts w:hint="eastAsia" w:ascii="宋体" w:hAnsi="宋体" w:cs="宋体"/>
                <w:i w:val="0"/>
                <w:iCs w:val="0"/>
                <w:color w:val="auto"/>
                <w:kern w:val="0"/>
                <w:sz w:val="24"/>
                <w:szCs w:val="24"/>
                <w:u w:val="none"/>
                <w:lang w:val="en-US" w:eastAsia="zh-CN" w:bidi="ar"/>
              </w:rPr>
              <w:t>mm</w:t>
            </w:r>
            <w:r>
              <w:rPr>
                <w:rFonts w:hint="eastAsia" w:ascii="宋体" w:hAnsi="宋体" w:eastAsia="宋体" w:cs="宋体"/>
                <w:i w:val="0"/>
                <w:iCs w:val="0"/>
                <w:color w:val="auto"/>
                <w:kern w:val="0"/>
                <w:sz w:val="24"/>
                <w:szCs w:val="24"/>
                <w:u w:val="none"/>
                <w:lang w:val="en-US" w:eastAsia="zh-CN" w:bidi="ar"/>
              </w:rPr>
              <w:t>，做工精细，表面光滑，美观大方，</w:t>
            </w:r>
          </w:p>
          <w:p w14:paraId="41B1FFC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（3）凳腿部件材质为喷塑钢架≥25*25*1.0</w:t>
            </w:r>
            <w:r>
              <w:rPr>
                <w:rFonts w:hint="eastAsia" w:ascii="宋体" w:hAnsi="宋体" w:cs="宋体"/>
                <w:i w:val="0"/>
                <w:iCs w:val="0"/>
                <w:color w:val="auto"/>
                <w:kern w:val="0"/>
                <w:sz w:val="24"/>
                <w:szCs w:val="24"/>
                <w:u w:val="none"/>
                <w:lang w:val="en-US" w:eastAsia="zh-CN" w:bidi="ar"/>
              </w:rPr>
              <w:t>mm</w:t>
            </w:r>
            <w:r>
              <w:rPr>
                <w:rFonts w:hint="eastAsia" w:ascii="宋体" w:hAnsi="宋体" w:eastAsia="宋体" w:cs="宋体"/>
                <w:i w:val="0"/>
                <w:iCs w:val="0"/>
                <w:color w:val="auto"/>
                <w:kern w:val="0"/>
                <w:sz w:val="24"/>
                <w:szCs w:val="24"/>
                <w:u w:val="none"/>
                <w:lang w:val="en-US" w:eastAsia="zh-CN" w:bidi="ar"/>
              </w:rPr>
              <w:t>，配尼龙方管塞，坚固耐用。</w:t>
            </w:r>
          </w:p>
        </w:tc>
        <w:tc>
          <w:tcPr>
            <w:tcW w:w="793" w:type="dxa"/>
            <w:noWrap w:val="0"/>
            <w:vAlign w:val="center"/>
          </w:tcPr>
          <w:p w14:paraId="06DA6760">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140</w:t>
            </w:r>
          </w:p>
        </w:tc>
        <w:tc>
          <w:tcPr>
            <w:tcW w:w="730" w:type="dxa"/>
            <w:noWrap w:val="0"/>
            <w:vAlign w:val="center"/>
          </w:tcPr>
          <w:p w14:paraId="7355C76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r>
      <w:tr w14:paraId="2AE53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749AD20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18</w:t>
            </w:r>
          </w:p>
        </w:tc>
        <w:tc>
          <w:tcPr>
            <w:tcW w:w="1398" w:type="dxa"/>
            <w:noWrap w:val="0"/>
            <w:vAlign w:val="center"/>
          </w:tcPr>
          <w:p w14:paraId="45E6ECF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多功能实训台</w:t>
            </w:r>
          </w:p>
        </w:tc>
        <w:tc>
          <w:tcPr>
            <w:tcW w:w="5738" w:type="dxa"/>
            <w:noWrap w:val="0"/>
            <w:vAlign w:val="center"/>
          </w:tcPr>
          <w:p w14:paraId="01B77084">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1.台架：采用≥50mm*25mm方管≥1.2mm厚优质冷轧钢管；</w:t>
            </w:r>
          </w:p>
          <w:p w14:paraId="1442D419">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2.横梁：采用≥50mm圆管≥1.2mm厚优质冷轧钢管；</w:t>
            </w:r>
          </w:p>
          <w:p w14:paraId="7744FC7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3.两边顶托铁片≥3.0mm厚；</w:t>
            </w:r>
          </w:p>
          <w:p w14:paraId="5C9800E6">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4.书网：采用≥12mm圆管</w:t>
            </w:r>
            <w:r>
              <w:rPr>
                <w:rFonts w:hint="eastAsia" w:ascii="宋体" w:hAnsi="宋体" w:cs="宋体"/>
                <w:i w:val="0"/>
                <w:iCs w:val="0"/>
                <w:color w:val="auto"/>
                <w:kern w:val="0"/>
                <w:sz w:val="24"/>
                <w:szCs w:val="24"/>
                <w:u w:val="none"/>
                <w:lang w:val="en-US" w:eastAsia="zh-CN" w:bidi="ar"/>
              </w:rPr>
              <w:t>，厚度不低于</w:t>
            </w:r>
            <w:r>
              <w:rPr>
                <w:rFonts w:hint="eastAsia" w:ascii="宋体" w:hAnsi="宋体" w:eastAsia="宋体" w:cs="宋体"/>
                <w:i w:val="0"/>
                <w:iCs w:val="0"/>
                <w:color w:val="auto"/>
                <w:kern w:val="0"/>
                <w:sz w:val="24"/>
                <w:szCs w:val="24"/>
                <w:u w:val="none"/>
                <w:lang w:val="en-US" w:eastAsia="zh-CN" w:bidi="ar"/>
              </w:rPr>
              <w:t>1.0mm优质冷轧钢管；表面处理经酸洗、磷化、脱脂，高温静电喷涂防锈处理；</w:t>
            </w:r>
          </w:p>
          <w:p w14:paraId="176318F2">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5.台面≥1200mm*400mm，采用≥25mm厚E1级环保刨花板基材三胺板，颜色可选配；</w:t>
            </w:r>
          </w:p>
          <w:p w14:paraId="414E981D">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6.前挡板采用≥15mm厚E1级刨花板基材，颜色可选配。</w:t>
            </w:r>
          </w:p>
          <w:p w14:paraId="6DFB7B4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7.桌架两侧有ABS塑料旋钮，任何一侧轻轻旋转便可折叠桌面</w:t>
            </w:r>
          </w:p>
          <w:p w14:paraId="11B79EBE">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8.脚轮配有旋钮，可手动调节高低，调节范围≥1.5cm，确保拼接平整</w:t>
            </w:r>
          </w:p>
          <w:p w14:paraId="1C8E8D30">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9.带工位座位：</w:t>
            </w:r>
          </w:p>
          <w:p w14:paraId="2BBD4C00">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（1）椅背：全新PP+30%玻纤材质，耐磨透气网布</w:t>
            </w:r>
          </w:p>
          <w:p w14:paraId="779ACE3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（2）椅座：高弹力舒适海绵，高弹力透气坐布</w:t>
            </w:r>
          </w:p>
          <w:p w14:paraId="5B2719D2">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（3）扶手：PA+30%玻纤，固定扶手</w:t>
            </w:r>
          </w:p>
        </w:tc>
        <w:tc>
          <w:tcPr>
            <w:tcW w:w="793" w:type="dxa"/>
            <w:noWrap w:val="0"/>
            <w:vAlign w:val="center"/>
          </w:tcPr>
          <w:p w14:paraId="3826AB3F">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50</w:t>
            </w:r>
          </w:p>
        </w:tc>
        <w:tc>
          <w:tcPr>
            <w:tcW w:w="730" w:type="dxa"/>
            <w:noWrap w:val="0"/>
            <w:vAlign w:val="center"/>
          </w:tcPr>
          <w:p w14:paraId="7E3DD600">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r>
      <w:tr w14:paraId="6B590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2E12DE9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398" w:type="dxa"/>
            <w:noWrap w:val="0"/>
            <w:vAlign w:val="center"/>
          </w:tcPr>
          <w:p w14:paraId="5145FF8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教师实训教学操作台</w:t>
            </w:r>
          </w:p>
        </w:tc>
        <w:tc>
          <w:tcPr>
            <w:tcW w:w="5738" w:type="dxa"/>
            <w:noWrap w:val="0"/>
            <w:vAlign w:val="center"/>
          </w:tcPr>
          <w:p w14:paraId="3D9D0C15">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1.产品尺寸L*W*H（mm）：≥1100*650*1100mm(±5mm)；桌面离地高度（含脚杯）：≥890mm(±5mm)</w:t>
            </w:r>
          </w:p>
          <w:p w14:paraId="3937B167">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2.钢木结合，讲桌上下层钣金采用</w:t>
            </w:r>
            <w:r>
              <w:rPr>
                <w:rFonts w:hint="eastAsia" w:ascii="宋体" w:hAnsi="宋体" w:cs="宋体"/>
                <w:i w:val="0"/>
                <w:iCs w:val="0"/>
                <w:color w:val="auto"/>
                <w:kern w:val="0"/>
                <w:sz w:val="24"/>
                <w:szCs w:val="24"/>
                <w:u w:val="none"/>
                <w:lang w:val="en-US" w:eastAsia="zh-CN" w:bidi="ar"/>
              </w:rPr>
              <w:t>厚度</w:t>
            </w:r>
            <w:r>
              <w:rPr>
                <w:rFonts w:hint="eastAsia" w:ascii="宋体" w:hAnsi="宋体" w:eastAsia="宋体" w:cs="宋体"/>
                <w:i w:val="0"/>
                <w:iCs w:val="0"/>
                <w:color w:val="auto"/>
                <w:kern w:val="0"/>
                <w:sz w:val="24"/>
                <w:szCs w:val="24"/>
                <w:u w:val="none"/>
                <w:lang w:val="en-US" w:eastAsia="zh-CN" w:bidi="ar"/>
              </w:rPr>
              <w:t>≥1.0mm冷轧钢板，保证产品的结构稳定性。钣金零件全部都通过酸洗磷化喷涂后再进行高温烘烤，可以有效防锈；讲桌喷涂细致，颗粒均匀；桌面采用不低于18</w:t>
            </w:r>
            <w:r>
              <w:rPr>
                <w:rFonts w:hint="eastAsia" w:ascii="宋体" w:hAnsi="宋体" w:cs="宋体"/>
                <w:i w:val="0"/>
                <w:iCs w:val="0"/>
                <w:color w:val="auto"/>
                <w:kern w:val="0"/>
                <w:sz w:val="24"/>
                <w:szCs w:val="24"/>
                <w:u w:val="none"/>
                <w:lang w:val="en-US" w:eastAsia="zh-CN" w:bidi="ar"/>
              </w:rPr>
              <w:t>mm</w:t>
            </w:r>
            <w:r>
              <w:rPr>
                <w:rFonts w:hint="eastAsia" w:ascii="宋体" w:hAnsi="宋体" w:eastAsia="宋体" w:cs="宋体"/>
                <w:i w:val="0"/>
                <w:iCs w:val="0"/>
                <w:color w:val="auto"/>
                <w:kern w:val="0"/>
                <w:sz w:val="24"/>
                <w:szCs w:val="24"/>
                <w:u w:val="none"/>
                <w:lang w:val="en-US" w:eastAsia="zh-CN" w:bidi="ar"/>
              </w:rPr>
              <w:t>木质耐刮材料。</w:t>
            </w:r>
          </w:p>
          <w:p w14:paraId="35C76C93">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整体采用环抱式设计，前面采用前倾式结构设计。讲桌采用上下分层设计，上层围边采用厚度≥18mm的厚度木质材料；三面围边都高出桌面，前面最高不低于≥200mm，左右最高不低于≥170mm；钣金连接固定结合处无明显缝隙设计工艺；下层中间为可整体拆卸的维修门，方便用户维修设备，通过柜锁锁住；上层木质部分可安装学校的LOGO；</w:t>
            </w:r>
          </w:p>
          <w:p w14:paraId="15CD946E">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4.布局设计：桌面整体平整设计，为教学教具提供更大放置区域；桌面预留直径≥50mm过线孔，旁边配置≥86盒，盒内预留强电插座*1，USB充电口</w:t>
            </w:r>
            <w:r>
              <w:rPr>
                <w:rFonts w:hint="eastAsia" w:ascii="宋体" w:hAnsi="宋体" w:cs="宋体"/>
                <w:i w:val="0"/>
                <w:iCs w:val="0"/>
                <w:color w:val="auto"/>
                <w:kern w:val="0"/>
                <w:sz w:val="24"/>
                <w:szCs w:val="24"/>
                <w:u w:val="none"/>
                <w:lang w:val="en-US" w:eastAsia="zh-CN" w:bidi="ar"/>
              </w:rPr>
              <w:t>不少于</w:t>
            </w:r>
            <w:r>
              <w:rPr>
                <w:rFonts w:hint="eastAsia" w:ascii="宋体" w:hAnsi="宋体" w:eastAsia="宋体" w:cs="宋体"/>
                <w:i w:val="0"/>
                <w:iCs w:val="0"/>
                <w:color w:val="auto"/>
                <w:kern w:val="0"/>
                <w:sz w:val="24"/>
                <w:szCs w:val="24"/>
                <w:u w:val="none"/>
                <w:lang w:val="en-US" w:eastAsia="zh-CN" w:bidi="ar"/>
              </w:rPr>
              <w:t>2</w:t>
            </w:r>
            <w:r>
              <w:rPr>
                <w:rFonts w:hint="eastAsia" w:ascii="宋体" w:hAnsi="宋体" w:cs="宋体"/>
                <w:i w:val="0"/>
                <w:iCs w:val="0"/>
                <w:color w:val="auto"/>
                <w:kern w:val="0"/>
                <w:sz w:val="24"/>
                <w:szCs w:val="24"/>
                <w:u w:val="none"/>
                <w:lang w:val="en-US" w:eastAsia="zh-CN" w:bidi="ar"/>
              </w:rPr>
              <w:t>个</w:t>
            </w:r>
            <w:r>
              <w:rPr>
                <w:rFonts w:hint="eastAsia" w:ascii="宋体" w:hAnsi="宋体" w:eastAsia="宋体" w:cs="宋体"/>
                <w:i w:val="0"/>
                <w:iCs w:val="0"/>
                <w:color w:val="auto"/>
                <w:kern w:val="0"/>
                <w:sz w:val="24"/>
                <w:szCs w:val="24"/>
                <w:u w:val="none"/>
                <w:lang w:val="en-US" w:eastAsia="zh-CN" w:bidi="ar"/>
              </w:rPr>
              <w:t>，方便笔记本的教学使用；设计抽屉，可放置教学教具，抽屉采用加厚钢珠静音导轨，材料厚度为≥1.2mm。</w:t>
            </w:r>
          </w:p>
          <w:p w14:paraId="7B84458E">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5.机柜：标准钣金机柜设计，机柜的安装空间≥12U；前后门方便运维。</w:t>
            </w:r>
          </w:p>
          <w:p w14:paraId="3AA607F5">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6.实训教学操作台座位：</w:t>
            </w:r>
          </w:p>
          <w:p w14:paraId="078BA924">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（1）椅背：舒适透气</w:t>
            </w:r>
            <w:r>
              <w:rPr>
                <w:rFonts w:hint="eastAsia" w:ascii="宋体" w:hAnsi="宋体" w:cs="宋体"/>
                <w:i w:val="0"/>
                <w:iCs w:val="0"/>
                <w:color w:val="auto"/>
                <w:kern w:val="0"/>
                <w:sz w:val="24"/>
                <w:szCs w:val="24"/>
                <w:u w:val="none"/>
                <w:lang w:val="en-US" w:eastAsia="zh-CN" w:bidi="ar"/>
              </w:rPr>
              <w:t>的</w:t>
            </w:r>
            <w:r>
              <w:rPr>
                <w:rFonts w:hint="eastAsia" w:ascii="宋体" w:hAnsi="宋体" w:eastAsia="宋体" w:cs="宋体"/>
                <w:i w:val="0"/>
                <w:iCs w:val="0"/>
                <w:color w:val="auto"/>
                <w:kern w:val="0"/>
                <w:sz w:val="24"/>
                <w:szCs w:val="24"/>
                <w:u w:val="none"/>
                <w:lang w:val="en-US" w:eastAsia="zh-CN" w:bidi="ar"/>
              </w:rPr>
              <w:t>耐磨网布；背框</w:t>
            </w:r>
            <w:r>
              <w:rPr>
                <w:rFonts w:hint="eastAsia" w:ascii="宋体" w:hAnsi="宋体" w:cs="宋体"/>
                <w:i w:val="0"/>
                <w:iCs w:val="0"/>
                <w:color w:val="auto"/>
                <w:kern w:val="0"/>
                <w:sz w:val="24"/>
                <w:szCs w:val="24"/>
                <w:u w:val="none"/>
                <w:lang w:val="en-US" w:eastAsia="zh-CN" w:bidi="ar"/>
              </w:rPr>
              <w:t>为</w:t>
            </w:r>
            <w:r>
              <w:rPr>
                <w:rFonts w:hint="eastAsia" w:ascii="宋体" w:hAnsi="宋体" w:eastAsia="宋体" w:cs="宋体"/>
                <w:i w:val="0"/>
                <w:iCs w:val="0"/>
                <w:color w:val="auto"/>
                <w:kern w:val="0"/>
                <w:sz w:val="24"/>
                <w:szCs w:val="24"/>
                <w:u w:val="none"/>
                <w:lang w:val="en-US" w:eastAsia="zh-CN" w:bidi="ar"/>
              </w:rPr>
              <w:t>PA材质，自由升降悬浮腰靠，升降适配教师身高，宽厚承托结构</w:t>
            </w:r>
            <w:r>
              <w:rPr>
                <w:rFonts w:hint="eastAsia" w:ascii="宋体" w:hAnsi="宋体" w:cs="宋体"/>
                <w:i w:val="0"/>
                <w:iCs w:val="0"/>
                <w:color w:val="auto"/>
                <w:kern w:val="0"/>
                <w:sz w:val="24"/>
                <w:szCs w:val="24"/>
                <w:u w:val="none"/>
                <w:lang w:val="en-US" w:eastAsia="zh-CN" w:bidi="ar"/>
              </w:rPr>
              <w:t>符合人体工学设计</w:t>
            </w:r>
            <w:r>
              <w:rPr>
                <w:rFonts w:hint="eastAsia" w:ascii="宋体" w:hAnsi="宋体" w:eastAsia="宋体" w:cs="宋体"/>
                <w:i w:val="0"/>
                <w:iCs w:val="0"/>
                <w:color w:val="auto"/>
                <w:kern w:val="0"/>
                <w:sz w:val="24"/>
                <w:szCs w:val="24"/>
                <w:u w:val="none"/>
                <w:lang w:val="en-US" w:eastAsia="zh-CN" w:bidi="ar"/>
              </w:rPr>
              <w:t>。</w:t>
            </w:r>
          </w:p>
          <w:p w14:paraId="61126E5C">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（2）扶手：可上下调节，≥7档上下升降</w:t>
            </w:r>
            <w:r>
              <w:rPr>
                <w:rFonts w:hint="eastAsia" w:ascii="宋体" w:hAnsi="宋体" w:cs="宋体"/>
                <w:i w:val="0"/>
                <w:iCs w:val="0"/>
                <w:color w:val="auto"/>
                <w:kern w:val="0"/>
                <w:sz w:val="24"/>
                <w:szCs w:val="24"/>
                <w:u w:val="none"/>
                <w:lang w:val="en-US" w:eastAsia="zh-CN" w:bidi="ar"/>
              </w:rPr>
              <w:t>；</w:t>
            </w:r>
          </w:p>
          <w:p w14:paraId="6C827166">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（3）椅座：座垫采用高密度定型海绵</w:t>
            </w:r>
          </w:p>
          <w:p w14:paraId="36519347">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（4）底盘：底盘单手柄≥3档锁定，升降调节</w:t>
            </w:r>
          </w:p>
          <w:p w14:paraId="189803A1">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（5）气杆：</w:t>
            </w:r>
            <w:r>
              <w:rPr>
                <w:rFonts w:hint="eastAsia" w:ascii="宋体" w:hAnsi="宋体" w:cs="宋体"/>
                <w:i w:val="0"/>
                <w:iCs w:val="0"/>
                <w:color w:val="auto"/>
                <w:kern w:val="0"/>
                <w:sz w:val="24"/>
                <w:szCs w:val="24"/>
                <w:u w:val="none"/>
                <w:lang w:val="en-US" w:eastAsia="zh-CN" w:bidi="ar"/>
              </w:rPr>
              <w:t>不低于</w:t>
            </w:r>
            <w:r>
              <w:rPr>
                <w:rFonts w:hint="eastAsia" w:ascii="宋体" w:hAnsi="宋体" w:eastAsia="宋体" w:cs="宋体"/>
                <w:i w:val="0"/>
                <w:iCs w:val="0"/>
                <w:color w:val="auto"/>
                <w:kern w:val="0"/>
                <w:sz w:val="24"/>
                <w:szCs w:val="24"/>
                <w:u w:val="none"/>
                <w:lang w:val="en-US" w:eastAsia="zh-CN" w:bidi="ar"/>
              </w:rPr>
              <w:t>三级防爆气压棒，行程≥100mm</w:t>
            </w:r>
          </w:p>
          <w:p w14:paraId="20F1EE71">
            <w:pPr>
              <w:keepNext w:val="0"/>
              <w:keepLines w:val="0"/>
              <w:widowControl/>
              <w:numPr>
                <w:ilvl w:val="0"/>
                <w:numId w:val="0"/>
              </w:numPr>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（6）椅脚：≥R340mm尼龙五星脚，≥Φ60mmPU面尼龙轮</w:t>
            </w:r>
          </w:p>
        </w:tc>
        <w:tc>
          <w:tcPr>
            <w:tcW w:w="793" w:type="dxa"/>
            <w:noWrap w:val="0"/>
            <w:vAlign w:val="center"/>
          </w:tcPr>
          <w:p w14:paraId="1CD1A37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730" w:type="dxa"/>
            <w:noWrap w:val="0"/>
            <w:vAlign w:val="center"/>
          </w:tcPr>
          <w:p w14:paraId="3A0E653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套</w:t>
            </w:r>
          </w:p>
        </w:tc>
      </w:tr>
      <w:tr w14:paraId="01FE1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286BB96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398" w:type="dxa"/>
            <w:noWrap w:val="0"/>
            <w:vAlign w:val="center"/>
          </w:tcPr>
          <w:p w14:paraId="66E29F8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24口千兆交换机</w:t>
            </w:r>
          </w:p>
        </w:tc>
        <w:tc>
          <w:tcPr>
            <w:tcW w:w="5738" w:type="dxa"/>
            <w:noWrap w:val="0"/>
            <w:vAlign w:val="center"/>
          </w:tcPr>
          <w:p w14:paraId="5BEB6F12">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1.交换容量≥598Gbps/5.98Tbps，包转发率≥108Mpps/144Mpps，整机功耗≤21W</w:t>
            </w:r>
          </w:p>
          <w:p w14:paraId="7B97AC16">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2.端口类型≥24个千兆电口，≥4个1000千兆光口</w:t>
            </w:r>
          </w:p>
        </w:tc>
        <w:tc>
          <w:tcPr>
            <w:tcW w:w="793" w:type="dxa"/>
            <w:noWrap w:val="0"/>
            <w:vAlign w:val="center"/>
          </w:tcPr>
          <w:p w14:paraId="1A8B65F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w:t>
            </w:r>
          </w:p>
        </w:tc>
        <w:tc>
          <w:tcPr>
            <w:tcW w:w="730" w:type="dxa"/>
            <w:noWrap w:val="0"/>
            <w:vAlign w:val="center"/>
          </w:tcPr>
          <w:p w14:paraId="12A0B41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台</w:t>
            </w:r>
          </w:p>
        </w:tc>
      </w:tr>
      <w:tr w14:paraId="5FCCB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62645540">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398" w:type="dxa"/>
            <w:noWrap w:val="0"/>
            <w:vAlign w:val="center"/>
          </w:tcPr>
          <w:p w14:paraId="0342FF4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千兆光模块</w:t>
            </w:r>
          </w:p>
        </w:tc>
        <w:tc>
          <w:tcPr>
            <w:tcW w:w="5738" w:type="dxa"/>
            <w:noWrap w:val="0"/>
            <w:vAlign w:val="center"/>
          </w:tcPr>
          <w:p w14:paraId="04ED3A7B">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支持≥1.25Gbps传输速率，千兆光模块</w:t>
            </w:r>
          </w:p>
        </w:tc>
        <w:tc>
          <w:tcPr>
            <w:tcW w:w="793" w:type="dxa"/>
            <w:noWrap w:val="0"/>
            <w:vAlign w:val="center"/>
          </w:tcPr>
          <w:p w14:paraId="401BAF2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w:t>
            </w:r>
          </w:p>
        </w:tc>
        <w:tc>
          <w:tcPr>
            <w:tcW w:w="730" w:type="dxa"/>
            <w:noWrap w:val="0"/>
            <w:vAlign w:val="center"/>
          </w:tcPr>
          <w:p w14:paraId="4665DF3C">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对</w:t>
            </w:r>
          </w:p>
        </w:tc>
      </w:tr>
      <w:tr w14:paraId="7F232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237764AD">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w:t>
            </w:r>
          </w:p>
        </w:tc>
        <w:tc>
          <w:tcPr>
            <w:tcW w:w="1398" w:type="dxa"/>
            <w:noWrap w:val="0"/>
            <w:vAlign w:val="center"/>
          </w:tcPr>
          <w:p w14:paraId="3408964E">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电源稳压设备</w:t>
            </w:r>
          </w:p>
        </w:tc>
        <w:tc>
          <w:tcPr>
            <w:tcW w:w="5738" w:type="dxa"/>
            <w:noWrap w:val="0"/>
            <w:vAlign w:val="center"/>
          </w:tcPr>
          <w:p w14:paraId="5467C371">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1.额定功率：≥20kVA；</w:t>
            </w:r>
          </w:p>
          <w:p w14:paraId="2BB26EAE">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2.输入电压范围：160V—250V；</w:t>
            </w:r>
          </w:p>
          <w:p w14:paraId="3B88F9F1">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3.输出电压：220V±4%；</w:t>
            </w:r>
          </w:p>
          <w:p w14:paraId="17C0B30E">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4.过压保护：246V±4V；</w:t>
            </w:r>
          </w:p>
          <w:p w14:paraId="4C8B9AE2">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5.保护功能：具有过压保护、欠压保护、过流保护、延时保护；</w:t>
            </w:r>
          </w:p>
          <w:p w14:paraId="45A2032B">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6.效率：＞90%；</w:t>
            </w:r>
          </w:p>
          <w:p w14:paraId="5381DDE8">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7.调压速度：＜1秒（输入电压变化10%时）；</w:t>
            </w:r>
          </w:p>
        </w:tc>
        <w:tc>
          <w:tcPr>
            <w:tcW w:w="793" w:type="dxa"/>
            <w:noWrap w:val="0"/>
            <w:vAlign w:val="center"/>
          </w:tcPr>
          <w:p w14:paraId="797ECDD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730" w:type="dxa"/>
            <w:noWrap w:val="0"/>
            <w:vAlign w:val="center"/>
          </w:tcPr>
          <w:p w14:paraId="3244592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r>
      <w:tr w14:paraId="34F7B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065AABF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23</w:t>
            </w:r>
          </w:p>
        </w:tc>
        <w:tc>
          <w:tcPr>
            <w:tcW w:w="1398" w:type="dxa"/>
            <w:noWrap w:val="0"/>
            <w:vAlign w:val="center"/>
          </w:tcPr>
          <w:p w14:paraId="639A6EF4">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机柜</w:t>
            </w:r>
          </w:p>
        </w:tc>
        <w:tc>
          <w:tcPr>
            <w:tcW w:w="5738" w:type="dxa"/>
            <w:noWrap w:val="0"/>
            <w:vAlign w:val="center"/>
          </w:tcPr>
          <w:p w14:paraId="05D75A66">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1.尺寸不低于：高度2200mm，宽度800mm，深度1000mm；</w:t>
            </w:r>
          </w:p>
          <w:p w14:paraId="5EBDE4E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2.材质</w:t>
            </w:r>
            <w:r>
              <w:rPr>
                <w:rFonts w:hint="eastAsia" w:ascii="宋体" w:hAnsi="宋体" w:cs="宋体"/>
                <w:i w:val="0"/>
                <w:iCs w:val="0"/>
                <w:color w:val="auto"/>
                <w:kern w:val="0"/>
                <w:sz w:val="24"/>
                <w:szCs w:val="24"/>
                <w:u w:val="none"/>
                <w:lang w:val="en-US" w:eastAsia="zh-CN" w:bidi="ar"/>
              </w:rPr>
              <w:t>：</w:t>
            </w:r>
            <w:r>
              <w:rPr>
                <w:rFonts w:hint="eastAsia" w:ascii="宋体" w:hAnsi="宋体" w:eastAsia="宋体" w:cs="宋体"/>
                <w:i w:val="0"/>
                <w:iCs w:val="0"/>
                <w:color w:val="auto"/>
                <w:kern w:val="0"/>
                <w:sz w:val="24"/>
                <w:szCs w:val="24"/>
                <w:u w:val="none"/>
                <w:lang w:val="en-US" w:eastAsia="zh-CN" w:bidi="ar"/>
              </w:rPr>
              <w:t>冷轧钢板</w:t>
            </w:r>
            <w:r>
              <w:rPr>
                <w:rFonts w:hint="eastAsia" w:ascii="宋体" w:hAnsi="宋体" w:cs="宋体"/>
                <w:i w:val="0"/>
                <w:iCs w:val="0"/>
                <w:color w:val="auto"/>
                <w:kern w:val="0"/>
                <w:sz w:val="24"/>
                <w:szCs w:val="24"/>
                <w:u w:val="none"/>
                <w:lang w:val="en-US" w:eastAsia="zh-CN" w:bidi="ar"/>
              </w:rPr>
              <w:t>，厚度</w:t>
            </w:r>
            <w:r>
              <w:rPr>
                <w:rFonts w:hint="eastAsia" w:ascii="宋体" w:hAnsi="宋体" w:eastAsia="宋体" w:cs="宋体"/>
                <w:i w:val="0"/>
                <w:iCs w:val="0"/>
                <w:color w:val="auto"/>
                <w:kern w:val="0"/>
                <w:sz w:val="24"/>
                <w:szCs w:val="24"/>
                <w:u w:val="none"/>
                <w:lang w:val="en-US" w:eastAsia="zh-CN" w:bidi="ar"/>
              </w:rPr>
              <w:t>≥1.</w:t>
            </w:r>
            <w:r>
              <w:rPr>
                <w:rFonts w:hint="eastAsia" w:ascii="宋体" w:hAnsi="宋体" w:cs="宋体"/>
                <w:i w:val="0"/>
                <w:iCs w:val="0"/>
                <w:color w:val="auto"/>
                <w:kern w:val="0"/>
                <w:sz w:val="24"/>
                <w:szCs w:val="24"/>
                <w:u w:val="none"/>
                <w:lang w:val="en-US" w:eastAsia="zh-CN" w:bidi="ar"/>
              </w:rPr>
              <w:t>2</w:t>
            </w:r>
            <w:r>
              <w:rPr>
                <w:rFonts w:hint="eastAsia" w:ascii="宋体" w:hAnsi="宋体" w:eastAsia="宋体" w:cs="宋体"/>
                <w:i w:val="0"/>
                <w:iCs w:val="0"/>
                <w:color w:val="auto"/>
                <w:kern w:val="0"/>
                <w:sz w:val="24"/>
                <w:szCs w:val="24"/>
                <w:u w:val="none"/>
                <w:lang w:val="en-US" w:eastAsia="zh-CN" w:bidi="ar"/>
              </w:rPr>
              <w:t>mm。</w:t>
            </w:r>
          </w:p>
        </w:tc>
        <w:tc>
          <w:tcPr>
            <w:tcW w:w="793" w:type="dxa"/>
            <w:noWrap w:val="0"/>
            <w:vAlign w:val="center"/>
          </w:tcPr>
          <w:p w14:paraId="6B5E7CA2">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730" w:type="dxa"/>
            <w:noWrap w:val="0"/>
            <w:vAlign w:val="center"/>
          </w:tcPr>
          <w:p w14:paraId="32761657">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w:t>
            </w:r>
          </w:p>
        </w:tc>
      </w:tr>
      <w:tr w14:paraId="2A405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72FDD5C9">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24</w:t>
            </w:r>
          </w:p>
        </w:tc>
        <w:tc>
          <w:tcPr>
            <w:tcW w:w="1398" w:type="dxa"/>
            <w:noWrap w:val="0"/>
            <w:vAlign w:val="center"/>
          </w:tcPr>
          <w:p w14:paraId="6CF38E95">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系统集成</w:t>
            </w:r>
          </w:p>
        </w:tc>
        <w:tc>
          <w:tcPr>
            <w:tcW w:w="5738" w:type="dxa"/>
            <w:noWrap w:val="0"/>
            <w:vAlign w:val="center"/>
          </w:tcPr>
          <w:p w14:paraId="455070F7">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设备及软件的运输、固定安装、调试等，并包含安装所需的支架、螺丝以及HDMI线、</w:t>
            </w:r>
            <w:r>
              <w:rPr>
                <w:rFonts w:hint="eastAsia" w:ascii="宋体" w:hAnsi="宋体" w:cs="宋体"/>
                <w:i w:val="0"/>
                <w:iCs w:val="0"/>
                <w:color w:val="auto"/>
                <w:kern w:val="0"/>
                <w:sz w:val="24"/>
                <w:szCs w:val="24"/>
                <w:u w:val="none"/>
                <w:lang w:val="en-US" w:eastAsia="zh-CN" w:bidi="ar"/>
              </w:rPr>
              <w:t>音频线、</w:t>
            </w:r>
            <w:r>
              <w:rPr>
                <w:rFonts w:hint="eastAsia" w:ascii="宋体" w:hAnsi="宋体" w:eastAsia="宋体" w:cs="宋体"/>
                <w:i w:val="0"/>
                <w:iCs w:val="0"/>
                <w:color w:val="auto"/>
                <w:kern w:val="0"/>
                <w:sz w:val="24"/>
                <w:szCs w:val="24"/>
                <w:u w:val="none"/>
                <w:lang w:val="en-US" w:eastAsia="zh-CN" w:bidi="ar"/>
              </w:rPr>
              <w:t>网线</w:t>
            </w:r>
            <w:r>
              <w:rPr>
                <w:rFonts w:hint="eastAsia" w:ascii="宋体" w:hAnsi="宋体" w:cs="宋体"/>
                <w:i w:val="0"/>
                <w:iCs w:val="0"/>
                <w:color w:val="auto"/>
                <w:kern w:val="0"/>
                <w:sz w:val="24"/>
                <w:szCs w:val="24"/>
                <w:u w:val="none"/>
                <w:lang w:val="en-US" w:eastAsia="zh-CN" w:bidi="ar"/>
              </w:rPr>
              <w:t>、电源线</w:t>
            </w:r>
            <w:r>
              <w:rPr>
                <w:rFonts w:hint="eastAsia" w:ascii="宋体" w:hAnsi="宋体" w:eastAsia="宋体" w:cs="宋体"/>
                <w:i w:val="0"/>
                <w:iCs w:val="0"/>
                <w:color w:val="auto"/>
                <w:kern w:val="0"/>
                <w:sz w:val="24"/>
                <w:szCs w:val="24"/>
                <w:u w:val="none"/>
                <w:lang w:val="en-US" w:eastAsia="zh-CN" w:bidi="ar"/>
              </w:rPr>
              <w:t>等全部辅材配件、线材及人工等。</w:t>
            </w:r>
          </w:p>
        </w:tc>
        <w:tc>
          <w:tcPr>
            <w:tcW w:w="793" w:type="dxa"/>
            <w:noWrap w:val="0"/>
            <w:vAlign w:val="center"/>
          </w:tcPr>
          <w:p w14:paraId="315B8063">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730" w:type="dxa"/>
            <w:noWrap w:val="0"/>
            <w:vAlign w:val="center"/>
          </w:tcPr>
          <w:p w14:paraId="05128B2F">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项</w:t>
            </w:r>
          </w:p>
        </w:tc>
      </w:tr>
      <w:tr w14:paraId="1F6C8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7" w:type="dxa"/>
            <w:noWrap w:val="0"/>
            <w:vAlign w:val="center"/>
          </w:tcPr>
          <w:p w14:paraId="406D414E">
            <w:pPr>
              <w:keepNext w:val="0"/>
              <w:keepLines w:val="0"/>
              <w:widowControl/>
              <w:suppressLineNumbers w:val="0"/>
              <w:snapToGrid w:val="0"/>
              <w:spacing w:line="240" w:lineRule="auto"/>
              <w:ind w:left="0" w:leftChars="0" w:right="0" w:rightChars="0" w:firstLine="0" w:firstLineChars="0"/>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25</w:t>
            </w:r>
          </w:p>
        </w:tc>
        <w:tc>
          <w:tcPr>
            <w:tcW w:w="1398" w:type="dxa"/>
            <w:noWrap w:val="0"/>
            <w:vAlign w:val="center"/>
          </w:tcPr>
          <w:p w14:paraId="234DCB7A">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实训教学环境优化</w:t>
            </w:r>
          </w:p>
        </w:tc>
        <w:tc>
          <w:tcPr>
            <w:tcW w:w="5738" w:type="dxa"/>
            <w:noWrap w:val="0"/>
            <w:vAlign w:val="center"/>
          </w:tcPr>
          <w:p w14:paraId="20E08334">
            <w:pPr>
              <w:keepNext w:val="0"/>
              <w:keepLines w:val="0"/>
              <w:widowControl/>
              <w:suppressLineNumbers w:val="0"/>
              <w:snapToGrid w:val="0"/>
              <w:spacing w:line="240" w:lineRule="auto"/>
              <w:ind w:left="0" w:leftChars="0" w:right="0" w:rightChars="0" w:firstLine="0" w:firstLineChars="0"/>
              <w:jc w:val="left"/>
              <w:textAlignment w:val="center"/>
            </w:pPr>
            <w:r>
              <w:rPr>
                <w:rFonts w:hint="eastAsia" w:ascii="宋体" w:hAnsi="宋体" w:eastAsia="宋体" w:cs="宋体"/>
                <w:i w:val="0"/>
                <w:iCs w:val="0"/>
                <w:color w:val="auto"/>
                <w:kern w:val="0"/>
                <w:sz w:val="24"/>
                <w:szCs w:val="24"/>
                <w:u w:val="none"/>
                <w:lang w:val="en-US" w:eastAsia="zh-CN" w:bidi="ar"/>
              </w:rPr>
              <w:t>包含局部环境基础改造、文化氛围提升所需的文化设计、实施材料与人工等。</w:t>
            </w:r>
          </w:p>
          <w:p w14:paraId="24B53BA9">
            <w:pPr>
              <w:keepNext w:val="0"/>
              <w:keepLines w:val="0"/>
              <w:widowControl/>
              <w:suppressLineNumbers w:val="0"/>
              <w:snapToGrid w:val="0"/>
              <w:spacing w:line="240" w:lineRule="auto"/>
              <w:ind w:left="0" w:leftChars="0" w:right="0" w:rightChars="0" w:firstLine="0" w:firstLineChars="0"/>
              <w:jc w:val="left"/>
              <w:textAlignment w:val="center"/>
              <w:rPr>
                <w:rFonts w:hint="eastAsia" w:ascii="宋体" w:hAnsi="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具体</w:t>
            </w:r>
            <w:r>
              <w:rPr>
                <w:rFonts w:hint="eastAsia" w:ascii="宋体" w:hAnsi="宋体" w:cs="宋体"/>
                <w:i w:val="0"/>
                <w:iCs w:val="0"/>
                <w:color w:val="auto"/>
                <w:kern w:val="0"/>
                <w:sz w:val="24"/>
                <w:szCs w:val="24"/>
                <w:u w:val="none"/>
                <w:lang w:val="en-US" w:eastAsia="zh-CN" w:bidi="ar"/>
              </w:rPr>
              <w:t>如下</w:t>
            </w:r>
            <w:r>
              <w:rPr>
                <w:rFonts w:hint="eastAsia" w:ascii="宋体" w:hAnsi="宋体" w:eastAsia="宋体" w:cs="宋体"/>
                <w:i w:val="0"/>
                <w:iCs w:val="0"/>
                <w:color w:val="auto"/>
                <w:kern w:val="0"/>
                <w:sz w:val="24"/>
                <w:szCs w:val="24"/>
                <w:u w:val="none"/>
                <w:lang w:val="en-US" w:eastAsia="zh-CN" w:bidi="ar"/>
              </w:rPr>
              <w:t>：所有数量仅为初步估算，实际数量以现场实施为准。如有未涉及部分，以实际所需为准</w:t>
            </w:r>
            <w:r>
              <w:rPr>
                <w:rFonts w:hint="eastAsia" w:ascii="宋体" w:hAnsi="宋体" w:cs="宋体"/>
                <w:i w:val="0"/>
                <w:iCs w:val="0"/>
                <w:color w:val="auto"/>
                <w:kern w:val="0"/>
                <w:sz w:val="24"/>
                <w:szCs w:val="24"/>
                <w:u w:val="none"/>
                <w:lang w:val="en-US" w:eastAsia="zh-CN" w:bidi="ar"/>
              </w:rPr>
              <w:t>。</w:t>
            </w:r>
          </w:p>
          <w:p w14:paraId="5DC412A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color w:val="1F2329"/>
                <w:sz w:val="24"/>
                <w:szCs w:val="24"/>
              </w:rPr>
            </w:pPr>
            <w:r>
              <w:rPr>
                <w:rStyle w:val="24"/>
                <w:b/>
                <w:bCs/>
                <w:color w:val="1F2329"/>
                <w:sz w:val="24"/>
                <w:szCs w:val="24"/>
              </w:rPr>
              <w:t>墙面装饰拆除</w:t>
            </w:r>
            <w:r>
              <w:rPr>
                <w:color w:val="1F2329"/>
                <w:sz w:val="24"/>
                <w:szCs w:val="24"/>
              </w:rPr>
              <w:t>：</w:t>
            </w:r>
            <w:r>
              <w:rPr>
                <w:rFonts w:hint="eastAsia"/>
                <w:color w:val="1F2329"/>
                <w:sz w:val="24"/>
                <w:szCs w:val="24"/>
                <w:lang w:val="en-US" w:eastAsia="zh-CN"/>
              </w:rPr>
              <w:t>不少于5间教室约</w:t>
            </w:r>
            <w:r>
              <w:rPr>
                <w:color w:val="1F2329"/>
                <w:sz w:val="24"/>
                <w:szCs w:val="24"/>
              </w:rPr>
              <w:t>1</w:t>
            </w:r>
            <w:r>
              <w:rPr>
                <w:rFonts w:hint="eastAsia"/>
                <w:color w:val="1F2329"/>
                <w:sz w:val="24"/>
                <w:szCs w:val="24"/>
                <w:lang w:val="en-US" w:eastAsia="zh-CN"/>
              </w:rPr>
              <w:t>10</w:t>
            </w:r>
            <w:r>
              <w:rPr>
                <w:color w:val="1F2329"/>
                <w:sz w:val="24"/>
                <w:szCs w:val="24"/>
              </w:rPr>
              <w:t>0平方，现有天花板、墙面装修、地面地胶拆除</w:t>
            </w:r>
            <w:r>
              <w:rPr>
                <w:rFonts w:hint="eastAsia"/>
                <w:color w:val="1F2329"/>
                <w:sz w:val="24"/>
                <w:szCs w:val="24"/>
                <w:lang w:eastAsia="zh-CN"/>
              </w:rPr>
              <w:t>；</w:t>
            </w:r>
          </w:p>
          <w:p w14:paraId="359593B3">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color w:val="1F2329"/>
                <w:sz w:val="24"/>
                <w:szCs w:val="24"/>
              </w:rPr>
            </w:pPr>
            <w:r>
              <w:rPr>
                <w:rStyle w:val="24"/>
                <w:rFonts w:hint="eastAsia"/>
                <w:b/>
                <w:bCs/>
                <w:color w:val="1F2329"/>
                <w:sz w:val="24"/>
                <w:szCs w:val="24"/>
                <w:lang w:val="en-US" w:eastAsia="zh-CN"/>
              </w:rPr>
              <w:t>室内</w:t>
            </w:r>
            <w:r>
              <w:rPr>
                <w:rStyle w:val="24"/>
                <w:b/>
                <w:bCs/>
                <w:color w:val="1F2329"/>
                <w:sz w:val="24"/>
                <w:szCs w:val="24"/>
              </w:rPr>
              <w:t>地板</w:t>
            </w:r>
            <w:r>
              <w:rPr>
                <w:color w:val="1F2329"/>
                <w:sz w:val="24"/>
                <w:szCs w:val="24"/>
              </w:rPr>
              <w:t>：</w:t>
            </w:r>
            <w:r>
              <w:rPr>
                <w:rFonts w:hint="eastAsia"/>
                <w:color w:val="1F2329"/>
                <w:sz w:val="24"/>
                <w:szCs w:val="24"/>
                <w:lang w:val="en-US" w:eastAsia="zh-CN"/>
              </w:rPr>
              <w:t>不低于</w:t>
            </w:r>
            <w:r>
              <w:rPr>
                <w:color w:val="1F2329"/>
                <w:sz w:val="24"/>
                <w:szCs w:val="24"/>
              </w:rPr>
              <w:t>36</w:t>
            </w:r>
            <w:r>
              <w:rPr>
                <w:rFonts w:hint="eastAsia"/>
                <w:color w:val="1F2329"/>
                <w:sz w:val="24"/>
                <w:szCs w:val="24"/>
                <w:lang w:val="en-US" w:eastAsia="zh-CN"/>
              </w:rPr>
              <w:t>0</w:t>
            </w:r>
            <w:r>
              <w:rPr>
                <w:color w:val="1F2329"/>
                <w:sz w:val="24"/>
                <w:szCs w:val="24"/>
              </w:rPr>
              <w:t>平方，</w:t>
            </w:r>
            <w:r>
              <w:rPr>
                <w:rFonts w:hint="eastAsia"/>
                <w:color w:val="1F2329"/>
                <w:sz w:val="24"/>
                <w:szCs w:val="24"/>
                <w:lang w:val="en-US" w:eastAsia="zh-CN"/>
              </w:rPr>
              <w:t>材质木地板，</w:t>
            </w:r>
            <w:r>
              <w:rPr>
                <w:rFonts w:hint="eastAsia"/>
                <w:color w:val="1F2329"/>
                <w:sz w:val="24"/>
                <w:szCs w:val="24"/>
              </w:rPr>
              <w:t>长度：800</w:t>
            </w:r>
            <w:r>
              <w:rPr>
                <w:rFonts w:hint="eastAsia"/>
                <w:color w:val="1F2329"/>
                <w:sz w:val="24"/>
                <w:szCs w:val="24"/>
                <w:lang w:val="en-US" w:eastAsia="zh-CN"/>
              </w:rPr>
              <w:t>-</w:t>
            </w:r>
            <w:r>
              <w:rPr>
                <w:rFonts w:hint="eastAsia"/>
                <w:color w:val="1F2329"/>
                <w:sz w:val="24"/>
                <w:szCs w:val="24"/>
              </w:rPr>
              <w:t>900mm、宽度：120-150mm、厚度：</w:t>
            </w:r>
            <w:r>
              <w:rPr>
                <w:rFonts w:hint="eastAsia"/>
                <w:color w:val="1F2329"/>
                <w:sz w:val="24"/>
                <w:szCs w:val="24"/>
                <w:lang w:val="en-US" w:eastAsia="zh-CN"/>
              </w:rPr>
              <w:t>不低于</w:t>
            </w:r>
            <w:r>
              <w:rPr>
                <w:rFonts w:hint="eastAsia"/>
                <w:color w:val="1F2329"/>
                <w:sz w:val="24"/>
                <w:szCs w:val="24"/>
              </w:rPr>
              <w:t>12mm</w:t>
            </w:r>
            <w:r>
              <w:rPr>
                <w:rFonts w:hint="eastAsia"/>
                <w:color w:val="1F2329"/>
                <w:sz w:val="24"/>
                <w:szCs w:val="24"/>
                <w:lang w:val="en-US" w:eastAsia="zh-CN"/>
              </w:rPr>
              <w:t>；</w:t>
            </w:r>
          </w:p>
          <w:p w14:paraId="7F5CEED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color w:val="1F2329"/>
                <w:sz w:val="24"/>
                <w:szCs w:val="24"/>
              </w:rPr>
            </w:pPr>
            <w:r>
              <w:rPr>
                <w:rStyle w:val="24"/>
                <w:b/>
                <w:bCs/>
                <w:color w:val="1F2329"/>
                <w:sz w:val="24"/>
                <w:szCs w:val="24"/>
              </w:rPr>
              <w:t>墙面刷漆</w:t>
            </w:r>
            <w:r>
              <w:rPr>
                <w:color w:val="1F2329"/>
                <w:sz w:val="24"/>
                <w:szCs w:val="24"/>
              </w:rPr>
              <w:t>：</w:t>
            </w:r>
            <w:r>
              <w:rPr>
                <w:rFonts w:hint="eastAsia"/>
                <w:color w:val="1F2329"/>
                <w:sz w:val="24"/>
                <w:szCs w:val="24"/>
                <w:lang w:val="en-US" w:eastAsia="zh-CN"/>
              </w:rPr>
              <w:t>不低于</w:t>
            </w:r>
            <w:r>
              <w:rPr>
                <w:color w:val="1F2329"/>
                <w:sz w:val="24"/>
                <w:szCs w:val="24"/>
              </w:rPr>
              <w:t>5</w:t>
            </w:r>
            <w:r>
              <w:rPr>
                <w:rFonts w:hint="eastAsia"/>
                <w:color w:val="1F2329"/>
                <w:sz w:val="24"/>
                <w:szCs w:val="24"/>
                <w:lang w:val="en-US" w:eastAsia="zh-CN"/>
              </w:rPr>
              <w:t>50</w:t>
            </w:r>
            <w:r>
              <w:rPr>
                <w:color w:val="1F2329"/>
                <w:sz w:val="24"/>
                <w:szCs w:val="24"/>
              </w:rPr>
              <w:t>平方，墙面刷白</w:t>
            </w:r>
            <w:r>
              <w:rPr>
                <w:rFonts w:hint="eastAsia"/>
                <w:color w:val="1F2329"/>
                <w:sz w:val="24"/>
                <w:szCs w:val="24"/>
                <w:lang w:eastAsia="zh-CN"/>
              </w:rPr>
              <w:t>；</w:t>
            </w:r>
          </w:p>
          <w:p w14:paraId="491929C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color w:val="1F2329"/>
                <w:sz w:val="24"/>
                <w:szCs w:val="24"/>
              </w:rPr>
            </w:pPr>
            <w:r>
              <w:rPr>
                <w:rStyle w:val="24"/>
                <w:b/>
                <w:bCs/>
                <w:color w:val="1F2329"/>
                <w:sz w:val="24"/>
                <w:szCs w:val="24"/>
              </w:rPr>
              <w:t>天花板吊顶</w:t>
            </w:r>
            <w:r>
              <w:rPr>
                <w:color w:val="1F2329"/>
                <w:sz w:val="24"/>
                <w:szCs w:val="24"/>
              </w:rPr>
              <w:t>：</w:t>
            </w:r>
            <w:r>
              <w:rPr>
                <w:rFonts w:hint="eastAsia"/>
                <w:color w:val="1F2329"/>
                <w:sz w:val="24"/>
                <w:szCs w:val="24"/>
                <w:lang w:val="en-US" w:eastAsia="zh-CN"/>
              </w:rPr>
              <w:t>不低于</w:t>
            </w:r>
            <w:r>
              <w:rPr>
                <w:color w:val="1F2329"/>
                <w:sz w:val="24"/>
                <w:szCs w:val="24"/>
              </w:rPr>
              <w:t>36</w:t>
            </w:r>
            <w:r>
              <w:rPr>
                <w:rFonts w:hint="eastAsia"/>
                <w:color w:val="1F2329"/>
                <w:sz w:val="24"/>
                <w:szCs w:val="24"/>
                <w:lang w:val="en-US" w:eastAsia="zh-CN"/>
              </w:rPr>
              <w:t>0</w:t>
            </w:r>
            <w:r>
              <w:rPr>
                <w:color w:val="1F2329"/>
                <w:sz w:val="24"/>
                <w:szCs w:val="24"/>
              </w:rPr>
              <w:t>平方，</w:t>
            </w:r>
            <w:r>
              <w:rPr>
                <w:rFonts w:hint="eastAsia"/>
                <w:color w:val="1F2329"/>
                <w:sz w:val="24"/>
                <w:szCs w:val="24"/>
                <w:lang w:val="en-US" w:eastAsia="zh-CN"/>
              </w:rPr>
              <w:t>规格不低于</w:t>
            </w:r>
            <w:r>
              <w:rPr>
                <w:color w:val="1F2329"/>
                <w:sz w:val="24"/>
                <w:szCs w:val="24"/>
              </w:rPr>
              <w:t>600</w:t>
            </w:r>
            <w:r>
              <w:rPr>
                <w:rFonts w:hint="eastAsia"/>
                <w:color w:val="1F2329"/>
                <w:sz w:val="24"/>
                <w:szCs w:val="24"/>
                <w:lang w:val="en-US" w:eastAsia="zh-CN"/>
              </w:rPr>
              <w:t>mm</w:t>
            </w:r>
            <w:r>
              <w:rPr>
                <w:color w:val="1F2329"/>
                <w:sz w:val="24"/>
                <w:szCs w:val="24"/>
              </w:rPr>
              <w:t>*600</w:t>
            </w:r>
            <w:r>
              <w:rPr>
                <w:rFonts w:hint="eastAsia"/>
                <w:color w:val="1F2329"/>
                <w:sz w:val="24"/>
                <w:szCs w:val="24"/>
                <w:lang w:val="en-US" w:eastAsia="zh-CN"/>
              </w:rPr>
              <w:t>mm，石膏板材质；</w:t>
            </w:r>
          </w:p>
          <w:p w14:paraId="78F1625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color w:val="auto"/>
                <w:sz w:val="24"/>
                <w:szCs w:val="24"/>
              </w:rPr>
            </w:pPr>
            <w:r>
              <w:rPr>
                <w:rStyle w:val="24"/>
                <w:b/>
                <w:bCs/>
                <w:color w:val="auto"/>
                <w:sz w:val="24"/>
                <w:szCs w:val="24"/>
              </w:rPr>
              <w:t>窗帘</w:t>
            </w:r>
            <w:r>
              <w:rPr>
                <w:color w:val="auto"/>
                <w:sz w:val="24"/>
                <w:szCs w:val="24"/>
              </w:rPr>
              <w:t>：</w:t>
            </w:r>
            <w:r>
              <w:rPr>
                <w:rFonts w:hint="eastAsia"/>
                <w:color w:val="auto"/>
                <w:sz w:val="24"/>
                <w:szCs w:val="24"/>
                <w:lang w:val="en-US" w:eastAsia="zh-CN"/>
              </w:rPr>
              <w:t>不低于</w:t>
            </w:r>
            <w:r>
              <w:rPr>
                <w:color w:val="auto"/>
                <w:sz w:val="24"/>
                <w:szCs w:val="24"/>
              </w:rPr>
              <w:t>20面窗，每面</w:t>
            </w:r>
            <w:r>
              <w:rPr>
                <w:rFonts w:hint="eastAsia"/>
                <w:color w:val="auto"/>
                <w:sz w:val="24"/>
                <w:szCs w:val="24"/>
                <w:lang w:val="en-US" w:eastAsia="zh-CN"/>
              </w:rPr>
              <w:t>不低于3.8</w:t>
            </w:r>
            <w:r>
              <w:rPr>
                <w:color w:val="auto"/>
                <w:sz w:val="24"/>
                <w:szCs w:val="24"/>
              </w:rPr>
              <w:t>平方，总面积</w:t>
            </w:r>
            <w:r>
              <w:rPr>
                <w:rFonts w:hint="eastAsia"/>
                <w:color w:val="auto"/>
                <w:sz w:val="24"/>
                <w:szCs w:val="24"/>
                <w:lang w:val="en-US" w:eastAsia="zh-CN"/>
              </w:rPr>
              <w:t>不低于</w:t>
            </w:r>
            <w:r>
              <w:rPr>
                <w:color w:val="auto"/>
                <w:sz w:val="24"/>
                <w:szCs w:val="24"/>
              </w:rPr>
              <w:t>7</w:t>
            </w:r>
            <w:r>
              <w:rPr>
                <w:rFonts w:hint="eastAsia"/>
                <w:color w:val="auto"/>
                <w:sz w:val="24"/>
                <w:szCs w:val="24"/>
                <w:lang w:val="en-US" w:eastAsia="zh-CN"/>
              </w:rPr>
              <w:t>5</w:t>
            </w:r>
            <w:r>
              <w:rPr>
                <w:color w:val="auto"/>
                <w:sz w:val="24"/>
                <w:szCs w:val="24"/>
              </w:rPr>
              <w:t>平方</w:t>
            </w:r>
            <w:r>
              <w:rPr>
                <w:rFonts w:hint="eastAsia"/>
                <w:color w:val="auto"/>
                <w:sz w:val="24"/>
                <w:szCs w:val="24"/>
                <w:lang w:eastAsia="zh-CN"/>
              </w:rPr>
              <w:t>，</w:t>
            </w:r>
            <w:r>
              <w:rPr>
                <w:rFonts w:hint="eastAsia"/>
                <w:color w:val="auto"/>
                <w:sz w:val="24"/>
                <w:szCs w:val="24"/>
                <w:lang w:val="en-US" w:eastAsia="zh-CN"/>
              </w:rPr>
              <w:t>布质材料</w:t>
            </w:r>
            <w:r>
              <w:rPr>
                <w:color w:val="auto"/>
                <w:sz w:val="24"/>
                <w:szCs w:val="24"/>
              </w:rPr>
              <w:t>；</w:t>
            </w:r>
          </w:p>
          <w:p w14:paraId="0864781B">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color w:val="1F2329"/>
                <w:sz w:val="24"/>
                <w:szCs w:val="24"/>
              </w:rPr>
            </w:pPr>
            <w:r>
              <w:rPr>
                <w:rStyle w:val="24"/>
                <w:b/>
                <w:bCs/>
                <w:color w:val="1F2329"/>
                <w:sz w:val="24"/>
                <w:szCs w:val="24"/>
              </w:rPr>
              <w:t>垃圾清运</w:t>
            </w:r>
            <w:r>
              <w:rPr>
                <w:color w:val="1F2329"/>
                <w:sz w:val="24"/>
                <w:szCs w:val="24"/>
              </w:rPr>
              <w:t>：现场所有拆除和</w:t>
            </w:r>
            <w:r>
              <w:rPr>
                <w:rFonts w:hint="eastAsia"/>
                <w:color w:val="1F2329"/>
                <w:sz w:val="24"/>
                <w:szCs w:val="24"/>
                <w:lang w:val="en-US" w:eastAsia="zh-CN"/>
              </w:rPr>
              <w:t>施工</w:t>
            </w:r>
            <w:r>
              <w:rPr>
                <w:color w:val="1F2329"/>
                <w:sz w:val="24"/>
                <w:szCs w:val="24"/>
              </w:rPr>
              <w:t>后的建筑垃圾</w:t>
            </w:r>
            <w:r>
              <w:rPr>
                <w:rFonts w:hint="eastAsia"/>
                <w:color w:val="1F2329"/>
                <w:sz w:val="24"/>
                <w:szCs w:val="24"/>
                <w:lang w:val="en-US" w:eastAsia="zh-CN"/>
              </w:rPr>
              <w:t>定期、分批</w:t>
            </w:r>
            <w:r>
              <w:rPr>
                <w:color w:val="1F2329"/>
                <w:sz w:val="24"/>
                <w:szCs w:val="24"/>
              </w:rPr>
              <w:t>运出处理</w:t>
            </w:r>
            <w:r>
              <w:rPr>
                <w:rFonts w:hint="eastAsia"/>
                <w:color w:val="1F2329"/>
                <w:sz w:val="24"/>
                <w:szCs w:val="24"/>
                <w:lang w:eastAsia="zh-CN"/>
              </w:rPr>
              <w:t>；</w:t>
            </w:r>
          </w:p>
          <w:p w14:paraId="328C0FF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color w:val="1F2329"/>
                <w:sz w:val="24"/>
                <w:szCs w:val="24"/>
              </w:rPr>
            </w:pPr>
            <w:r>
              <w:rPr>
                <w:rStyle w:val="24"/>
                <w:b/>
                <w:bCs/>
                <w:color w:val="1F2329"/>
                <w:sz w:val="24"/>
                <w:szCs w:val="24"/>
              </w:rPr>
              <w:t>门</w:t>
            </w:r>
            <w:r>
              <w:rPr>
                <w:color w:val="1F2329"/>
                <w:sz w:val="24"/>
                <w:szCs w:val="24"/>
              </w:rPr>
              <w:t>：</w:t>
            </w:r>
            <w:r>
              <w:rPr>
                <w:rFonts w:hint="eastAsia"/>
                <w:color w:val="1F2329"/>
                <w:sz w:val="24"/>
                <w:szCs w:val="24"/>
                <w:lang w:val="en-US" w:eastAsia="zh-CN"/>
              </w:rPr>
              <w:t>现有门体改造不少于8</w:t>
            </w:r>
            <w:r>
              <w:rPr>
                <w:color w:val="1F2329"/>
                <w:sz w:val="24"/>
                <w:szCs w:val="24"/>
              </w:rPr>
              <w:t>扇</w:t>
            </w:r>
            <w:r>
              <w:rPr>
                <w:rFonts w:hint="eastAsia"/>
                <w:color w:val="1F2329"/>
                <w:sz w:val="24"/>
                <w:szCs w:val="24"/>
                <w:lang w:eastAsia="zh-CN"/>
              </w:rPr>
              <w:t>，</w:t>
            </w:r>
            <w:r>
              <w:rPr>
                <w:rFonts w:hint="eastAsia"/>
                <w:color w:val="1F2329"/>
                <w:sz w:val="24"/>
                <w:szCs w:val="24"/>
                <w:lang w:val="en-US" w:eastAsia="zh-CN"/>
              </w:rPr>
              <w:t>新增金属</w:t>
            </w:r>
            <w:r>
              <w:rPr>
                <w:color w:val="1F2329"/>
                <w:sz w:val="24"/>
                <w:szCs w:val="24"/>
              </w:rPr>
              <w:t>门</w:t>
            </w:r>
            <w:r>
              <w:rPr>
                <w:rFonts w:hint="eastAsia"/>
                <w:color w:val="1F2329"/>
                <w:sz w:val="24"/>
                <w:szCs w:val="24"/>
                <w:lang w:val="en-US" w:eastAsia="zh-CN"/>
              </w:rPr>
              <w:t>不少于3扇，</w:t>
            </w:r>
            <w:r>
              <w:rPr>
                <w:rStyle w:val="24"/>
                <w:rFonts w:ascii="宋体" w:hAnsi="宋体" w:eastAsia="宋体" w:cs="宋体"/>
                <w:b w:val="0"/>
                <w:bCs w:val="0"/>
                <w:color w:val="1F2329"/>
                <w:sz w:val="24"/>
                <w:szCs w:val="24"/>
              </w:rPr>
              <w:t>钢质</w:t>
            </w:r>
            <w:r>
              <w:rPr>
                <w:rStyle w:val="24"/>
                <w:rFonts w:hint="eastAsia" w:ascii="宋体" w:hAnsi="宋体" w:eastAsia="宋体" w:cs="宋体"/>
                <w:b w:val="0"/>
                <w:bCs w:val="0"/>
                <w:color w:val="1F2329"/>
                <w:sz w:val="24"/>
                <w:szCs w:val="24"/>
                <w:lang w:eastAsia="zh-CN"/>
              </w:rPr>
              <w:t>，</w:t>
            </w:r>
            <w:r>
              <w:rPr>
                <w:rFonts w:ascii="宋体" w:hAnsi="宋体" w:eastAsia="宋体" w:cs="宋体"/>
                <w:sz w:val="24"/>
                <w:szCs w:val="24"/>
              </w:rPr>
              <w:t>镀锌钢板</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防火等级不低于甲级，防盗等级不低于乙级</w:t>
            </w:r>
            <w:r>
              <w:rPr>
                <w:rFonts w:hint="eastAsia"/>
                <w:color w:val="1F2329"/>
                <w:sz w:val="24"/>
                <w:szCs w:val="24"/>
                <w:lang w:eastAsia="zh-CN"/>
              </w:rPr>
              <w:t>；</w:t>
            </w:r>
          </w:p>
          <w:p w14:paraId="62788CAF">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color w:val="1F2329"/>
                <w:sz w:val="24"/>
                <w:szCs w:val="24"/>
              </w:rPr>
            </w:pPr>
            <w:r>
              <w:rPr>
                <w:rStyle w:val="24"/>
                <w:rFonts w:hint="eastAsia"/>
                <w:b/>
                <w:bCs/>
                <w:color w:val="1F2329"/>
                <w:sz w:val="24"/>
                <w:szCs w:val="24"/>
                <w:lang w:val="en-US" w:eastAsia="zh-CN"/>
              </w:rPr>
              <w:t>护眼</w:t>
            </w:r>
            <w:r>
              <w:rPr>
                <w:rStyle w:val="24"/>
                <w:b/>
                <w:bCs/>
                <w:color w:val="1F2329"/>
                <w:sz w:val="24"/>
                <w:szCs w:val="24"/>
              </w:rPr>
              <w:t>灯具</w:t>
            </w:r>
            <w:r>
              <w:rPr>
                <w:color w:val="1F2329"/>
                <w:sz w:val="24"/>
                <w:szCs w:val="24"/>
              </w:rPr>
              <w:t>：</w:t>
            </w:r>
            <w:r>
              <w:rPr>
                <w:rFonts w:hint="eastAsia"/>
                <w:color w:val="1F2329"/>
                <w:sz w:val="24"/>
                <w:szCs w:val="24"/>
                <w:lang w:val="en-US" w:eastAsia="zh-CN"/>
              </w:rPr>
              <w:t>不低于</w:t>
            </w:r>
            <w:r>
              <w:rPr>
                <w:color w:val="1F2329"/>
                <w:sz w:val="24"/>
                <w:szCs w:val="24"/>
              </w:rPr>
              <w:t>6</w:t>
            </w:r>
            <w:r>
              <w:rPr>
                <w:rFonts w:hint="eastAsia"/>
                <w:color w:val="1F2329"/>
                <w:sz w:val="24"/>
                <w:szCs w:val="24"/>
                <w:lang w:val="en-US" w:eastAsia="zh-CN"/>
              </w:rPr>
              <w:t>0</w:t>
            </w:r>
            <w:r>
              <w:rPr>
                <w:color w:val="1F2329"/>
                <w:sz w:val="24"/>
                <w:szCs w:val="24"/>
              </w:rPr>
              <w:t>个，天花板配套灯具，功率不低于35瓦</w:t>
            </w:r>
            <w:r>
              <w:rPr>
                <w:rFonts w:hint="eastAsia"/>
                <w:color w:val="1F2329"/>
                <w:sz w:val="24"/>
                <w:szCs w:val="24"/>
                <w:lang w:eastAsia="zh-CN"/>
              </w:rPr>
              <w:t>；</w:t>
            </w:r>
          </w:p>
          <w:p w14:paraId="4B9E183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color w:val="1F2329"/>
                <w:sz w:val="24"/>
                <w:szCs w:val="24"/>
              </w:rPr>
            </w:pPr>
            <w:r>
              <w:rPr>
                <w:rStyle w:val="24"/>
                <w:b/>
                <w:bCs/>
                <w:color w:val="1F2329"/>
                <w:sz w:val="24"/>
                <w:szCs w:val="24"/>
              </w:rPr>
              <w:t>实训点位强电</w:t>
            </w:r>
            <w:r>
              <w:rPr>
                <w:color w:val="1F2329"/>
                <w:sz w:val="24"/>
                <w:szCs w:val="24"/>
              </w:rPr>
              <w:t>：</w:t>
            </w:r>
            <w:r>
              <w:rPr>
                <w:rFonts w:hint="eastAsia"/>
                <w:color w:val="1F2329"/>
                <w:sz w:val="24"/>
                <w:szCs w:val="24"/>
                <w:lang w:val="en-US" w:eastAsia="zh-CN"/>
              </w:rPr>
              <w:t>不低于</w:t>
            </w:r>
            <w:r>
              <w:rPr>
                <w:color w:val="1F2329"/>
                <w:sz w:val="24"/>
                <w:szCs w:val="24"/>
              </w:rPr>
              <w:t>800米，根据现场摆放位置，每组一条回路，单独空开控制，</w:t>
            </w:r>
            <w:r>
              <w:rPr>
                <w:rFonts w:hint="eastAsia"/>
                <w:color w:val="1F2329"/>
                <w:sz w:val="24"/>
                <w:szCs w:val="24"/>
                <w:lang w:val="en-US" w:eastAsia="zh-CN"/>
              </w:rPr>
              <w:t>线材规格不低于</w:t>
            </w:r>
            <w:r>
              <w:rPr>
                <w:color w:val="1F2329"/>
                <w:sz w:val="24"/>
                <w:szCs w:val="24"/>
              </w:rPr>
              <w:t>3*</w:t>
            </w:r>
            <w:r>
              <w:rPr>
                <w:rFonts w:hint="eastAsia"/>
                <w:color w:val="1F2329"/>
                <w:sz w:val="24"/>
                <w:szCs w:val="24"/>
                <w:lang w:val="en-US" w:eastAsia="zh-CN"/>
              </w:rPr>
              <w:t>2.5</w:t>
            </w:r>
            <w:r>
              <w:rPr>
                <w:color w:val="1F2329"/>
                <w:sz w:val="24"/>
                <w:szCs w:val="24"/>
              </w:rPr>
              <w:t>平方</w:t>
            </w:r>
            <w:r>
              <w:rPr>
                <w:rFonts w:hint="eastAsia"/>
                <w:color w:val="1F2329"/>
                <w:sz w:val="24"/>
                <w:szCs w:val="24"/>
                <w:lang w:val="en-US" w:eastAsia="zh-CN"/>
              </w:rPr>
              <w:t>电源</w:t>
            </w:r>
            <w:r>
              <w:rPr>
                <w:color w:val="1F2329"/>
                <w:sz w:val="24"/>
                <w:szCs w:val="24"/>
              </w:rPr>
              <w:t>线，每组</w:t>
            </w:r>
            <w:r>
              <w:rPr>
                <w:rFonts w:hint="eastAsia"/>
                <w:color w:val="1F2329"/>
                <w:sz w:val="24"/>
                <w:szCs w:val="24"/>
                <w:lang w:val="en-US" w:eastAsia="zh-CN"/>
              </w:rPr>
              <w:t>负载的终端数量</w:t>
            </w:r>
            <w:r>
              <w:rPr>
                <w:color w:val="1F2329"/>
                <w:sz w:val="24"/>
                <w:szCs w:val="24"/>
              </w:rPr>
              <w:t>不得大于8台</w:t>
            </w:r>
            <w:r>
              <w:rPr>
                <w:rFonts w:hint="eastAsia"/>
                <w:color w:val="1F2329"/>
                <w:sz w:val="24"/>
                <w:szCs w:val="24"/>
                <w:lang w:eastAsia="zh-CN"/>
              </w:rPr>
              <w:t>；</w:t>
            </w:r>
          </w:p>
          <w:p w14:paraId="6C44377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color w:val="1F2329"/>
                <w:sz w:val="24"/>
                <w:szCs w:val="24"/>
              </w:rPr>
            </w:pPr>
            <w:r>
              <w:rPr>
                <w:rStyle w:val="24"/>
                <w:b/>
                <w:bCs/>
                <w:color w:val="1F2329"/>
                <w:sz w:val="24"/>
                <w:szCs w:val="24"/>
              </w:rPr>
              <w:t>强电面板、灯具</w:t>
            </w:r>
            <w:r>
              <w:rPr>
                <w:rStyle w:val="24"/>
                <w:rFonts w:hint="eastAsia"/>
                <w:b/>
                <w:bCs/>
                <w:color w:val="1F2329"/>
                <w:sz w:val="24"/>
                <w:szCs w:val="24"/>
                <w:lang w:val="en-US" w:eastAsia="zh-CN"/>
              </w:rPr>
              <w:t>电源线</w:t>
            </w:r>
            <w:r>
              <w:rPr>
                <w:color w:val="1F2329"/>
                <w:sz w:val="24"/>
                <w:szCs w:val="24"/>
              </w:rPr>
              <w:t>：</w:t>
            </w:r>
            <w:r>
              <w:rPr>
                <w:rFonts w:hint="eastAsia"/>
                <w:color w:val="1F2329"/>
                <w:sz w:val="24"/>
                <w:szCs w:val="24"/>
                <w:lang w:val="en-US" w:eastAsia="zh-CN"/>
              </w:rPr>
              <w:t>不低于</w:t>
            </w:r>
            <w:r>
              <w:rPr>
                <w:color w:val="1F2329"/>
                <w:sz w:val="24"/>
                <w:szCs w:val="24"/>
              </w:rPr>
              <w:t>800米，</w:t>
            </w:r>
            <w:r>
              <w:rPr>
                <w:rFonts w:hint="eastAsia"/>
                <w:color w:val="1F2329"/>
                <w:sz w:val="24"/>
                <w:szCs w:val="24"/>
                <w:lang w:val="en-US" w:eastAsia="zh-CN"/>
              </w:rPr>
              <w:t>线材规格不低于2</w:t>
            </w:r>
            <w:r>
              <w:rPr>
                <w:color w:val="1F2329"/>
                <w:sz w:val="24"/>
                <w:szCs w:val="24"/>
              </w:rPr>
              <w:t>*</w:t>
            </w:r>
            <w:r>
              <w:rPr>
                <w:rFonts w:hint="eastAsia"/>
                <w:color w:val="1F2329"/>
                <w:sz w:val="24"/>
                <w:szCs w:val="24"/>
                <w:lang w:val="en-US" w:eastAsia="zh-CN"/>
              </w:rPr>
              <w:t>1.5</w:t>
            </w:r>
            <w:r>
              <w:rPr>
                <w:color w:val="1F2329"/>
                <w:sz w:val="24"/>
                <w:szCs w:val="24"/>
              </w:rPr>
              <w:t>平方</w:t>
            </w:r>
            <w:r>
              <w:rPr>
                <w:rFonts w:hint="eastAsia"/>
                <w:color w:val="1F2329"/>
                <w:sz w:val="24"/>
                <w:szCs w:val="24"/>
                <w:lang w:val="en-US" w:eastAsia="zh-CN"/>
              </w:rPr>
              <w:t>电源</w:t>
            </w:r>
            <w:r>
              <w:rPr>
                <w:color w:val="1F2329"/>
                <w:sz w:val="24"/>
                <w:szCs w:val="24"/>
              </w:rPr>
              <w:t>线，</w:t>
            </w:r>
            <w:r>
              <w:rPr>
                <w:rFonts w:hint="eastAsia"/>
                <w:color w:val="1F2329"/>
                <w:sz w:val="24"/>
                <w:szCs w:val="24"/>
                <w:lang w:val="en-US" w:eastAsia="zh-CN"/>
              </w:rPr>
              <w:t>实际数量</w:t>
            </w:r>
            <w:r>
              <w:rPr>
                <w:color w:val="1F2329"/>
                <w:sz w:val="24"/>
                <w:szCs w:val="24"/>
              </w:rPr>
              <w:t>根据现场面积和灯具数量核算</w:t>
            </w:r>
            <w:r>
              <w:rPr>
                <w:rFonts w:hint="eastAsia"/>
                <w:color w:val="1F2329"/>
                <w:sz w:val="24"/>
                <w:szCs w:val="24"/>
                <w:lang w:eastAsia="zh-CN"/>
              </w:rPr>
              <w:t>；</w:t>
            </w:r>
          </w:p>
          <w:p w14:paraId="5A89631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color w:val="1F2329"/>
                <w:sz w:val="24"/>
                <w:szCs w:val="24"/>
              </w:rPr>
            </w:pPr>
            <w:r>
              <w:rPr>
                <w:rStyle w:val="24"/>
                <w:b/>
                <w:bCs/>
                <w:color w:val="1F2329"/>
                <w:sz w:val="24"/>
                <w:szCs w:val="24"/>
              </w:rPr>
              <w:t>稳压器供电</w:t>
            </w:r>
            <w:r>
              <w:rPr>
                <w:color w:val="1F2329"/>
                <w:sz w:val="24"/>
                <w:szCs w:val="24"/>
              </w:rPr>
              <w:t>：</w:t>
            </w:r>
            <w:r>
              <w:rPr>
                <w:rFonts w:hint="eastAsia"/>
                <w:color w:val="1F2329"/>
                <w:sz w:val="24"/>
                <w:szCs w:val="24"/>
                <w:lang w:val="en-US" w:eastAsia="zh-CN"/>
              </w:rPr>
              <w:t>不低于</w:t>
            </w:r>
            <w:r>
              <w:rPr>
                <w:color w:val="1F2329"/>
                <w:sz w:val="24"/>
                <w:szCs w:val="24"/>
              </w:rPr>
              <w:t>100米</w:t>
            </w:r>
            <w:r>
              <w:rPr>
                <w:rFonts w:hint="eastAsia"/>
                <w:color w:val="1F2329"/>
                <w:sz w:val="24"/>
                <w:szCs w:val="24"/>
                <w:lang w:eastAsia="zh-CN"/>
              </w:rPr>
              <w:t>，</w:t>
            </w:r>
            <w:r>
              <w:rPr>
                <w:color w:val="1F2329"/>
                <w:sz w:val="24"/>
                <w:szCs w:val="24"/>
              </w:rPr>
              <w:t>各教室每组实训点位供电需经由稳压器输出，稳压器接入户总线，要求稳压器接入电源线不低于3*16平方</w:t>
            </w:r>
            <w:r>
              <w:rPr>
                <w:rFonts w:hint="eastAsia"/>
                <w:color w:val="1F2329"/>
                <w:sz w:val="24"/>
                <w:szCs w:val="24"/>
                <w:lang w:val="en-US" w:eastAsia="zh-CN"/>
              </w:rPr>
              <w:t>电源</w:t>
            </w:r>
            <w:r>
              <w:rPr>
                <w:color w:val="1F2329"/>
                <w:sz w:val="24"/>
                <w:szCs w:val="24"/>
              </w:rPr>
              <w:t>线</w:t>
            </w:r>
            <w:r>
              <w:rPr>
                <w:rFonts w:hint="eastAsia"/>
                <w:color w:val="1F2329"/>
                <w:sz w:val="24"/>
                <w:szCs w:val="24"/>
                <w:lang w:eastAsia="zh-CN"/>
              </w:rPr>
              <w:t>；</w:t>
            </w:r>
          </w:p>
          <w:p w14:paraId="140F429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color w:val="1F2329"/>
                <w:sz w:val="24"/>
                <w:szCs w:val="24"/>
              </w:rPr>
            </w:pPr>
            <w:r>
              <w:rPr>
                <w:rStyle w:val="24"/>
                <w:b/>
                <w:bCs/>
                <w:color w:val="1F2329"/>
                <w:sz w:val="24"/>
                <w:szCs w:val="24"/>
              </w:rPr>
              <w:t>强电箱改造</w:t>
            </w:r>
            <w:r>
              <w:rPr>
                <w:color w:val="1F2329"/>
                <w:sz w:val="24"/>
                <w:szCs w:val="24"/>
              </w:rPr>
              <w:t>：</w:t>
            </w:r>
            <w:r>
              <w:rPr>
                <w:rFonts w:hint="eastAsia"/>
                <w:color w:val="1F2329"/>
                <w:sz w:val="24"/>
                <w:szCs w:val="24"/>
                <w:lang w:val="en-US" w:eastAsia="zh-CN"/>
              </w:rPr>
              <w:t>不低于</w:t>
            </w:r>
            <w:r>
              <w:rPr>
                <w:color w:val="1F2329"/>
                <w:sz w:val="24"/>
                <w:szCs w:val="24"/>
              </w:rPr>
              <w:t>5间</w:t>
            </w:r>
            <w:r>
              <w:rPr>
                <w:rFonts w:hint="eastAsia"/>
                <w:color w:val="1F2329"/>
                <w:sz w:val="24"/>
                <w:szCs w:val="24"/>
                <w:lang w:eastAsia="zh-CN"/>
              </w:rPr>
              <w:t>，</w:t>
            </w:r>
            <w:r>
              <w:rPr>
                <w:color w:val="1F2329"/>
                <w:sz w:val="24"/>
                <w:szCs w:val="24"/>
              </w:rPr>
              <w:t>根据实际情况，对各教室强电箱进行改造</w:t>
            </w:r>
            <w:r>
              <w:rPr>
                <w:rFonts w:hint="eastAsia"/>
                <w:color w:val="1F2329"/>
                <w:sz w:val="24"/>
                <w:szCs w:val="24"/>
                <w:lang w:eastAsia="zh-CN"/>
              </w:rPr>
              <w:t>，</w:t>
            </w:r>
            <w:r>
              <w:rPr>
                <w:rFonts w:hint="eastAsia"/>
                <w:color w:val="1F2329"/>
                <w:sz w:val="24"/>
                <w:szCs w:val="24"/>
                <w:lang w:val="en-US" w:eastAsia="zh-CN"/>
              </w:rPr>
              <w:t>照明、设备及空调等强电线路独立敷设，每间实训室</w:t>
            </w:r>
            <w:r>
              <w:rPr>
                <w:color w:val="1F2329"/>
                <w:sz w:val="24"/>
                <w:szCs w:val="24"/>
              </w:rPr>
              <w:t>提供</w:t>
            </w:r>
            <w:r>
              <w:rPr>
                <w:rFonts w:hint="eastAsia"/>
                <w:color w:val="1F2329"/>
                <w:sz w:val="24"/>
                <w:szCs w:val="24"/>
                <w:lang w:val="en-US" w:eastAsia="zh-CN"/>
              </w:rPr>
              <w:t>独立</w:t>
            </w:r>
            <w:r>
              <w:rPr>
                <w:color w:val="1F2329"/>
                <w:sz w:val="24"/>
                <w:szCs w:val="24"/>
              </w:rPr>
              <w:t>空开和漏保</w:t>
            </w:r>
            <w:r>
              <w:rPr>
                <w:rFonts w:hint="eastAsia"/>
                <w:color w:val="1F2329"/>
                <w:sz w:val="24"/>
                <w:szCs w:val="24"/>
                <w:lang w:eastAsia="zh-CN"/>
              </w:rPr>
              <w:t>；</w:t>
            </w:r>
          </w:p>
          <w:p w14:paraId="269BD54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firstLine="0" w:firstLineChars="0"/>
              <w:jc w:val="left"/>
              <w:rPr>
                <w:rFonts w:hint="eastAsia" w:ascii="宋体" w:hAnsi="宋体" w:cs="宋体"/>
                <w:i w:val="0"/>
                <w:iCs w:val="0"/>
                <w:color w:val="auto"/>
                <w:kern w:val="0"/>
                <w:sz w:val="24"/>
                <w:szCs w:val="24"/>
                <w:u w:val="none"/>
                <w:lang w:val="en-US" w:eastAsia="zh-CN" w:bidi="ar"/>
              </w:rPr>
            </w:pPr>
            <w:r>
              <w:rPr>
                <w:rStyle w:val="24"/>
                <w:b/>
                <w:bCs/>
                <w:color w:val="1F2329"/>
                <w:sz w:val="24"/>
                <w:szCs w:val="24"/>
              </w:rPr>
              <w:t>文化墙及标识</w:t>
            </w:r>
            <w:r>
              <w:rPr>
                <w:color w:val="1F2329"/>
                <w:sz w:val="24"/>
                <w:szCs w:val="24"/>
              </w:rPr>
              <w:t>：根据实际情况定制</w:t>
            </w:r>
            <w:r>
              <w:rPr>
                <w:rFonts w:hint="eastAsia"/>
                <w:color w:val="1F2329"/>
                <w:sz w:val="24"/>
                <w:szCs w:val="24"/>
                <w:lang w:val="en-US" w:eastAsia="zh-CN"/>
              </w:rPr>
              <w:t>室内、外</w:t>
            </w:r>
            <w:r>
              <w:rPr>
                <w:color w:val="1F2329"/>
                <w:sz w:val="24"/>
                <w:szCs w:val="24"/>
              </w:rPr>
              <w:t>墙面文化板、标识等，需满足</w:t>
            </w:r>
            <w:r>
              <w:rPr>
                <w:rFonts w:hint="eastAsia"/>
                <w:color w:val="1F2329"/>
                <w:sz w:val="24"/>
                <w:szCs w:val="24"/>
                <w:lang w:val="en-US" w:eastAsia="zh-CN"/>
              </w:rPr>
              <w:t>对应</w:t>
            </w:r>
            <w:r>
              <w:rPr>
                <w:color w:val="1F2329"/>
                <w:sz w:val="24"/>
                <w:szCs w:val="24"/>
              </w:rPr>
              <w:t>实训室</w:t>
            </w:r>
            <w:r>
              <w:rPr>
                <w:rFonts w:hint="eastAsia"/>
                <w:color w:val="1F2329"/>
                <w:sz w:val="24"/>
                <w:szCs w:val="24"/>
                <w:lang w:val="en-US" w:eastAsia="zh-CN"/>
              </w:rPr>
              <w:t>功能的</w:t>
            </w:r>
            <w:r>
              <w:rPr>
                <w:color w:val="1F2329"/>
                <w:sz w:val="24"/>
                <w:szCs w:val="24"/>
              </w:rPr>
              <w:t>内容</w:t>
            </w:r>
            <w:r>
              <w:rPr>
                <w:rFonts w:hint="eastAsia"/>
                <w:color w:val="1F2329"/>
                <w:sz w:val="24"/>
                <w:szCs w:val="24"/>
                <w:lang w:eastAsia="zh-CN"/>
              </w:rPr>
              <w:t>；</w:t>
            </w:r>
          </w:p>
        </w:tc>
        <w:tc>
          <w:tcPr>
            <w:tcW w:w="793" w:type="dxa"/>
            <w:noWrap w:val="0"/>
            <w:vAlign w:val="center"/>
          </w:tcPr>
          <w:p w14:paraId="365A30E6">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730" w:type="dxa"/>
            <w:noWrap w:val="0"/>
            <w:vAlign w:val="center"/>
          </w:tcPr>
          <w:p w14:paraId="0808DDEB">
            <w:pPr>
              <w:keepNext w:val="0"/>
              <w:keepLines w:val="0"/>
              <w:widowControl/>
              <w:suppressLineNumbers w:val="0"/>
              <w:snapToGrid w:val="0"/>
              <w:spacing w:line="240" w:lineRule="auto"/>
              <w:ind w:left="0" w:leftChars="0" w:right="0" w:righ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项</w:t>
            </w:r>
          </w:p>
        </w:tc>
      </w:tr>
    </w:tbl>
    <w:p w14:paraId="458AD309">
      <w:pPr>
        <w:rPr>
          <w:rFonts w:hint="eastAsia"/>
          <w:sz w:val="30"/>
          <w:szCs w:val="30"/>
          <w:lang w:eastAsia="zh-CN"/>
        </w:rPr>
      </w:pPr>
      <w:r>
        <w:rPr>
          <w:rFonts w:hint="eastAsia"/>
          <w:sz w:val="30"/>
          <w:szCs w:val="30"/>
          <w:lang w:eastAsia="zh-CN"/>
        </w:rPr>
        <w:br w:type="page"/>
      </w:r>
    </w:p>
    <w:p w14:paraId="252A0266">
      <w:pPr>
        <w:pStyle w:val="2"/>
        <w:ind w:left="0" w:leftChars="0" w:firstLine="0" w:firstLineChars="0"/>
        <w:rPr>
          <w:rFonts w:hint="eastAsia" w:eastAsia="宋体"/>
          <w:lang w:eastAsia="zh-CN"/>
        </w:rPr>
      </w:pPr>
      <w:r>
        <w:rPr>
          <w:rFonts w:hint="eastAsia"/>
          <w:sz w:val="30"/>
          <w:szCs w:val="30"/>
          <w:lang w:eastAsia="zh-CN"/>
        </w:rPr>
        <w:t>（四）</w:t>
      </w:r>
      <w:r>
        <w:rPr>
          <w:rFonts w:hint="eastAsia"/>
          <w:sz w:val="30"/>
          <w:szCs w:val="30"/>
        </w:rPr>
        <w:t>商务要求</w:t>
      </w:r>
    </w:p>
    <w:p w14:paraId="49510473">
      <w:pPr>
        <w:pStyle w:val="20"/>
        <w:numPr>
          <w:ilvl w:val="0"/>
          <w:numId w:val="0"/>
        </w:numPr>
        <w:spacing w:line="360" w:lineRule="auto"/>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cs="宋体"/>
          <w:b/>
          <w:bCs/>
          <w:sz w:val="24"/>
          <w:szCs w:val="24"/>
          <w:lang w:val="en-US" w:eastAsia="zh-CN"/>
        </w:rPr>
        <w:t>1、</w:t>
      </w:r>
      <w:r>
        <w:rPr>
          <w:rFonts w:hint="eastAsia" w:ascii="宋体" w:hAnsi="宋体" w:eastAsia="宋体" w:cs="宋体"/>
          <w:b/>
          <w:bCs/>
          <w:sz w:val="24"/>
          <w:szCs w:val="24"/>
        </w:rPr>
        <w:t>合同履行期限：合同签订之日起</w:t>
      </w:r>
      <w:r>
        <w:rPr>
          <w:rFonts w:hint="eastAsia" w:ascii="宋体" w:hAnsi="宋体" w:cs="宋体"/>
          <w:b/>
          <w:bCs/>
          <w:sz w:val="24"/>
          <w:szCs w:val="24"/>
          <w:lang w:val="en-US" w:eastAsia="zh-CN"/>
        </w:rPr>
        <w:t>30</w:t>
      </w:r>
      <w:r>
        <w:rPr>
          <w:rFonts w:hint="eastAsia" w:ascii="宋体" w:hAnsi="宋体" w:eastAsia="宋体" w:cs="宋体"/>
          <w:b/>
          <w:bCs/>
          <w:sz w:val="24"/>
          <w:szCs w:val="24"/>
        </w:rPr>
        <w:t>个日历天</w:t>
      </w:r>
      <w:r>
        <w:rPr>
          <w:rFonts w:hint="eastAsia" w:ascii="宋体" w:hAnsi="宋体" w:eastAsia="宋体" w:cs="宋体"/>
          <w:b/>
          <w:bCs/>
          <w:sz w:val="24"/>
          <w:szCs w:val="24"/>
          <w:lang w:val="en-US" w:eastAsia="zh-CN"/>
        </w:rPr>
        <w:t>内</w:t>
      </w:r>
      <w:r>
        <w:rPr>
          <w:rFonts w:hint="eastAsia" w:ascii="宋体" w:hAnsi="宋体" w:eastAsia="宋体" w:cs="宋体"/>
          <w:b/>
          <w:bCs/>
          <w:sz w:val="24"/>
          <w:szCs w:val="24"/>
        </w:rPr>
        <w:t>完成供货及安装、调试。</w:t>
      </w:r>
    </w:p>
    <w:p w14:paraId="0985BFCF">
      <w:pPr>
        <w:pStyle w:val="20"/>
        <w:numPr>
          <w:ilvl w:val="0"/>
          <w:numId w:val="0"/>
        </w:numPr>
        <w:spacing w:line="360" w:lineRule="auto"/>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cs="宋体"/>
          <w:b/>
          <w:bCs/>
          <w:sz w:val="24"/>
          <w:szCs w:val="24"/>
          <w:lang w:val="en-US" w:eastAsia="zh-CN"/>
        </w:rPr>
        <w:t>2、</w:t>
      </w:r>
      <w:r>
        <w:rPr>
          <w:rFonts w:hint="eastAsia" w:ascii="宋体" w:hAnsi="宋体" w:cs="宋体"/>
          <w:b/>
          <w:bCs/>
          <w:sz w:val="24"/>
          <w:szCs w:val="24"/>
          <w:lang w:eastAsia="zh-CN"/>
        </w:rPr>
        <w:t>（</w:t>
      </w:r>
      <w:r>
        <w:rPr>
          <w:rFonts w:hint="eastAsia" w:ascii="宋体" w:hAnsi="宋体" w:cs="宋体"/>
          <w:b/>
          <w:bCs/>
          <w:sz w:val="24"/>
          <w:szCs w:val="24"/>
          <w:lang w:val="en-US" w:eastAsia="zh-CN"/>
        </w:rPr>
        <w:t>1</w:t>
      </w:r>
      <w:r>
        <w:rPr>
          <w:rFonts w:hint="eastAsia" w:ascii="宋体" w:hAnsi="宋体" w:cs="宋体"/>
          <w:b/>
          <w:bCs/>
          <w:sz w:val="24"/>
          <w:szCs w:val="24"/>
          <w:lang w:eastAsia="zh-CN"/>
        </w:rPr>
        <w:t>）</w:t>
      </w:r>
      <w:r>
        <w:rPr>
          <w:rFonts w:hint="eastAsia" w:ascii="宋体" w:hAnsi="宋体" w:eastAsia="宋体" w:cs="宋体"/>
          <w:b/>
          <w:bCs/>
          <w:sz w:val="24"/>
          <w:szCs w:val="24"/>
        </w:rPr>
        <w:t>质保期：验收合格之日起三年</w:t>
      </w:r>
      <w:r>
        <w:rPr>
          <w:rFonts w:hint="eastAsia" w:ascii="宋体" w:hAnsi="宋体" w:eastAsia="宋体" w:cs="宋体"/>
          <w:b/>
          <w:bCs/>
          <w:sz w:val="24"/>
          <w:szCs w:val="32"/>
        </w:rPr>
        <w:t>。</w:t>
      </w:r>
    </w:p>
    <w:p w14:paraId="67EDCAE2">
      <w:pPr>
        <w:numPr>
          <w:ilvl w:val="0"/>
          <w:numId w:val="0"/>
        </w:numPr>
        <w:spacing w:line="360" w:lineRule="auto"/>
        <w:ind w:leftChars="0" w:firstLine="482" w:firstLineChars="200"/>
        <w:rPr>
          <w:rFonts w:hint="eastAsia" w:ascii="宋体" w:hAnsi="宋体" w:eastAsia="宋体" w:cs="宋体"/>
          <w:b/>
          <w:bCs/>
          <w:sz w:val="24"/>
          <w:szCs w:val="24"/>
          <w:lang w:eastAsia="zh-CN"/>
        </w:rPr>
      </w:pPr>
      <w:r>
        <w:rPr>
          <w:rFonts w:hint="eastAsia" w:ascii="宋体" w:hAnsi="宋体" w:cs="宋体"/>
          <w:b/>
          <w:bCs/>
          <w:sz w:val="24"/>
          <w:szCs w:val="32"/>
          <w:lang w:eastAsia="zh-CN"/>
        </w:rPr>
        <w:t>（</w:t>
      </w:r>
      <w:r>
        <w:rPr>
          <w:rFonts w:hint="eastAsia" w:ascii="宋体" w:hAnsi="宋体" w:cs="宋体"/>
          <w:b/>
          <w:bCs/>
          <w:sz w:val="24"/>
          <w:szCs w:val="32"/>
          <w:lang w:val="en-US" w:eastAsia="zh-CN"/>
        </w:rPr>
        <w:t>2</w:t>
      </w:r>
      <w:r>
        <w:rPr>
          <w:rFonts w:hint="eastAsia" w:ascii="宋体" w:hAnsi="宋体" w:cs="宋体"/>
          <w:b/>
          <w:bCs/>
          <w:sz w:val="24"/>
          <w:szCs w:val="32"/>
          <w:lang w:eastAsia="zh-CN"/>
        </w:rPr>
        <w:t>）质保要求：</w:t>
      </w:r>
      <w:r>
        <w:rPr>
          <w:rFonts w:hint="eastAsia" w:ascii="宋体" w:hAnsi="宋体" w:cs="宋体"/>
          <w:b/>
          <w:bCs/>
          <w:kern w:val="2"/>
          <w:sz w:val="24"/>
          <w:szCs w:val="24"/>
          <w:lang w:val="en-US" w:eastAsia="zh-CN" w:bidi="ar-SA"/>
        </w:rPr>
        <w:t>a.</w:t>
      </w:r>
      <w:r>
        <w:rPr>
          <w:rFonts w:hint="eastAsia" w:ascii="宋体" w:hAnsi="宋体" w:eastAsia="宋体" w:cs="宋体"/>
          <w:b/>
          <w:bCs/>
          <w:kern w:val="2"/>
          <w:sz w:val="24"/>
          <w:szCs w:val="24"/>
          <w:lang w:val="en-US" w:eastAsia="zh-CN" w:bidi="ar-SA"/>
        </w:rPr>
        <w:t>所供货物质量要求和技术标准必须满足国家相关技术标准</w:t>
      </w:r>
      <w:r>
        <w:rPr>
          <w:rFonts w:hint="eastAsia" w:ascii="宋体" w:hAnsi="宋体" w:cs="宋体"/>
          <w:b/>
          <w:bCs/>
          <w:kern w:val="2"/>
          <w:sz w:val="24"/>
          <w:szCs w:val="24"/>
          <w:lang w:val="en-US" w:eastAsia="zh-CN" w:bidi="ar-SA"/>
        </w:rPr>
        <w:t>；b</w:t>
      </w:r>
      <w:r>
        <w:rPr>
          <w:rFonts w:hint="eastAsia" w:ascii="宋体" w:hAnsi="宋体" w:eastAsia="宋体" w:cs="宋体"/>
          <w:b/>
          <w:bCs/>
          <w:kern w:val="2"/>
          <w:sz w:val="24"/>
          <w:szCs w:val="24"/>
          <w:lang w:val="en-US" w:eastAsia="zh-CN" w:bidi="ar-SA"/>
        </w:rPr>
        <w:t>.所投产品是全新的、未使用过的，标识明显；货物外观清洁，字体清晰、明确，并完全符合规定的质量标准、技术要求。质保期内，由于投标人责任，维修或更换有缺陷的货物或部件，或为解决货物使用过程中出现的问题所产生的一切费用由投标人承担</w:t>
      </w:r>
      <w:r>
        <w:rPr>
          <w:rFonts w:hint="eastAsia" w:ascii="宋体" w:hAnsi="宋体" w:cs="宋体"/>
          <w:b/>
          <w:bCs/>
          <w:kern w:val="2"/>
          <w:sz w:val="24"/>
          <w:szCs w:val="24"/>
          <w:lang w:val="en-US" w:eastAsia="zh-CN" w:bidi="ar-SA"/>
        </w:rPr>
        <w:t>；c</w:t>
      </w:r>
      <w:r>
        <w:rPr>
          <w:rFonts w:hint="eastAsia" w:ascii="宋体" w:hAnsi="宋体" w:eastAsia="宋体" w:cs="宋体"/>
          <w:b/>
          <w:bCs/>
          <w:kern w:val="2"/>
          <w:sz w:val="24"/>
          <w:szCs w:val="24"/>
          <w:lang w:val="en-US" w:eastAsia="zh-CN" w:bidi="ar-SA"/>
        </w:rPr>
        <w:t>.所供主要设备技术规格、标准、配置要求应符合采购人的需求。投标人必须对产品的技术资料、参数等作出说明</w:t>
      </w:r>
      <w:r>
        <w:rPr>
          <w:rFonts w:hint="eastAsia" w:ascii="宋体" w:hAnsi="宋体" w:cs="宋体"/>
          <w:b/>
          <w:bCs/>
          <w:kern w:val="2"/>
          <w:sz w:val="24"/>
          <w:szCs w:val="24"/>
          <w:lang w:val="en-US" w:eastAsia="zh-CN" w:bidi="ar-SA"/>
        </w:rPr>
        <w:t>；d</w:t>
      </w:r>
      <w:r>
        <w:rPr>
          <w:rFonts w:hint="eastAsia" w:ascii="宋体" w:hAnsi="宋体" w:eastAsia="宋体" w:cs="宋体"/>
          <w:b/>
          <w:bCs/>
          <w:kern w:val="2"/>
          <w:sz w:val="24"/>
          <w:szCs w:val="24"/>
          <w:lang w:val="en-US" w:eastAsia="zh-CN" w:bidi="ar-SA"/>
        </w:rPr>
        <w:t>.所投产品和服务均应提供明细表并且明细表中的所有配件必须是唯一的，不得有选择性配置，所提供配件必须是正规厂家生产的原装正品。如果对投标设备的标准配置或配件有更换或调整的，必须提供原生产厂家的变更和调整确认材料，提供的设备配件应单独列出其技术性能、标准、产地、生产厂家及享受何种保修服务。</w:t>
      </w:r>
      <w:r>
        <w:rPr>
          <w:rFonts w:hint="eastAsia" w:ascii="宋体" w:hAnsi="宋体" w:cs="宋体"/>
          <w:b/>
          <w:bCs/>
          <w:kern w:val="2"/>
          <w:sz w:val="24"/>
          <w:szCs w:val="24"/>
          <w:lang w:val="en-US" w:eastAsia="zh-CN" w:bidi="ar-SA"/>
        </w:rPr>
        <w:t>e</w:t>
      </w:r>
      <w:r>
        <w:rPr>
          <w:rFonts w:hint="eastAsia" w:ascii="宋体" w:hAnsi="宋体" w:eastAsia="宋体" w:cs="宋体"/>
          <w:b/>
          <w:bCs/>
          <w:kern w:val="2"/>
          <w:sz w:val="24"/>
          <w:szCs w:val="24"/>
          <w:lang w:val="en-US" w:eastAsia="zh-CN" w:bidi="ar-SA"/>
        </w:rPr>
        <w:t>.所投产品软件须为正版。</w:t>
      </w:r>
    </w:p>
    <w:p w14:paraId="7F1BB2D2">
      <w:pPr>
        <w:pStyle w:val="20"/>
        <w:numPr>
          <w:ilvl w:val="0"/>
          <w:numId w:val="0"/>
        </w:numPr>
        <w:spacing w:line="360" w:lineRule="auto"/>
        <w:rPr>
          <w:rFonts w:hint="eastAsia" w:ascii="宋体" w:hAnsi="宋体" w:eastAsia="宋体" w:cs="宋体"/>
          <w:sz w:val="24"/>
          <w:szCs w:val="24"/>
          <w:lang w:eastAsia="zh-CN"/>
        </w:rPr>
      </w:pPr>
      <w:r>
        <w:rPr>
          <w:rFonts w:hint="eastAsia" w:ascii="宋体" w:hAnsi="宋体" w:cs="宋体"/>
          <w:sz w:val="24"/>
          <w:szCs w:val="24"/>
          <w:lang w:val="en-US" w:eastAsia="zh-CN"/>
        </w:rPr>
        <w:t>3、</w:t>
      </w:r>
      <w:r>
        <w:rPr>
          <w:rFonts w:hint="eastAsia" w:ascii="宋体" w:hAnsi="宋体" w:eastAsia="宋体" w:cs="宋体"/>
          <w:sz w:val="24"/>
          <w:szCs w:val="24"/>
        </w:rPr>
        <w:t>交货地点及方式：采购人指定地点</w:t>
      </w:r>
      <w:r>
        <w:rPr>
          <w:rFonts w:hint="eastAsia" w:ascii="宋体" w:hAnsi="宋体" w:cs="宋体"/>
          <w:sz w:val="24"/>
          <w:szCs w:val="24"/>
          <w:lang w:eastAsia="zh-CN"/>
        </w:rPr>
        <w:t>。</w:t>
      </w:r>
    </w:p>
    <w:p w14:paraId="6A9F5CE7">
      <w:pPr>
        <w:pStyle w:val="20"/>
        <w:numPr>
          <w:ilvl w:val="0"/>
          <w:numId w:val="0"/>
        </w:numPr>
        <w:spacing w:line="360" w:lineRule="auto"/>
        <w:rPr>
          <w:rFonts w:hint="eastAsia" w:ascii="宋体" w:hAnsi="宋体" w:eastAsia="宋体" w:cs="宋体"/>
          <w:b/>
          <w:bCs/>
          <w:sz w:val="24"/>
          <w:szCs w:val="24"/>
        </w:rPr>
      </w:pPr>
      <w:r>
        <w:rPr>
          <w:rFonts w:hint="eastAsia" w:ascii="宋体" w:hAnsi="宋体" w:eastAsia="宋体" w:cs="宋体"/>
          <w:b/>
          <w:bCs/>
          <w:sz w:val="24"/>
          <w:szCs w:val="24"/>
          <w:lang w:val="en-US" w:eastAsia="zh-CN"/>
        </w:rPr>
        <w:t>★</w:t>
      </w:r>
      <w:r>
        <w:rPr>
          <w:rFonts w:hint="eastAsia" w:ascii="宋体" w:hAnsi="宋体" w:cs="宋体"/>
          <w:b/>
          <w:bCs/>
          <w:sz w:val="24"/>
          <w:szCs w:val="24"/>
          <w:lang w:val="en-US" w:eastAsia="zh-CN"/>
        </w:rPr>
        <w:t>4、</w:t>
      </w:r>
      <w:r>
        <w:rPr>
          <w:rFonts w:hint="eastAsia" w:ascii="宋体" w:hAnsi="宋体" w:eastAsia="宋体" w:cs="宋体"/>
          <w:b/>
          <w:bCs/>
          <w:sz w:val="24"/>
          <w:szCs w:val="24"/>
          <w:lang w:val="en-US" w:eastAsia="zh-CN"/>
        </w:rPr>
        <w:t>验收及交付</w:t>
      </w:r>
      <w:r>
        <w:rPr>
          <w:rFonts w:hint="eastAsia" w:ascii="宋体" w:hAnsi="宋体" w:eastAsia="宋体" w:cs="宋体"/>
          <w:b/>
          <w:bCs/>
          <w:sz w:val="24"/>
          <w:szCs w:val="24"/>
        </w:rPr>
        <w:t>：本项目为交钥匙项目，投标人的报价应包括完成最终项目的全部费用</w:t>
      </w:r>
      <w:r>
        <w:rPr>
          <w:rFonts w:hint="eastAsia" w:ascii="宋体" w:hAnsi="宋体" w:eastAsia="宋体" w:cs="宋体"/>
          <w:b/>
          <w:bCs/>
          <w:sz w:val="24"/>
          <w:szCs w:val="24"/>
          <w:lang w:eastAsia="zh-CN"/>
        </w:rPr>
        <w:t>。</w:t>
      </w:r>
      <w:r>
        <w:rPr>
          <w:rFonts w:hint="eastAsia" w:ascii="宋体" w:hAnsi="宋体" w:eastAsia="宋体" w:cs="宋体"/>
          <w:b/>
          <w:bCs/>
          <w:sz w:val="24"/>
          <w:szCs w:val="24"/>
        </w:rPr>
        <w:t>（提供书面承诺函并</w:t>
      </w:r>
      <w:r>
        <w:rPr>
          <w:rFonts w:hint="eastAsia" w:ascii="宋体" w:hAnsi="宋体" w:cs="宋体"/>
          <w:b/>
          <w:bCs/>
          <w:sz w:val="24"/>
          <w:szCs w:val="24"/>
          <w:lang w:eastAsia="zh-CN"/>
        </w:rPr>
        <w:t>加盖</w:t>
      </w:r>
      <w:r>
        <w:rPr>
          <w:rFonts w:hint="eastAsia" w:ascii="宋体" w:hAnsi="宋体" w:cs="宋体"/>
          <w:b/>
          <w:bCs/>
          <w:sz w:val="24"/>
          <w:szCs w:val="24"/>
          <w:lang w:val="en-US" w:eastAsia="zh-CN"/>
        </w:rPr>
        <w:t>投标人</w:t>
      </w:r>
      <w:r>
        <w:rPr>
          <w:rFonts w:hint="eastAsia" w:ascii="宋体" w:hAnsi="宋体" w:eastAsia="宋体" w:cs="宋体"/>
          <w:b/>
          <w:bCs/>
          <w:sz w:val="24"/>
          <w:szCs w:val="24"/>
          <w:lang w:eastAsia="zh-CN"/>
        </w:rPr>
        <w:t>公章</w:t>
      </w:r>
      <w:r>
        <w:rPr>
          <w:rFonts w:hint="eastAsia" w:ascii="宋体" w:hAnsi="宋体" w:eastAsia="宋体" w:cs="宋体"/>
          <w:b/>
          <w:bCs/>
          <w:sz w:val="24"/>
          <w:szCs w:val="24"/>
        </w:rPr>
        <w:t>，未提供视为无效投标）</w:t>
      </w:r>
    </w:p>
    <w:p w14:paraId="69907239">
      <w:pPr>
        <w:pStyle w:val="20"/>
        <w:numPr>
          <w:ilvl w:val="0"/>
          <w:numId w:val="0"/>
        </w:numPr>
        <w:spacing w:line="360" w:lineRule="auto"/>
        <w:rPr>
          <w:rFonts w:hint="eastAsia" w:ascii="宋体" w:hAnsi="宋体" w:eastAsia="宋体" w:cs="宋体"/>
          <w:sz w:val="24"/>
          <w:szCs w:val="24"/>
        </w:rPr>
      </w:pPr>
      <w:r>
        <w:rPr>
          <w:rFonts w:hint="eastAsia" w:ascii="宋体" w:hAnsi="宋体" w:cs="宋体"/>
          <w:sz w:val="24"/>
          <w:szCs w:val="24"/>
          <w:lang w:val="en-US" w:eastAsia="zh-CN"/>
        </w:rPr>
        <w:t>5、</w:t>
      </w:r>
      <w:r>
        <w:rPr>
          <w:rFonts w:hint="eastAsia" w:ascii="宋体" w:hAnsi="宋体" w:eastAsia="宋体" w:cs="宋体"/>
          <w:sz w:val="24"/>
          <w:szCs w:val="24"/>
        </w:rPr>
        <w:t>支付方式：</w:t>
      </w:r>
      <w:r>
        <w:rPr>
          <w:rFonts w:hint="eastAsia" w:ascii="宋体" w:hAnsi="宋体" w:cs="宋体"/>
          <w:sz w:val="24"/>
          <w:szCs w:val="24"/>
          <w:lang w:val="en-US" w:eastAsia="zh-CN"/>
        </w:rPr>
        <w:t>验收合格后，支付合同金额的100%</w:t>
      </w:r>
      <w:r>
        <w:rPr>
          <w:rFonts w:hint="eastAsia" w:ascii="宋体" w:hAnsi="宋体" w:eastAsia="宋体" w:cs="宋体"/>
          <w:sz w:val="24"/>
          <w:szCs w:val="24"/>
        </w:rPr>
        <w:t>。</w:t>
      </w:r>
    </w:p>
    <w:p w14:paraId="32A349AE">
      <w:pPr>
        <w:pStyle w:val="20"/>
        <w:numPr>
          <w:ilvl w:val="0"/>
          <w:numId w:val="0"/>
        </w:numPr>
        <w:spacing w:line="360" w:lineRule="auto"/>
        <w:rPr>
          <w:rFonts w:hint="eastAsia" w:ascii="宋体" w:hAnsi="宋体" w:eastAsia="宋体" w:cs="宋体"/>
          <w:sz w:val="24"/>
          <w:szCs w:val="24"/>
        </w:rPr>
      </w:pPr>
      <w:r>
        <w:rPr>
          <w:rFonts w:hint="eastAsia" w:ascii="宋体" w:hAnsi="宋体" w:cs="宋体"/>
          <w:sz w:val="24"/>
          <w:szCs w:val="24"/>
          <w:lang w:val="en-US" w:eastAsia="zh-CN"/>
        </w:rPr>
        <w:t>6、</w:t>
      </w:r>
      <w:r>
        <w:rPr>
          <w:rFonts w:hint="eastAsia" w:ascii="宋体" w:hAnsi="宋体" w:eastAsia="宋体" w:cs="宋体"/>
          <w:sz w:val="24"/>
          <w:szCs w:val="24"/>
        </w:rPr>
        <w:t>包装和运输（如适用，须满足《关于印发〈商品包装政府采购需求标准（试行）〉〈快递包装政府采购需求标准（试行）〉的通知》（财办库﹝2020﹞123号</w:t>
      </w:r>
      <w:r>
        <w:rPr>
          <w:rFonts w:hint="eastAsia" w:ascii="宋体" w:hAnsi="宋体" w:cs="宋体"/>
          <w:sz w:val="24"/>
          <w:szCs w:val="24"/>
          <w:lang w:eastAsia="zh-CN"/>
        </w:rPr>
        <w:t>））</w:t>
      </w:r>
    </w:p>
    <w:p w14:paraId="4EC2D03A">
      <w:pPr>
        <w:pStyle w:val="20"/>
        <w:numPr>
          <w:ilvl w:val="0"/>
          <w:numId w:val="0"/>
        </w:numPr>
        <w:spacing w:line="360" w:lineRule="auto"/>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cs="宋体"/>
          <w:b/>
          <w:bCs/>
          <w:sz w:val="24"/>
          <w:szCs w:val="24"/>
          <w:lang w:val="en-US" w:eastAsia="zh-CN"/>
        </w:rPr>
        <w:t>7、</w:t>
      </w:r>
      <w:r>
        <w:rPr>
          <w:rFonts w:hint="eastAsia" w:ascii="宋体" w:hAnsi="宋体" w:eastAsia="宋体" w:cs="宋体"/>
          <w:b/>
          <w:bCs/>
          <w:sz w:val="24"/>
          <w:szCs w:val="24"/>
        </w:rPr>
        <w:t>所投标考巡查摄像机需对接到本校SIP流媒体转发服务器，实现与学校标准化考场系统和武汉市及湖北省标准化考场系统互联互通，提供互联互通截图证明和</w:t>
      </w:r>
      <w:r>
        <w:rPr>
          <w:rFonts w:hint="eastAsia" w:ascii="宋体" w:hAnsi="宋体" w:cs="宋体"/>
          <w:b/>
          <w:bCs/>
          <w:sz w:val="24"/>
          <w:szCs w:val="24"/>
          <w:lang w:val="en-US" w:eastAsia="zh-CN"/>
        </w:rPr>
        <w:t>投标人</w:t>
      </w:r>
      <w:r>
        <w:rPr>
          <w:rFonts w:hint="eastAsia" w:ascii="宋体" w:hAnsi="宋体" w:eastAsia="宋体" w:cs="宋体"/>
          <w:b/>
          <w:bCs/>
          <w:sz w:val="24"/>
          <w:szCs w:val="24"/>
        </w:rPr>
        <w:t>互联互通承诺函并加盖公章。</w:t>
      </w:r>
    </w:p>
    <w:p w14:paraId="62FCD21F">
      <w:pPr>
        <w:pStyle w:val="20"/>
        <w:numPr>
          <w:ilvl w:val="0"/>
          <w:numId w:val="0"/>
        </w:num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b/>
          <w:bCs/>
          <w:sz w:val="24"/>
          <w:szCs w:val="24"/>
        </w:rPr>
        <w:t>★</w:t>
      </w:r>
      <w:r>
        <w:rPr>
          <w:rFonts w:hint="eastAsia" w:ascii="宋体" w:hAnsi="宋体" w:cs="宋体"/>
          <w:b/>
          <w:bCs/>
          <w:sz w:val="24"/>
          <w:szCs w:val="24"/>
          <w:lang w:val="en-US" w:eastAsia="zh-CN"/>
        </w:rPr>
        <w:t>8、</w:t>
      </w:r>
      <w:r>
        <w:rPr>
          <w:rFonts w:hint="eastAsia" w:ascii="宋体" w:hAnsi="宋体" w:eastAsia="宋体" w:cs="宋体"/>
          <w:b/>
          <w:bCs/>
          <w:sz w:val="24"/>
          <w:szCs w:val="24"/>
        </w:rPr>
        <w:t>投标人</w:t>
      </w:r>
      <w:r>
        <w:rPr>
          <w:rFonts w:hint="eastAsia" w:ascii="宋体" w:hAnsi="宋体" w:cs="宋体"/>
          <w:b/>
          <w:bCs/>
          <w:sz w:val="24"/>
          <w:szCs w:val="24"/>
          <w:lang w:eastAsia="zh-CN"/>
        </w:rPr>
        <w:t>对</w:t>
      </w:r>
      <w:r>
        <w:rPr>
          <w:rFonts w:hint="eastAsia" w:ascii="宋体" w:hAnsi="宋体" w:eastAsia="宋体" w:cs="宋体"/>
          <w:b/>
          <w:bCs/>
          <w:sz w:val="24"/>
          <w:szCs w:val="24"/>
        </w:rPr>
        <w:t>本项目递交的材料真实有效，若提交虚假材料将自行承担一切法律责任。（提供书面承诺函并</w:t>
      </w:r>
      <w:r>
        <w:rPr>
          <w:rFonts w:hint="eastAsia" w:ascii="宋体" w:hAnsi="宋体" w:cs="宋体"/>
          <w:b/>
          <w:bCs/>
          <w:sz w:val="24"/>
          <w:szCs w:val="24"/>
          <w:lang w:eastAsia="zh-CN"/>
        </w:rPr>
        <w:t>加盖</w:t>
      </w:r>
      <w:r>
        <w:rPr>
          <w:rFonts w:hint="eastAsia" w:ascii="宋体" w:hAnsi="宋体" w:cs="宋体"/>
          <w:b/>
          <w:bCs/>
          <w:sz w:val="24"/>
          <w:szCs w:val="24"/>
          <w:lang w:val="en-US" w:eastAsia="zh-CN"/>
        </w:rPr>
        <w:t>投标人</w:t>
      </w:r>
      <w:r>
        <w:rPr>
          <w:rFonts w:hint="eastAsia" w:ascii="宋体" w:hAnsi="宋体" w:eastAsia="宋体" w:cs="宋体"/>
          <w:b/>
          <w:bCs/>
          <w:sz w:val="24"/>
          <w:szCs w:val="24"/>
          <w:lang w:eastAsia="zh-CN"/>
        </w:rPr>
        <w:t>公章</w:t>
      </w:r>
      <w:r>
        <w:rPr>
          <w:rFonts w:hint="eastAsia" w:ascii="宋体" w:hAnsi="宋体" w:eastAsia="宋体" w:cs="宋体"/>
          <w:b/>
          <w:bCs/>
          <w:sz w:val="24"/>
          <w:szCs w:val="24"/>
        </w:rPr>
        <w:t>，未提供视为无效投标）</w:t>
      </w:r>
    </w:p>
    <w:p w14:paraId="59FE0091">
      <w:pPr>
        <w:pStyle w:val="4"/>
        <w:bidi w:val="0"/>
        <w:ind w:left="0" w:leftChars="0" w:firstLine="0" w:firstLineChars="0"/>
        <w:rPr>
          <w:rFonts w:hint="eastAsia" w:ascii="宋体" w:hAnsi="宋体" w:eastAsia="宋体" w:cs="宋体"/>
          <w:b w:val="0"/>
          <w:bCs/>
          <w:kern w:val="2"/>
          <w:sz w:val="24"/>
          <w:szCs w:val="24"/>
          <w:lang w:val="en-US" w:eastAsia="zh-CN" w:bidi="ar-SA"/>
        </w:rPr>
      </w:pPr>
      <w:bookmarkStart w:id="8" w:name="_Toc23020"/>
      <w:r>
        <w:rPr>
          <w:rFonts w:hint="eastAsia" w:ascii="宋体" w:hAnsi="宋体" w:cs="宋体"/>
          <w:b w:val="0"/>
          <w:bCs/>
          <w:kern w:val="2"/>
          <w:sz w:val="24"/>
          <w:szCs w:val="24"/>
          <w:lang w:val="en-US" w:eastAsia="zh-CN" w:bidi="ar-SA"/>
        </w:rPr>
        <w:t>9、</w:t>
      </w:r>
      <w:r>
        <w:rPr>
          <w:rFonts w:hint="eastAsia" w:ascii="宋体" w:hAnsi="宋体" w:eastAsia="宋体" w:cs="宋体"/>
          <w:b w:val="0"/>
          <w:bCs/>
          <w:kern w:val="2"/>
          <w:sz w:val="24"/>
          <w:szCs w:val="24"/>
          <w:lang w:val="en-US" w:eastAsia="zh-CN" w:bidi="ar-SA"/>
        </w:rPr>
        <w:t>培训及售后服务要求</w:t>
      </w:r>
      <w:bookmarkEnd w:id="8"/>
    </w:p>
    <w:p w14:paraId="0EAF7BAD">
      <w:pPr>
        <w:numPr>
          <w:ilvl w:val="0"/>
          <w:numId w:val="0"/>
        </w:numPr>
        <w:spacing w:line="360" w:lineRule="auto"/>
        <w:ind w:leftChars="0" w:firstLine="480" w:firstLineChars="200"/>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9</w:t>
      </w:r>
      <w:r>
        <w:rPr>
          <w:rFonts w:hint="eastAsia" w:ascii="宋体" w:hAnsi="宋体" w:eastAsia="宋体" w:cs="宋体"/>
          <w:kern w:val="2"/>
          <w:sz w:val="24"/>
          <w:szCs w:val="24"/>
          <w:lang w:val="en-US" w:eastAsia="zh-CN" w:bidi="ar-SA"/>
        </w:rPr>
        <w:t>.1.对采购人的技术人员进行系统的使用、维护和保养培训，所有培训以中文进行。培训内容应包括在日常和紧急情况下如何操作系统。</w:t>
      </w:r>
    </w:p>
    <w:p w14:paraId="21FB0939">
      <w:pPr>
        <w:numPr>
          <w:ilvl w:val="0"/>
          <w:numId w:val="0"/>
        </w:numPr>
        <w:spacing w:line="360" w:lineRule="auto"/>
        <w:ind w:leftChars="200"/>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9</w:t>
      </w:r>
      <w:r>
        <w:rPr>
          <w:rFonts w:hint="eastAsia" w:ascii="宋体" w:hAnsi="宋体" w:eastAsia="宋体" w:cs="宋体"/>
          <w:kern w:val="2"/>
          <w:sz w:val="24"/>
          <w:szCs w:val="24"/>
          <w:lang w:val="en-US" w:eastAsia="zh-CN" w:bidi="ar-SA"/>
        </w:rPr>
        <w:t>.2.售后服务的内容：</w:t>
      </w:r>
    </w:p>
    <w:p w14:paraId="1DD1CD64">
      <w:pPr>
        <w:widowControl/>
        <w:spacing w:line="360" w:lineRule="auto"/>
        <w:ind w:firstLine="720" w:firstLineChars="3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在质保期内，售后服务包括：</w:t>
      </w:r>
    </w:p>
    <w:p w14:paraId="5DC37291">
      <w:pPr>
        <w:widowControl/>
        <w:numPr>
          <w:ilvl w:val="2"/>
          <w:numId w:val="2"/>
        </w:numPr>
        <w:tabs>
          <w:tab w:val="left" w:pos="840"/>
          <w:tab w:val="clear" w:pos="1260"/>
        </w:tabs>
        <w:spacing w:line="360" w:lineRule="auto"/>
        <w:ind w:left="1111" w:leftChars="302" w:hanging="477" w:hangingChars="199"/>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硬件产品保修服务、巡检服务、技术咨询服务、培训服务等。</w:t>
      </w:r>
    </w:p>
    <w:p w14:paraId="7F5EAFA8">
      <w:pPr>
        <w:widowControl/>
        <w:numPr>
          <w:ilvl w:val="2"/>
          <w:numId w:val="2"/>
        </w:numPr>
        <w:tabs>
          <w:tab w:val="left" w:pos="840"/>
          <w:tab w:val="clear" w:pos="1260"/>
        </w:tabs>
        <w:spacing w:line="360" w:lineRule="auto"/>
        <w:ind w:left="1111" w:leftChars="302" w:hanging="477" w:hangingChars="199"/>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提供服务承诺：投标人需承诺提供质保期内7×24小时的故障维护服务和技术业务咨询服务，并有专业的技术人员负责及时解决系统出现的任何故障。</w:t>
      </w:r>
    </w:p>
    <w:p w14:paraId="00B9650A">
      <w:pPr>
        <w:numPr>
          <w:ilvl w:val="0"/>
          <w:numId w:val="0"/>
        </w:numPr>
        <w:spacing w:line="360" w:lineRule="auto"/>
        <w:ind w:leftChars="200"/>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9</w:t>
      </w:r>
      <w:r>
        <w:rPr>
          <w:rFonts w:hint="eastAsia" w:ascii="宋体" w:hAnsi="宋体" w:eastAsia="宋体" w:cs="宋体"/>
          <w:kern w:val="2"/>
          <w:sz w:val="24"/>
          <w:szCs w:val="24"/>
          <w:lang w:val="en-US" w:eastAsia="zh-CN" w:bidi="ar-SA"/>
        </w:rPr>
        <w:t>.3.故障修复时限承诺</w:t>
      </w:r>
    </w:p>
    <w:p w14:paraId="61E14A5E">
      <w:pPr>
        <w:widowControl/>
        <w:spacing w:line="360" w:lineRule="auto"/>
        <w:ind w:firstLine="480" w:firstLineChars="20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投标人在质保期内应加强巡检，及时修复故障，对于故障类型分等级管理，投标人应根据故障级别提出相应的故障修复时限。如中标人不能按照故障等级修复时限承诺的要求提供服务。</w:t>
      </w:r>
    </w:p>
    <w:p w14:paraId="3BE55C8F">
      <w:pPr>
        <w:pStyle w:val="20"/>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对于用户报告的重要故障，中标人须在全天的任何时段的30分钟内响应，专业维护人员必须2小时内到达现场，4小时内排除设备故障（遇到自然灾害等不可抗力事故除外）。如中标人不能按以上要求提供重要故障修复服务，采购人（用户）有权聘请第三方进行修复，中标人必须无条件配合并支付相关费用。</w:t>
      </w:r>
    </w:p>
    <w:p w14:paraId="12422F87">
      <w:pPr>
        <w:pStyle w:val="20"/>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投标人需提供售后服务保障方案，方案内容包含但不限于：（1）接到故障通知后到达时间、处理故障时间；零配件优惠措施、明确质保期后的维修费用、配件及耗材优惠等其他条件内容；有售后服务人员配置，服务内容、保障措施，发生故障时有替代产品。</w:t>
      </w:r>
    </w:p>
    <w:p w14:paraId="4E654AC1">
      <w:pPr>
        <w:pStyle w:val="4"/>
        <w:bidi w:val="0"/>
        <w:ind w:left="0" w:leftChars="0" w:firstLine="0" w:firstLineChars="0"/>
        <w:rPr>
          <w:rFonts w:hint="eastAsia" w:ascii="宋体" w:hAnsi="宋体" w:eastAsia="宋体" w:cs="宋体"/>
          <w:b w:val="0"/>
          <w:kern w:val="2"/>
          <w:sz w:val="24"/>
          <w:szCs w:val="24"/>
          <w:lang w:val="en-US" w:eastAsia="zh-CN" w:bidi="ar-SA"/>
        </w:rPr>
      </w:pPr>
      <w:r>
        <w:rPr>
          <w:rFonts w:hint="eastAsia" w:ascii="宋体" w:hAnsi="宋体" w:eastAsia="宋体" w:cs="宋体"/>
          <w:b w:val="0"/>
          <w:kern w:val="2"/>
          <w:sz w:val="24"/>
          <w:szCs w:val="24"/>
          <w:lang w:val="en-US" w:eastAsia="zh-CN" w:bidi="ar-SA"/>
        </w:rPr>
        <w:t>10.投标人近三年来（2023年</w:t>
      </w:r>
      <w:r>
        <w:rPr>
          <w:rFonts w:hint="eastAsia" w:ascii="宋体" w:hAnsi="宋体" w:cs="宋体"/>
          <w:b w:val="0"/>
          <w:kern w:val="2"/>
          <w:sz w:val="24"/>
          <w:szCs w:val="24"/>
          <w:lang w:val="en-US" w:eastAsia="zh-CN" w:bidi="ar-SA"/>
        </w:rPr>
        <w:t>5</w:t>
      </w:r>
      <w:r>
        <w:rPr>
          <w:rFonts w:hint="eastAsia" w:ascii="宋体" w:hAnsi="宋体" w:eastAsia="宋体" w:cs="宋体"/>
          <w:b w:val="0"/>
          <w:kern w:val="2"/>
          <w:sz w:val="24"/>
          <w:szCs w:val="24"/>
          <w:lang w:val="en-US" w:eastAsia="zh-CN" w:bidi="ar-SA"/>
        </w:rPr>
        <w:t>月至今）具备类似成功案例经验，须同时提供相关类似项目业绩证明（</w:t>
      </w:r>
      <w:r>
        <w:rPr>
          <w:rFonts w:hint="eastAsia" w:ascii="宋体" w:hAnsi="宋体" w:cs="宋体"/>
          <w:b w:val="0"/>
          <w:kern w:val="2"/>
          <w:sz w:val="24"/>
          <w:szCs w:val="24"/>
          <w:lang w:val="en-US" w:eastAsia="zh-CN" w:bidi="ar-SA"/>
        </w:rPr>
        <w:t>包括但不限于</w:t>
      </w:r>
      <w:r>
        <w:rPr>
          <w:rFonts w:hint="eastAsia" w:ascii="宋体" w:hAnsi="宋体" w:eastAsia="宋体" w:cs="宋体"/>
          <w:b w:val="0"/>
          <w:kern w:val="2"/>
          <w:sz w:val="24"/>
          <w:szCs w:val="24"/>
          <w:lang w:val="en-US" w:eastAsia="zh-CN" w:bidi="ar-SA"/>
        </w:rPr>
        <w:t>标准化考场机房类项目）</w:t>
      </w:r>
    </w:p>
    <w:p w14:paraId="132F082C">
      <w:pPr>
        <w:pStyle w:val="4"/>
        <w:bidi w:val="0"/>
        <w:ind w:left="0" w:leftChars="0" w:firstLine="0" w:firstLineChars="0"/>
        <w:rPr>
          <w:rFonts w:hint="eastAsia" w:ascii="宋体" w:hAnsi="宋体" w:cs="宋体"/>
          <w:b w:val="0"/>
          <w:kern w:val="2"/>
          <w:sz w:val="24"/>
          <w:szCs w:val="24"/>
          <w:lang w:val="en-US" w:eastAsia="zh-CN" w:bidi="ar-SA"/>
        </w:rPr>
      </w:pPr>
      <w:r>
        <w:rPr>
          <w:rFonts w:hint="eastAsia" w:ascii="宋体" w:hAnsi="宋体" w:cs="宋体"/>
          <w:b w:val="0"/>
          <w:kern w:val="2"/>
          <w:sz w:val="24"/>
          <w:szCs w:val="24"/>
          <w:lang w:val="en-US" w:eastAsia="zh-CN" w:bidi="ar-SA"/>
        </w:rPr>
        <w:t>11.投标人须提供所投智慧教学终端生产厂家依据国标GB/T15496-2017《企业标准体系要求》达到标准化等级服务证书</w:t>
      </w:r>
    </w:p>
    <w:p w14:paraId="5411B910">
      <w:pPr>
        <w:pStyle w:val="4"/>
        <w:bidi w:val="0"/>
        <w:ind w:left="0" w:leftChars="0" w:firstLine="0" w:firstLineChars="0"/>
        <w:rPr>
          <w:rFonts w:hint="eastAsia" w:ascii="宋体" w:hAnsi="宋体" w:cs="宋体"/>
          <w:b w:val="0"/>
          <w:kern w:val="2"/>
          <w:sz w:val="24"/>
          <w:szCs w:val="24"/>
          <w:lang w:val="en-US" w:eastAsia="zh-CN" w:bidi="ar-SA"/>
        </w:rPr>
      </w:pPr>
      <w:r>
        <w:rPr>
          <w:rFonts w:hint="eastAsia" w:ascii="宋体" w:hAnsi="宋体" w:cs="宋体"/>
          <w:b w:val="0"/>
          <w:kern w:val="2"/>
          <w:sz w:val="24"/>
          <w:szCs w:val="24"/>
          <w:lang w:val="en-US" w:eastAsia="zh-CN" w:bidi="ar-SA"/>
        </w:rPr>
        <w:t>12.投标人针对本项目拟投入的项目经理具有高级工程师职称或信息系统项目管理师、技术负责人（与项目经理不得为同一人）具有高级工程师职称或信息系统项目管理师</w:t>
      </w:r>
    </w:p>
    <w:p w14:paraId="486228ED">
      <w:pPr>
        <w:pStyle w:val="4"/>
        <w:bidi w:val="0"/>
        <w:ind w:left="0" w:leftChars="0" w:firstLine="0" w:firstLineChars="0"/>
        <w:rPr>
          <w:rFonts w:hint="eastAsia" w:ascii="宋体" w:hAnsi="宋体" w:cs="宋体"/>
          <w:b w:val="0"/>
          <w:kern w:val="2"/>
          <w:sz w:val="24"/>
          <w:szCs w:val="24"/>
          <w:lang w:val="en-US" w:eastAsia="zh-CN" w:bidi="ar-SA"/>
        </w:rPr>
      </w:pPr>
      <w:r>
        <w:rPr>
          <w:rFonts w:hint="eastAsia" w:ascii="宋体" w:hAnsi="宋体" w:cs="宋体"/>
          <w:b w:val="0"/>
          <w:kern w:val="2"/>
          <w:sz w:val="24"/>
          <w:szCs w:val="24"/>
          <w:lang w:val="en-US" w:eastAsia="zh-CN" w:bidi="ar-SA"/>
        </w:rPr>
        <w:t>13.投标人在满足招标文件基本要求的情况下，承诺质保期、服务标准年限可延长</w:t>
      </w:r>
    </w:p>
    <w:p w14:paraId="00646B42">
      <w:pPr>
        <w:pStyle w:val="4"/>
        <w:bidi w:val="0"/>
        <w:ind w:left="0" w:leftChars="0" w:firstLine="0" w:firstLineChars="0"/>
        <w:rPr>
          <w:rFonts w:hint="eastAsia"/>
          <w:sz w:val="30"/>
          <w:szCs w:val="30"/>
          <w:lang w:val="en-US" w:eastAsia="zh-CN"/>
        </w:rPr>
      </w:pPr>
      <w:r>
        <w:rPr>
          <w:rFonts w:hint="eastAsia" w:ascii="宋体" w:hAnsi="宋体" w:cs="宋体"/>
          <w:b w:val="0"/>
          <w:kern w:val="2"/>
          <w:sz w:val="24"/>
          <w:szCs w:val="24"/>
          <w:lang w:val="en-US" w:eastAsia="zh-CN" w:bidi="ar-SA"/>
        </w:rPr>
        <w:t>14.投标人需提供设备供货进度、运输、保管、安装调试方案，方案内容包含但不限于：成品设备供货进度计划；运输、保管保障方案；安装调试方案。</w:t>
      </w:r>
      <w:r>
        <w:rPr>
          <w:rFonts w:hint="eastAsia"/>
          <w:sz w:val="30"/>
          <w:szCs w:val="30"/>
          <w:lang w:val="en-US" w:eastAsia="zh-CN"/>
        </w:rPr>
        <w:br w:type="page"/>
      </w:r>
    </w:p>
    <w:bookmarkEnd w:id="7"/>
    <w:p w14:paraId="311446FC">
      <w:pPr>
        <w:pStyle w:val="2"/>
        <w:ind w:firstLine="602"/>
        <w:rPr>
          <w:rFonts w:hint="default" w:eastAsia="宋体"/>
          <w:sz w:val="30"/>
          <w:szCs w:val="30"/>
          <w:lang w:val="en-US" w:eastAsia="zh-CN"/>
        </w:rPr>
      </w:pPr>
      <w:bookmarkStart w:id="9" w:name="_Toc1458935"/>
      <w:bookmarkStart w:id="10" w:name="_Toc2358"/>
      <w:r>
        <w:rPr>
          <w:rFonts w:hint="eastAsia"/>
          <w:sz w:val="30"/>
          <w:szCs w:val="30"/>
          <w:lang w:val="en-US" w:eastAsia="zh-CN"/>
        </w:rPr>
        <w:t>二</w:t>
      </w:r>
      <w:r>
        <w:rPr>
          <w:rFonts w:hint="eastAsia"/>
          <w:sz w:val="30"/>
          <w:szCs w:val="30"/>
        </w:rPr>
        <w:t>、</w:t>
      </w:r>
      <w:r>
        <w:rPr>
          <w:rFonts w:hint="eastAsia"/>
          <w:sz w:val="30"/>
          <w:szCs w:val="30"/>
          <w:lang w:eastAsia="zh-CN"/>
        </w:rPr>
        <w:t>第</w:t>
      </w:r>
      <w:r>
        <w:rPr>
          <w:rFonts w:hint="eastAsia"/>
          <w:sz w:val="30"/>
          <w:szCs w:val="30"/>
          <w:lang w:val="en-US" w:eastAsia="zh-CN"/>
        </w:rPr>
        <w:t>2</w:t>
      </w:r>
      <w:r>
        <w:rPr>
          <w:rFonts w:hint="eastAsia"/>
          <w:sz w:val="30"/>
          <w:szCs w:val="30"/>
          <w:lang w:eastAsia="zh-CN"/>
        </w:rPr>
        <w:t>包：</w:t>
      </w:r>
      <w:r>
        <w:rPr>
          <w:rFonts w:hint="eastAsia"/>
          <w:sz w:val="30"/>
          <w:szCs w:val="30"/>
          <w:lang w:val="en-US" w:eastAsia="zh-CN"/>
        </w:rPr>
        <w:t>武汉市东西湖职业技术学校汽修虚拟仿真实训室建设项目63.9万元。</w:t>
      </w:r>
    </w:p>
    <w:p w14:paraId="3A9BDA4A">
      <w:pPr>
        <w:pStyle w:val="2"/>
        <w:ind w:firstLine="602"/>
        <w:jc w:val="left"/>
        <w:rPr>
          <w:rFonts w:hint="eastAsia" w:cs="Times New Roman"/>
          <w:sz w:val="30"/>
          <w:szCs w:val="30"/>
          <w:lang w:eastAsia="zh-CN"/>
        </w:rPr>
      </w:pPr>
      <w:r>
        <w:rPr>
          <w:rFonts w:hint="eastAsia" w:cs="Times New Roman"/>
          <w:sz w:val="30"/>
          <w:szCs w:val="30"/>
          <w:lang w:eastAsia="zh-CN"/>
        </w:rPr>
        <w:t>（一）项目概况</w:t>
      </w:r>
    </w:p>
    <w:p w14:paraId="77BC747E">
      <w:pPr>
        <w:bidi w:val="0"/>
        <w:rPr>
          <w:rFonts w:hint="default"/>
        </w:rPr>
      </w:pPr>
      <w:r>
        <w:rPr>
          <w:rFonts w:hint="default"/>
        </w:rPr>
        <w:t>我校汽修专业经过多年建设与发展，已形成在校生规模稳定、学习氛围浓厚的骨干专业，现有每届学生约150人。随着湖北省汽修技能高考改革的深入推进，“汽缸测量”“曲轴测量”等核心技能项目将逐步采用虚拟仿真考试方式，同时理论考试（150分）也已全面实行计算机化考核。在此背景下，建设专用的计算机机房，已成为保障教学与备考工作的迫切需求。</w:t>
      </w:r>
    </w:p>
    <w:p w14:paraId="252450AD">
      <w:pPr>
        <w:bidi w:val="0"/>
        <w:rPr>
          <w:rFonts w:hint="default"/>
        </w:rPr>
      </w:pPr>
      <w:r>
        <w:rPr>
          <w:rFonts w:hint="default"/>
        </w:rPr>
        <w:t>当前，我校汽修专业的虚拟仿真训练、理论机考模拟等环节均依赖计算机设备。由于缺少专用机房，日常教学需与校内其他专业共用通用机房，导致排课冲突频繁、软件环境难以针对性优化、设备维护复杂等问题，严重制约了大规模、高频次实训教学的正常开展。此外，模拟考试环境与真实考场的差异，也在一定程度上影响学生的应考状态。</w:t>
      </w:r>
    </w:p>
    <w:p w14:paraId="5F730BD7">
      <w:pPr>
        <w:bidi w:val="0"/>
        <w:rPr>
          <w:rFonts w:hint="eastAsia"/>
          <w:lang w:eastAsia="zh-CN"/>
        </w:rPr>
      </w:pPr>
      <w:r>
        <w:rPr>
          <w:rFonts w:hint="default"/>
        </w:rPr>
        <w:t>专用机房的建成，将为汽修专业提供集中、稳定、高效的信息化教学平台，有效满足理论机考备考、虚拟仿真实训、教学数据分析等核心需求，同时为教师开展信息化教学改革、组织集体教研提供有力支撑。本项目建设符合国家职业教育信息化发展方向，是提升我校汽修专业人才培养质量、对接技能高考改革要求的重要举措。</w:t>
      </w:r>
    </w:p>
    <w:p w14:paraId="118A7BC6">
      <w:pPr>
        <w:pStyle w:val="2"/>
        <w:ind w:firstLine="602"/>
        <w:jc w:val="left"/>
        <w:rPr>
          <w:rFonts w:hint="eastAsia"/>
          <w:sz w:val="30"/>
          <w:szCs w:val="30"/>
          <w:lang w:val="en-US" w:eastAsia="zh-CN"/>
        </w:rPr>
      </w:pPr>
      <w:r>
        <w:rPr>
          <w:rFonts w:hint="eastAsia"/>
          <w:sz w:val="30"/>
          <w:szCs w:val="30"/>
          <w:lang w:eastAsia="zh-CN"/>
        </w:rPr>
        <w:t>（二）采购内容</w:t>
      </w:r>
      <w:r>
        <w:rPr>
          <w:rFonts w:hint="eastAsia"/>
          <w:sz w:val="30"/>
          <w:szCs w:val="30"/>
          <w:lang w:val="en-US" w:eastAsia="zh-CN"/>
        </w:rPr>
        <w:t>清单</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3690"/>
        <w:gridCol w:w="1110"/>
        <w:gridCol w:w="794"/>
        <w:gridCol w:w="1792"/>
      </w:tblGrid>
      <w:tr w14:paraId="3F789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noWrap w:val="0"/>
            <w:vAlign w:val="center"/>
          </w:tcPr>
          <w:p w14:paraId="1C353D6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1"/>
                <w:szCs w:val="21"/>
                <w:vertAlign w:val="baseline"/>
                <w:lang w:eastAsia="zh-CN"/>
              </w:rPr>
            </w:pPr>
            <w:r>
              <w:rPr>
                <w:rFonts w:hint="eastAsia"/>
                <w:sz w:val="21"/>
                <w:szCs w:val="21"/>
                <w:vertAlign w:val="baseline"/>
                <w:lang w:eastAsia="zh-CN"/>
              </w:rPr>
              <w:t>标的序号</w:t>
            </w:r>
          </w:p>
        </w:tc>
        <w:tc>
          <w:tcPr>
            <w:tcW w:w="3690" w:type="dxa"/>
            <w:noWrap w:val="0"/>
            <w:vAlign w:val="center"/>
          </w:tcPr>
          <w:p w14:paraId="7AB7AAC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sz w:val="24"/>
                <w:szCs w:val="24"/>
                <w:vertAlign w:val="baseline"/>
                <w:lang w:val="en-US" w:eastAsia="zh-CN"/>
              </w:rPr>
            </w:pPr>
            <w:r>
              <w:rPr>
                <w:rFonts w:hint="eastAsia"/>
                <w:sz w:val="24"/>
                <w:szCs w:val="24"/>
                <w:vertAlign w:val="baseline"/>
                <w:lang w:eastAsia="zh-CN"/>
              </w:rPr>
              <w:t>标的名称</w:t>
            </w:r>
          </w:p>
        </w:tc>
        <w:tc>
          <w:tcPr>
            <w:tcW w:w="1110" w:type="dxa"/>
            <w:noWrap w:val="0"/>
            <w:vAlign w:val="center"/>
          </w:tcPr>
          <w:p w14:paraId="3494FB3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r>
              <w:rPr>
                <w:rFonts w:hint="eastAsia"/>
                <w:sz w:val="24"/>
                <w:szCs w:val="24"/>
                <w:vertAlign w:val="baseline"/>
                <w:lang w:eastAsia="zh-CN"/>
              </w:rPr>
              <w:t>计量</w:t>
            </w:r>
          </w:p>
          <w:p w14:paraId="531A3EA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r>
              <w:rPr>
                <w:rFonts w:hint="eastAsia"/>
                <w:sz w:val="24"/>
                <w:szCs w:val="24"/>
                <w:vertAlign w:val="baseline"/>
                <w:lang w:eastAsia="zh-CN"/>
              </w:rPr>
              <w:t>单位</w:t>
            </w:r>
          </w:p>
        </w:tc>
        <w:tc>
          <w:tcPr>
            <w:tcW w:w="794" w:type="dxa"/>
            <w:noWrap w:val="0"/>
            <w:vAlign w:val="center"/>
          </w:tcPr>
          <w:p w14:paraId="5D04790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r>
              <w:rPr>
                <w:rFonts w:hint="eastAsia"/>
                <w:sz w:val="24"/>
                <w:szCs w:val="24"/>
                <w:vertAlign w:val="baseline"/>
                <w:lang w:eastAsia="zh-CN"/>
              </w:rPr>
              <w:t>数量</w:t>
            </w:r>
          </w:p>
        </w:tc>
        <w:tc>
          <w:tcPr>
            <w:tcW w:w="1792" w:type="dxa"/>
            <w:noWrap w:val="0"/>
            <w:vAlign w:val="center"/>
          </w:tcPr>
          <w:p w14:paraId="5FE1ED5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sz w:val="24"/>
                <w:szCs w:val="24"/>
                <w:vertAlign w:val="baseline"/>
                <w:lang w:val="en-US" w:eastAsia="zh-CN"/>
              </w:rPr>
            </w:pPr>
            <w:r>
              <w:rPr>
                <w:rFonts w:hint="eastAsia"/>
                <w:sz w:val="24"/>
                <w:szCs w:val="24"/>
                <w:vertAlign w:val="baseline"/>
                <w:lang w:eastAsia="zh-CN"/>
              </w:rPr>
              <w:t>要求</w:t>
            </w:r>
            <w:r>
              <w:rPr>
                <w:rFonts w:hint="eastAsia"/>
                <w:sz w:val="24"/>
                <w:szCs w:val="24"/>
                <w:vertAlign w:val="baseline"/>
                <w:lang w:val="en-US" w:eastAsia="zh-CN"/>
              </w:rPr>
              <w:t>/备注</w:t>
            </w:r>
          </w:p>
        </w:tc>
      </w:tr>
      <w:tr w14:paraId="64132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noWrap w:val="0"/>
            <w:vAlign w:val="center"/>
          </w:tcPr>
          <w:p w14:paraId="5A25C1B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w:t>
            </w:r>
          </w:p>
        </w:tc>
        <w:tc>
          <w:tcPr>
            <w:tcW w:w="3690" w:type="dxa"/>
            <w:noWrap w:val="0"/>
            <w:vAlign w:val="center"/>
          </w:tcPr>
          <w:p w14:paraId="01306DAC">
            <w:pPr>
              <w:keepNext w:val="0"/>
              <w:keepLines w:val="0"/>
              <w:widowControl/>
              <w:suppressLineNumbers w:val="0"/>
              <w:ind w:left="0" w:leftChars="0" w:firstLine="0" w:firstLineChars="0"/>
              <w:jc w:val="center"/>
              <w:textAlignment w:val="center"/>
              <w:rPr>
                <w:rFonts w:hint="eastAsia"/>
                <w:sz w:val="24"/>
                <w:szCs w:val="24"/>
                <w:vertAlign w:val="baseline"/>
                <w:lang w:eastAsia="zh-CN"/>
              </w:rPr>
            </w:pPr>
            <w:r>
              <w:rPr>
                <w:rFonts w:hint="eastAsia" w:ascii="宋体" w:hAnsi="宋体" w:eastAsia="宋体" w:cs="宋体"/>
                <w:b/>
                <w:bCs/>
                <w:i w:val="0"/>
                <w:iCs w:val="0"/>
                <w:color w:val="000000"/>
                <w:sz w:val="24"/>
                <w:szCs w:val="24"/>
                <w:u w:val="none"/>
                <w:lang w:val="en-US" w:eastAsia="zh-CN"/>
              </w:rPr>
              <w:t>汽修技能高考仿真考试软件</w:t>
            </w:r>
          </w:p>
        </w:tc>
        <w:tc>
          <w:tcPr>
            <w:tcW w:w="1110" w:type="dxa"/>
            <w:noWrap w:val="0"/>
            <w:vAlign w:val="center"/>
          </w:tcPr>
          <w:p w14:paraId="773B69B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sz w:val="24"/>
                <w:szCs w:val="24"/>
                <w:vertAlign w:val="baseline"/>
                <w:lang w:eastAsia="zh-CN"/>
              </w:rPr>
            </w:pPr>
            <w:r>
              <w:rPr>
                <w:rFonts w:hint="eastAsia" w:ascii="宋体" w:hAnsi="宋体" w:eastAsia="宋体" w:cs="宋体"/>
                <w:i w:val="0"/>
                <w:iCs w:val="0"/>
                <w:color w:val="000000"/>
                <w:kern w:val="0"/>
                <w:sz w:val="24"/>
                <w:szCs w:val="24"/>
                <w:u w:val="none"/>
                <w:lang w:val="en-US" w:eastAsia="zh-CN" w:bidi="ar"/>
              </w:rPr>
              <w:t>套</w:t>
            </w:r>
          </w:p>
        </w:tc>
        <w:tc>
          <w:tcPr>
            <w:tcW w:w="794" w:type="dxa"/>
            <w:noWrap w:val="0"/>
            <w:vAlign w:val="center"/>
          </w:tcPr>
          <w:p w14:paraId="22E88130">
            <w:pPr>
              <w:keepNext w:val="0"/>
              <w:keepLines w:val="0"/>
              <w:widowControl/>
              <w:suppressLineNumbers w:val="0"/>
              <w:ind w:left="0" w:leftChars="0" w:firstLine="0" w:firstLineChars="0"/>
              <w:jc w:val="center"/>
              <w:textAlignment w:val="center"/>
              <w:rPr>
                <w:rFonts w:hint="eastAsia"/>
                <w:sz w:val="24"/>
                <w:szCs w:val="24"/>
                <w:vertAlign w:val="baseline"/>
                <w:lang w:eastAsia="zh-CN"/>
              </w:rPr>
            </w:pPr>
            <w:r>
              <w:rPr>
                <w:rFonts w:hint="eastAsia" w:ascii="宋体" w:hAnsi="宋体" w:eastAsia="宋体" w:cs="宋体"/>
                <w:i w:val="0"/>
                <w:iCs w:val="0"/>
                <w:color w:val="000000"/>
                <w:kern w:val="0"/>
                <w:sz w:val="24"/>
                <w:szCs w:val="24"/>
                <w:u w:val="none"/>
                <w:lang w:val="en-US" w:eastAsia="zh-CN" w:bidi="ar"/>
              </w:rPr>
              <w:t>1</w:t>
            </w:r>
          </w:p>
        </w:tc>
        <w:tc>
          <w:tcPr>
            <w:tcW w:w="1792" w:type="dxa"/>
            <w:noWrap w:val="0"/>
            <w:vAlign w:val="center"/>
          </w:tcPr>
          <w:p w14:paraId="73DA5DD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r>
              <w:rPr>
                <w:rFonts w:hint="eastAsia" w:ascii="宋体" w:hAnsi="宋体" w:cs="宋体"/>
                <w:b/>
                <w:bCs/>
                <w:i w:val="0"/>
                <w:iCs w:val="0"/>
                <w:color w:val="000000"/>
                <w:sz w:val="24"/>
                <w:szCs w:val="24"/>
                <w:u w:val="none"/>
                <w:lang w:val="en-US" w:eastAsia="zh-CN"/>
              </w:rPr>
              <w:t>核心产品</w:t>
            </w:r>
          </w:p>
        </w:tc>
      </w:tr>
      <w:tr w14:paraId="2FBB8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noWrap w:val="0"/>
            <w:vAlign w:val="center"/>
          </w:tcPr>
          <w:p w14:paraId="77CC43D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2</w:t>
            </w:r>
          </w:p>
        </w:tc>
        <w:tc>
          <w:tcPr>
            <w:tcW w:w="3690" w:type="dxa"/>
            <w:noWrap w:val="0"/>
            <w:vAlign w:val="center"/>
          </w:tcPr>
          <w:p w14:paraId="0F0B9965">
            <w:pPr>
              <w:keepNext w:val="0"/>
              <w:keepLines w:val="0"/>
              <w:widowControl/>
              <w:suppressLineNumbers w:val="0"/>
              <w:ind w:left="0" w:leftChars="0" w:firstLine="0" w:firstLineChars="0"/>
              <w:jc w:val="center"/>
              <w:textAlignment w:val="center"/>
              <w:rPr>
                <w:rFonts w:hint="eastAsia"/>
                <w:color w:val="auto"/>
                <w:sz w:val="24"/>
                <w:szCs w:val="24"/>
                <w:vertAlign w:val="baseline"/>
                <w:lang w:eastAsia="zh-CN"/>
              </w:rPr>
            </w:pPr>
            <w:r>
              <w:rPr>
                <w:rFonts w:hint="eastAsia" w:ascii="宋体" w:hAnsi="宋体" w:eastAsia="宋体" w:cs="宋体"/>
                <w:i w:val="0"/>
                <w:iCs w:val="0"/>
                <w:color w:val="auto"/>
                <w:kern w:val="0"/>
                <w:sz w:val="24"/>
                <w:szCs w:val="24"/>
                <w:u w:val="none"/>
                <w:lang w:val="en-US" w:eastAsia="zh-CN" w:bidi="ar"/>
              </w:rPr>
              <w:t>教学专用台式计算机</w:t>
            </w:r>
          </w:p>
        </w:tc>
        <w:tc>
          <w:tcPr>
            <w:tcW w:w="1110" w:type="dxa"/>
            <w:noWrap w:val="0"/>
            <w:vAlign w:val="center"/>
          </w:tcPr>
          <w:p w14:paraId="0FF70BC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color w:val="auto"/>
                <w:sz w:val="24"/>
                <w:szCs w:val="24"/>
                <w:vertAlign w:val="baseline"/>
                <w:lang w:eastAsia="zh-CN"/>
              </w:rPr>
            </w:pPr>
            <w:r>
              <w:rPr>
                <w:rFonts w:hint="eastAsia" w:ascii="宋体" w:hAnsi="宋体" w:eastAsia="宋体" w:cs="宋体"/>
                <w:i w:val="0"/>
                <w:iCs w:val="0"/>
                <w:color w:val="auto"/>
                <w:kern w:val="0"/>
                <w:sz w:val="24"/>
                <w:szCs w:val="24"/>
                <w:u w:val="none"/>
                <w:lang w:val="en-US" w:eastAsia="zh-CN" w:bidi="ar"/>
              </w:rPr>
              <w:t>台</w:t>
            </w:r>
          </w:p>
        </w:tc>
        <w:tc>
          <w:tcPr>
            <w:tcW w:w="794" w:type="dxa"/>
            <w:noWrap w:val="0"/>
            <w:vAlign w:val="center"/>
          </w:tcPr>
          <w:p w14:paraId="148BF9BF">
            <w:pPr>
              <w:keepNext w:val="0"/>
              <w:keepLines w:val="0"/>
              <w:widowControl/>
              <w:suppressLineNumbers w:val="0"/>
              <w:ind w:left="0" w:leftChars="0" w:firstLine="0" w:firstLineChars="0"/>
              <w:jc w:val="center"/>
              <w:textAlignment w:val="center"/>
              <w:rPr>
                <w:rFonts w:hint="eastAsia"/>
                <w:color w:val="auto"/>
                <w:sz w:val="24"/>
                <w:szCs w:val="24"/>
                <w:vertAlign w:val="baseline"/>
                <w:lang w:eastAsia="zh-CN"/>
              </w:rPr>
            </w:pPr>
            <w:r>
              <w:rPr>
                <w:rFonts w:hint="eastAsia" w:ascii="宋体" w:hAnsi="宋体" w:eastAsia="宋体" w:cs="宋体"/>
                <w:i w:val="0"/>
                <w:iCs w:val="0"/>
                <w:color w:val="auto"/>
                <w:kern w:val="0"/>
                <w:sz w:val="24"/>
                <w:szCs w:val="24"/>
                <w:u w:val="none"/>
                <w:lang w:val="en-US" w:eastAsia="zh-CN" w:bidi="ar"/>
              </w:rPr>
              <w:t>51</w:t>
            </w:r>
          </w:p>
        </w:tc>
        <w:tc>
          <w:tcPr>
            <w:tcW w:w="1792" w:type="dxa"/>
            <w:noWrap w:val="0"/>
            <w:vAlign w:val="center"/>
          </w:tcPr>
          <w:p w14:paraId="1ED776B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olor w:val="auto"/>
                <w:sz w:val="24"/>
                <w:szCs w:val="24"/>
                <w:vertAlign w:val="baseline"/>
                <w:lang w:eastAsia="zh-CN"/>
              </w:rPr>
            </w:pPr>
            <w:r>
              <w:rPr>
                <w:rFonts w:hint="eastAsia"/>
                <w:color w:val="auto"/>
                <w:sz w:val="24"/>
                <w:szCs w:val="24"/>
                <w:vertAlign w:val="baseline"/>
                <w:lang w:eastAsia="zh-CN"/>
              </w:rPr>
              <w:t>强制节能产品</w:t>
            </w:r>
          </w:p>
        </w:tc>
      </w:tr>
      <w:tr w14:paraId="674FD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noWrap w:val="0"/>
            <w:vAlign w:val="center"/>
          </w:tcPr>
          <w:p w14:paraId="03B0357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3</w:t>
            </w:r>
          </w:p>
        </w:tc>
        <w:tc>
          <w:tcPr>
            <w:tcW w:w="3690" w:type="dxa"/>
            <w:noWrap w:val="0"/>
            <w:vAlign w:val="center"/>
          </w:tcPr>
          <w:p w14:paraId="6E986E34">
            <w:pPr>
              <w:ind w:left="0" w:leftChars="0" w:firstLine="0" w:firstLineChars="0"/>
              <w:jc w:val="center"/>
              <w:rPr>
                <w:rFonts w:hint="eastAsia"/>
                <w:color w:val="auto"/>
                <w:sz w:val="24"/>
                <w:szCs w:val="24"/>
                <w:vertAlign w:val="baseline"/>
                <w:lang w:eastAsia="zh-CN"/>
              </w:rPr>
            </w:pPr>
            <w:r>
              <w:rPr>
                <w:rFonts w:hint="default" w:ascii="宋体" w:hAnsi="宋体" w:cs="宋体"/>
                <w:color w:val="auto"/>
                <w:sz w:val="24"/>
                <w:szCs w:val="24"/>
                <w:lang w:eastAsia="zh-CN"/>
              </w:rPr>
              <w:t>98</w:t>
            </w:r>
            <w:r>
              <w:rPr>
                <w:rFonts w:hint="eastAsia" w:ascii="宋体" w:hAnsi="宋体" w:eastAsia="宋体" w:cs="宋体"/>
                <w:color w:val="auto"/>
                <w:sz w:val="24"/>
                <w:szCs w:val="24"/>
                <w:lang w:val="en-US" w:eastAsia="zh-CN"/>
              </w:rPr>
              <w:t>英寸电子白板大屏显示系统</w:t>
            </w:r>
          </w:p>
        </w:tc>
        <w:tc>
          <w:tcPr>
            <w:tcW w:w="1110" w:type="dxa"/>
            <w:noWrap w:val="0"/>
            <w:vAlign w:val="center"/>
          </w:tcPr>
          <w:p w14:paraId="6AE7377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color w:val="auto"/>
                <w:sz w:val="24"/>
                <w:szCs w:val="24"/>
                <w:vertAlign w:val="baseline"/>
                <w:lang w:eastAsia="zh-CN"/>
              </w:rPr>
            </w:pPr>
            <w:r>
              <w:rPr>
                <w:rFonts w:hint="eastAsia" w:ascii="宋体" w:hAnsi="宋体" w:eastAsia="宋体" w:cs="宋体"/>
                <w:i w:val="0"/>
                <w:iCs w:val="0"/>
                <w:color w:val="auto"/>
                <w:kern w:val="0"/>
                <w:sz w:val="24"/>
                <w:szCs w:val="24"/>
                <w:u w:val="none"/>
                <w:lang w:val="en-US" w:eastAsia="zh-CN" w:bidi="ar"/>
              </w:rPr>
              <w:t>台</w:t>
            </w:r>
          </w:p>
        </w:tc>
        <w:tc>
          <w:tcPr>
            <w:tcW w:w="794" w:type="dxa"/>
            <w:noWrap w:val="0"/>
            <w:vAlign w:val="center"/>
          </w:tcPr>
          <w:p w14:paraId="39BEDC10">
            <w:pPr>
              <w:ind w:left="0" w:leftChars="0" w:firstLine="0" w:firstLineChars="0"/>
              <w:jc w:val="center"/>
              <w:rPr>
                <w:rFonts w:hint="eastAsia"/>
                <w:color w:val="auto"/>
                <w:sz w:val="24"/>
                <w:szCs w:val="24"/>
                <w:vertAlign w:val="baseline"/>
                <w:lang w:eastAsia="zh-CN"/>
              </w:rPr>
            </w:pPr>
            <w:r>
              <w:rPr>
                <w:rFonts w:hint="eastAsia" w:ascii="宋体" w:hAnsi="宋体" w:eastAsia="宋体" w:cs="宋体"/>
                <w:color w:val="auto"/>
                <w:sz w:val="24"/>
                <w:szCs w:val="24"/>
                <w:lang w:val="en-US" w:eastAsia="zh-CN"/>
              </w:rPr>
              <w:t>1</w:t>
            </w:r>
          </w:p>
        </w:tc>
        <w:tc>
          <w:tcPr>
            <w:tcW w:w="1792" w:type="dxa"/>
            <w:noWrap w:val="0"/>
            <w:vAlign w:val="center"/>
          </w:tcPr>
          <w:p w14:paraId="6F340D1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Calibri" w:hAnsi="Calibri" w:eastAsia="宋体" w:cs="Times New Roman"/>
                <w:color w:val="auto"/>
                <w:kern w:val="2"/>
                <w:sz w:val="24"/>
                <w:szCs w:val="24"/>
                <w:vertAlign w:val="baseline"/>
                <w:lang w:val="en-US" w:eastAsia="zh-CN" w:bidi="ar-SA"/>
              </w:rPr>
            </w:pPr>
            <w:r>
              <w:rPr>
                <w:rFonts w:hint="eastAsia"/>
                <w:color w:val="auto"/>
                <w:sz w:val="24"/>
                <w:szCs w:val="24"/>
                <w:vertAlign w:val="baseline"/>
                <w:lang w:eastAsia="zh-CN"/>
              </w:rPr>
              <w:t>强制节能产品</w:t>
            </w:r>
          </w:p>
        </w:tc>
      </w:tr>
      <w:tr w14:paraId="3E640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noWrap w:val="0"/>
            <w:vAlign w:val="center"/>
          </w:tcPr>
          <w:p w14:paraId="29D5EFE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4</w:t>
            </w:r>
          </w:p>
        </w:tc>
        <w:tc>
          <w:tcPr>
            <w:tcW w:w="3690" w:type="dxa"/>
            <w:noWrap w:val="0"/>
            <w:vAlign w:val="center"/>
          </w:tcPr>
          <w:p w14:paraId="635A475F">
            <w:pPr>
              <w:ind w:left="0" w:leftChars="0" w:firstLine="0" w:firstLineChars="0"/>
              <w:jc w:val="center"/>
              <w:rPr>
                <w:rFonts w:hint="eastAsia"/>
                <w:sz w:val="24"/>
                <w:szCs w:val="24"/>
                <w:vertAlign w:val="baseline"/>
                <w:lang w:eastAsia="zh-CN"/>
              </w:rPr>
            </w:pPr>
            <w:r>
              <w:rPr>
                <w:rFonts w:hint="eastAsia" w:ascii="宋体" w:hAnsi="宋体" w:eastAsia="宋体" w:cs="宋体"/>
                <w:sz w:val="24"/>
                <w:szCs w:val="24"/>
                <w:lang w:val="en-US" w:eastAsia="zh-CN"/>
              </w:rPr>
              <w:t>机房管理系统</w:t>
            </w:r>
          </w:p>
        </w:tc>
        <w:tc>
          <w:tcPr>
            <w:tcW w:w="1110" w:type="dxa"/>
            <w:noWrap w:val="0"/>
            <w:vAlign w:val="center"/>
          </w:tcPr>
          <w:p w14:paraId="7AEEEB8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sz w:val="24"/>
                <w:szCs w:val="24"/>
                <w:vertAlign w:val="baseline"/>
                <w:lang w:eastAsia="zh-CN"/>
              </w:rPr>
            </w:pPr>
            <w:r>
              <w:rPr>
                <w:rFonts w:hint="eastAsia" w:ascii="宋体" w:hAnsi="宋体" w:eastAsia="宋体" w:cs="宋体"/>
                <w:i w:val="0"/>
                <w:iCs w:val="0"/>
                <w:color w:val="000000"/>
                <w:kern w:val="0"/>
                <w:sz w:val="24"/>
                <w:szCs w:val="24"/>
                <w:u w:val="none"/>
                <w:lang w:val="en-US" w:eastAsia="zh-CN" w:bidi="ar"/>
              </w:rPr>
              <w:t>套</w:t>
            </w:r>
          </w:p>
        </w:tc>
        <w:tc>
          <w:tcPr>
            <w:tcW w:w="794" w:type="dxa"/>
            <w:noWrap w:val="0"/>
            <w:vAlign w:val="center"/>
          </w:tcPr>
          <w:p w14:paraId="4F4E0B23">
            <w:pPr>
              <w:ind w:left="0" w:leftChars="0" w:firstLine="0" w:firstLineChars="0"/>
              <w:jc w:val="center"/>
              <w:rPr>
                <w:rFonts w:hint="eastAsia"/>
                <w:sz w:val="24"/>
                <w:szCs w:val="24"/>
                <w:vertAlign w:val="baseline"/>
                <w:lang w:eastAsia="zh-CN"/>
              </w:rPr>
            </w:pPr>
            <w:r>
              <w:rPr>
                <w:rFonts w:hint="eastAsia" w:ascii="宋体" w:hAnsi="宋体" w:eastAsia="宋体" w:cs="宋体"/>
                <w:sz w:val="24"/>
                <w:szCs w:val="24"/>
                <w:lang w:val="en-US" w:eastAsia="zh-CN"/>
              </w:rPr>
              <w:t>1</w:t>
            </w:r>
          </w:p>
        </w:tc>
        <w:tc>
          <w:tcPr>
            <w:tcW w:w="1792" w:type="dxa"/>
            <w:noWrap w:val="0"/>
            <w:vAlign w:val="center"/>
          </w:tcPr>
          <w:p w14:paraId="6242479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p>
        </w:tc>
      </w:tr>
      <w:tr w14:paraId="66A76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noWrap w:val="0"/>
            <w:vAlign w:val="center"/>
          </w:tcPr>
          <w:p w14:paraId="0EF3A06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5</w:t>
            </w:r>
          </w:p>
        </w:tc>
        <w:tc>
          <w:tcPr>
            <w:tcW w:w="3690" w:type="dxa"/>
            <w:noWrap w:val="0"/>
            <w:vAlign w:val="center"/>
          </w:tcPr>
          <w:p w14:paraId="2E142295">
            <w:pPr>
              <w:ind w:left="0" w:leftChars="0" w:firstLine="0" w:firstLineChars="0"/>
              <w:jc w:val="center"/>
              <w:rPr>
                <w:rFonts w:hint="eastAsia"/>
                <w:sz w:val="24"/>
                <w:szCs w:val="24"/>
                <w:vertAlign w:val="baseline"/>
                <w:lang w:eastAsia="zh-CN"/>
              </w:rPr>
            </w:pPr>
            <w:r>
              <w:rPr>
                <w:rFonts w:hint="eastAsia" w:ascii="宋体" w:hAnsi="宋体" w:eastAsia="宋体" w:cs="宋体"/>
                <w:sz w:val="24"/>
                <w:szCs w:val="24"/>
                <w:lang w:val="en-US" w:eastAsia="zh-CN"/>
              </w:rPr>
              <w:t>学生电脑桌</w:t>
            </w:r>
          </w:p>
        </w:tc>
        <w:tc>
          <w:tcPr>
            <w:tcW w:w="1110" w:type="dxa"/>
            <w:noWrap w:val="0"/>
            <w:vAlign w:val="center"/>
          </w:tcPr>
          <w:p w14:paraId="4F6D023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sz w:val="24"/>
                <w:szCs w:val="24"/>
                <w:vertAlign w:val="baseline"/>
                <w:lang w:eastAsia="zh-CN"/>
              </w:rPr>
            </w:pPr>
            <w:r>
              <w:rPr>
                <w:rFonts w:hint="eastAsia" w:ascii="宋体" w:hAnsi="宋体" w:eastAsia="宋体" w:cs="宋体"/>
                <w:i w:val="0"/>
                <w:iCs w:val="0"/>
                <w:color w:val="000000"/>
                <w:kern w:val="0"/>
                <w:sz w:val="24"/>
                <w:szCs w:val="24"/>
                <w:u w:val="none"/>
                <w:lang w:val="en-US" w:eastAsia="zh-CN" w:bidi="ar"/>
              </w:rPr>
              <w:t>张</w:t>
            </w:r>
          </w:p>
        </w:tc>
        <w:tc>
          <w:tcPr>
            <w:tcW w:w="794" w:type="dxa"/>
            <w:noWrap w:val="0"/>
            <w:vAlign w:val="center"/>
          </w:tcPr>
          <w:p w14:paraId="44467FC1">
            <w:pPr>
              <w:ind w:left="0" w:leftChars="0" w:firstLine="0" w:firstLineChars="0"/>
              <w:jc w:val="center"/>
              <w:rPr>
                <w:rFonts w:hint="eastAsia"/>
                <w:sz w:val="24"/>
                <w:szCs w:val="24"/>
                <w:vertAlign w:val="baseline"/>
                <w:lang w:eastAsia="zh-CN"/>
              </w:rPr>
            </w:pPr>
            <w:r>
              <w:rPr>
                <w:rFonts w:hint="eastAsia" w:ascii="宋体" w:hAnsi="宋体" w:eastAsia="宋体" w:cs="宋体"/>
                <w:sz w:val="24"/>
                <w:szCs w:val="24"/>
                <w:lang w:val="en-US" w:eastAsia="zh-CN"/>
              </w:rPr>
              <w:t>50</w:t>
            </w:r>
          </w:p>
        </w:tc>
        <w:tc>
          <w:tcPr>
            <w:tcW w:w="1792" w:type="dxa"/>
            <w:noWrap w:val="0"/>
            <w:vAlign w:val="center"/>
          </w:tcPr>
          <w:p w14:paraId="5AD38FB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p>
        </w:tc>
      </w:tr>
      <w:tr w14:paraId="4D01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noWrap w:val="0"/>
            <w:vAlign w:val="center"/>
          </w:tcPr>
          <w:p w14:paraId="66D377A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6</w:t>
            </w:r>
          </w:p>
        </w:tc>
        <w:tc>
          <w:tcPr>
            <w:tcW w:w="3690" w:type="dxa"/>
            <w:noWrap w:val="0"/>
            <w:vAlign w:val="center"/>
          </w:tcPr>
          <w:p w14:paraId="3B5938B4">
            <w:pPr>
              <w:ind w:left="0" w:leftChars="0" w:firstLine="0" w:firstLineChars="0"/>
              <w:jc w:val="center"/>
              <w:rPr>
                <w:rFonts w:hint="eastAsia"/>
                <w:sz w:val="24"/>
                <w:szCs w:val="24"/>
                <w:vertAlign w:val="baseline"/>
                <w:lang w:eastAsia="zh-CN"/>
              </w:rPr>
            </w:pPr>
            <w:r>
              <w:rPr>
                <w:rFonts w:hint="eastAsia" w:ascii="宋体" w:hAnsi="宋体" w:eastAsia="宋体" w:cs="宋体"/>
                <w:sz w:val="24"/>
                <w:szCs w:val="24"/>
                <w:lang w:val="en-US" w:eastAsia="zh-CN"/>
              </w:rPr>
              <w:t>学生凳</w:t>
            </w:r>
          </w:p>
        </w:tc>
        <w:tc>
          <w:tcPr>
            <w:tcW w:w="1110" w:type="dxa"/>
            <w:noWrap w:val="0"/>
            <w:vAlign w:val="center"/>
          </w:tcPr>
          <w:p w14:paraId="0620744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sz w:val="24"/>
                <w:szCs w:val="24"/>
                <w:vertAlign w:val="baseline"/>
                <w:lang w:eastAsia="zh-CN"/>
              </w:rPr>
            </w:pPr>
            <w:r>
              <w:rPr>
                <w:rFonts w:hint="eastAsia" w:ascii="宋体" w:hAnsi="宋体" w:eastAsia="宋体" w:cs="宋体"/>
                <w:i w:val="0"/>
                <w:iCs w:val="0"/>
                <w:color w:val="000000"/>
                <w:kern w:val="0"/>
                <w:sz w:val="24"/>
                <w:szCs w:val="24"/>
                <w:u w:val="none"/>
                <w:lang w:val="en-US" w:eastAsia="zh-CN" w:bidi="ar"/>
              </w:rPr>
              <w:t>个</w:t>
            </w:r>
          </w:p>
        </w:tc>
        <w:tc>
          <w:tcPr>
            <w:tcW w:w="794" w:type="dxa"/>
            <w:noWrap w:val="0"/>
            <w:vAlign w:val="center"/>
          </w:tcPr>
          <w:p w14:paraId="7EE5AA06">
            <w:pPr>
              <w:ind w:left="0" w:leftChars="0" w:firstLine="0" w:firstLineChars="0"/>
              <w:jc w:val="center"/>
              <w:rPr>
                <w:rFonts w:hint="eastAsia"/>
                <w:sz w:val="24"/>
                <w:szCs w:val="24"/>
                <w:vertAlign w:val="baseline"/>
                <w:lang w:eastAsia="zh-CN"/>
              </w:rPr>
            </w:pPr>
            <w:r>
              <w:rPr>
                <w:rFonts w:hint="eastAsia" w:ascii="宋体" w:hAnsi="宋体" w:eastAsia="宋体" w:cs="宋体"/>
                <w:sz w:val="24"/>
                <w:szCs w:val="24"/>
                <w:lang w:val="en-US" w:eastAsia="zh-CN"/>
              </w:rPr>
              <w:t>50</w:t>
            </w:r>
          </w:p>
        </w:tc>
        <w:tc>
          <w:tcPr>
            <w:tcW w:w="1792" w:type="dxa"/>
            <w:noWrap w:val="0"/>
            <w:vAlign w:val="center"/>
          </w:tcPr>
          <w:p w14:paraId="5488E75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p>
        </w:tc>
      </w:tr>
      <w:tr w14:paraId="31DC9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noWrap w:val="0"/>
            <w:vAlign w:val="center"/>
          </w:tcPr>
          <w:p w14:paraId="341E3C8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7</w:t>
            </w:r>
          </w:p>
        </w:tc>
        <w:tc>
          <w:tcPr>
            <w:tcW w:w="3690" w:type="dxa"/>
            <w:noWrap w:val="0"/>
            <w:vAlign w:val="center"/>
          </w:tcPr>
          <w:p w14:paraId="2EB26C58">
            <w:pPr>
              <w:ind w:left="0" w:leftChars="0" w:firstLine="0" w:firstLineChars="0"/>
              <w:jc w:val="center"/>
              <w:rPr>
                <w:rFonts w:hint="eastAsia"/>
                <w:sz w:val="24"/>
                <w:szCs w:val="24"/>
                <w:vertAlign w:val="baseline"/>
                <w:lang w:eastAsia="zh-CN"/>
              </w:rPr>
            </w:pPr>
            <w:r>
              <w:rPr>
                <w:rFonts w:hint="eastAsia" w:ascii="宋体" w:hAnsi="宋体" w:eastAsia="宋体" w:cs="宋体"/>
                <w:sz w:val="24"/>
                <w:szCs w:val="24"/>
                <w:lang w:val="en-US" w:eastAsia="zh-CN"/>
              </w:rPr>
              <w:t>多媒体讲台套件</w:t>
            </w:r>
          </w:p>
        </w:tc>
        <w:tc>
          <w:tcPr>
            <w:tcW w:w="1110" w:type="dxa"/>
            <w:noWrap w:val="0"/>
            <w:vAlign w:val="center"/>
          </w:tcPr>
          <w:p w14:paraId="72F2A00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sz w:val="24"/>
                <w:szCs w:val="24"/>
                <w:vertAlign w:val="baseline"/>
                <w:lang w:eastAsia="zh-CN"/>
              </w:rPr>
            </w:pPr>
            <w:r>
              <w:rPr>
                <w:rFonts w:hint="eastAsia" w:ascii="宋体" w:hAnsi="宋体" w:eastAsia="宋体" w:cs="宋体"/>
                <w:i w:val="0"/>
                <w:iCs w:val="0"/>
                <w:color w:val="000000"/>
                <w:kern w:val="0"/>
                <w:sz w:val="24"/>
                <w:szCs w:val="24"/>
                <w:u w:val="none"/>
                <w:lang w:val="en-US" w:eastAsia="zh-CN" w:bidi="ar"/>
              </w:rPr>
              <w:t>套</w:t>
            </w:r>
          </w:p>
        </w:tc>
        <w:tc>
          <w:tcPr>
            <w:tcW w:w="794" w:type="dxa"/>
            <w:noWrap w:val="0"/>
            <w:vAlign w:val="center"/>
          </w:tcPr>
          <w:p w14:paraId="69B5085D">
            <w:pPr>
              <w:ind w:left="0" w:leftChars="0" w:firstLine="0" w:firstLineChars="0"/>
              <w:jc w:val="center"/>
              <w:rPr>
                <w:rFonts w:hint="eastAsia"/>
                <w:sz w:val="24"/>
                <w:szCs w:val="24"/>
                <w:vertAlign w:val="baseline"/>
                <w:lang w:eastAsia="zh-CN"/>
              </w:rPr>
            </w:pPr>
            <w:r>
              <w:rPr>
                <w:rFonts w:hint="eastAsia" w:ascii="宋体" w:hAnsi="宋体" w:eastAsia="宋体" w:cs="宋体"/>
                <w:sz w:val="24"/>
                <w:szCs w:val="24"/>
                <w:lang w:val="en-US" w:eastAsia="zh-CN"/>
              </w:rPr>
              <w:t>1</w:t>
            </w:r>
          </w:p>
        </w:tc>
        <w:tc>
          <w:tcPr>
            <w:tcW w:w="1792" w:type="dxa"/>
            <w:noWrap w:val="0"/>
            <w:vAlign w:val="center"/>
          </w:tcPr>
          <w:p w14:paraId="6717CCD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p>
        </w:tc>
      </w:tr>
      <w:tr w14:paraId="2A3B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noWrap w:val="0"/>
            <w:vAlign w:val="center"/>
          </w:tcPr>
          <w:p w14:paraId="00A090A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8</w:t>
            </w:r>
          </w:p>
        </w:tc>
        <w:tc>
          <w:tcPr>
            <w:tcW w:w="3690" w:type="dxa"/>
            <w:noWrap w:val="0"/>
            <w:vAlign w:val="center"/>
          </w:tcPr>
          <w:p w14:paraId="7DCA850F">
            <w:pPr>
              <w:ind w:left="0" w:leftChars="0" w:firstLine="0" w:firstLineChars="0"/>
              <w:jc w:val="center"/>
              <w:rPr>
                <w:rFonts w:hint="eastAsia"/>
                <w:sz w:val="24"/>
                <w:szCs w:val="24"/>
                <w:vertAlign w:val="baseline"/>
                <w:lang w:eastAsia="zh-CN"/>
              </w:rPr>
            </w:pPr>
            <w:r>
              <w:rPr>
                <w:rFonts w:hint="eastAsia" w:ascii="宋体" w:hAnsi="宋体" w:eastAsia="宋体" w:cs="宋体"/>
                <w:sz w:val="24"/>
                <w:szCs w:val="24"/>
                <w:lang w:val="en-US" w:eastAsia="zh-CN"/>
              </w:rPr>
              <w:t>千兆交换机</w:t>
            </w:r>
          </w:p>
        </w:tc>
        <w:tc>
          <w:tcPr>
            <w:tcW w:w="1110" w:type="dxa"/>
            <w:noWrap w:val="0"/>
            <w:vAlign w:val="center"/>
          </w:tcPr>
          <w:p w14:paraId="432A108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sz w:val="24"/>
                <w:szCs w:val="24"/>
                <w:vertAlign w:val="baseline"/>
                <w:lang w:eastAsia="zh-CN"/>
              </w:rPr>
            </w:pPr>
            <w:r>
              <w:rPr>
                <w:rFonts w:hint="eastAsia" w:ascii="宋体" w:hAnsi="宋体" w:eastAsia="宋体" w:cs="宋体"/>
                <w:i w:val="0"/>
                <w:iCs w:val="0"/>
                <w:color w:val="000000"/>
                <w:kern w:val="0"/>
                <w:sz w:val="24"/>
                <w:szCs w:val="24"/>
                <w:u w:val="none"/>
                <w:lang w:val="en-US" w:eastAsia="zh-CN" w:bidi="ar"/>
              </w:rPr>
              <w:t>台</w:t>
            </w:r>
          </w:p>
        </w:tc>
        <w:tc>
          <w:tcPr>
            <w:tcW w:w="794" w:type="dxa"/>
            <w:noWrap w:val="0"/>
            <w:vAlign w:val="center"/>
          </w:tcPr>
          <w:p w14:paraId="2763E767">
            <w:pPr>
              <w:ind w:left="0" w:leftChars="0" w:firstLine="0" w:firstLineChars="0"/>
              <w:jc w:val="center"/>
              <w:rPr>
                <w:rFonts w:hint="default"/>
                <w:color w:val="0000FF"/>
                <w:sz w:val="24"/>
                <w:szCs w:val="24"/>
                <w:vertAlign w:val="baseline"/>
                <w:lang w:eastAsia="zh-CN"/>
              </w:rPr>
            </w:pPr>
            <w:r>
              <w:rPr>
                <w:rFonts w:hint="default" w:ascii="宋体" w:hAnsi="宋体" w:cs="宋体"/>
                <w:color w:val="0000FF"/>
                <w:sz w:val="24"/>
                <w:szCs w:val="24"/>
                <w:lang w:eastAsia="zh-CN"/>
              </w:rPr>
              <w:t>2</w:t>
            </w:r>
          </w:p>
        </w:tc>
        <w:tc>
          <w:tcPr>
            <w:tcW w:w="1792" w:type="dxa"/>
            <w:noWrap w:val="0"/>
            <w:vAlign w:val="center"/>
          </w:tcPr>
          <w:p w14:paraId="2D5E8CE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p>
        </w:tc>
      </w:tr>
      <w:tr w14:paraId="2CEE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noWrap w:val="0"/>
            <w:vAlign w:val="center"/>
          </w:tcPr>
          <w:p w14:paraId="26D66A2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9</w:t>
            </w:r>
          </w:p>
        </w:tc>
        <w:tc>
          <w:tcPr>
            <w:tcW w:w="3690" w:type="dxa"/>
            <w:noWrap w:val="0"/>
            <w:vAlign w:val="center"/>
          </w:tcPr>
          <w:p w14:paraId="1C201E15">
            <w:pPr>
              <w:ind w:left="0" w:leftChars="0" w:firstLine="0" w:firstLineChars="0"/>
              <w:jc w:val="center"/>
              <w:rPr>
                <w:rFonts w:hint="eastAsia"/>
                <w:sz w:val="24"/>
                <w:szCs w:val="24"/>
                <w:vertAlign w:val="baseline"/>
                <w:lang w:eastAsia="zh-CN"/>
              </w:rPr>
            </w:pPr>
            <w:r>
              <w:rPr>
                <w:rFonts w:hint="eastAsia" w:ascii="宋体" w:hAnsi="宋体" w:eastAsia="宋体" w:cs="宋体"/>
                <w:sz w:val="24"/>
                <w:szCs w:val="24"/>
                <w:lang w:val="en-US" w:eastAsia="zh-CN"/>
              </w:rPr>
              <w:t>网络布线工程</w:t>
            </w:r>
          </w:p>
        </w:tc>
        <w:tc>
          <w:tcPr>
            <w:tcW w:w="1110" w:type="dxa"/>
            <w:noWrap w:val="0"/>
            <w:vAlign w:val="center"/>
          </w:tcPr>
          <w:p w14:paraId="32630ED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sz w:val="24"/>
                <w:szCs w:val="24"/>
                <w:vertAlign w:val="baseline"/>
                <w:lang w:eastAsia="zh-CN"/>
              </w:rPr>
            </w:pPr>
            <w:r>
              <w:rPr>
                <w:rFonts w:hint="eastAsia" w:ascii="宋体" w:hAnsi="宋体" w:eastAsia="宋体" w:cs="宋体"/>
                <w:i w:val="0"/>
                <w:iCs w:val="0"/>
                <w:color w:val="000000"/>
                <w:kern w:val="0"/>
                <w:sz w:val="24"/>
                <w:szCs w:val="24"/>
                <w:u w:val="none"/>
                <w:lang w:val="en-US" w:eastAsia="zh-CN" w:bidi="ar"/>
              </w:rPr>
              <w:t>批</w:t>
            </w:r>
          </w:p>
        </w:tc>
        <w:tc>
          <w:tcPr>
            <w:tcW w:w="794" w:type="dxa"/>
            <w:noWrap w:val="0"/>
            <w:vAlign w:val="center"/>
          </w:tcPr>
          <w:p w14:paraId="50B19461">
            <w:pPr>
              <w:ind w:left="0" w:leftChars="0" w:firstLine="0" w:firstLineChars="0"/>
              <w:jc w:val="center"/>
              <w:rPr>
                <w:rFonts w:hint="eastAsia"/>
                <w:sz w:val="24"/>
                <w:szCs w:val="24"/>
                <w:vertAlign w:val="baseline"/>
                <w:lang w:eastAsia="zh-CN"/>
              </w:rPr>
            </w:pPr>
            <w:r>
              <w:rPr>
                <w:rFonts w:hint="eastAsia" w:ascii="宋体" w:hAnsi="宋体" w:eastAsia="宋体" w:cs="宋体"/>
                <w:sz w:val="24"/>
                <w:szCs w:val="24"/>
                <w:lang w:val="en-US" w:eastAsia="zh-CN"/>
              </w:rPr>
              <w:t>1</w:t>
            </w:r>
          </w:p>
        </w:tc>
        <w:tc>
          <w:tcPr>
            <w:tcW w:w="1792" w:type="dxa"/>
            <w:noWrap w:val="0"/>
            <w:vAlign w:val="center"/>
          </w:tcPr>
          <w:p w14:paraId="3DDB810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p>
        </w:tc>
      </w:tr>
      <w:tr w14:paraId="387B9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noWrap w:val="0"/>
            <w:vAlign w:val="center"/>
          </w:tcPr>
          <w:p w14:paraId="0D8450F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10</w:t>
            </w:r>
          </w:p>
        </w:tc>
        <w:tc>
          <w:tcPr>
            <w:tcW w:w="3690" w:type="dxa"/>
            <w:noWrap w:val="0"/>
            <w:vAlign w:val="center"/>
          </w:tcPr>
          <w:p w14:paraId="3989A3C0">
            <w:pPr>
              <w:ind w:left="0" w:leftChars="0" w:firstLine="0" w:firstLineChars="0"/>
              <w:jc w:val="center"/>
              <w:rPr>
                <w:rFonts w:hint="eastAsia"/>
                <w:sz w:val="24"/>
                <w:szCs w:val="24"/>
                <w:vertAlign w:val="baseline"/>
                <w:lang w:eastAsia="zh-CN"/>
              </w:rPr>
            </w:pPr>
            <w:r>
              <w:rPr>
                <w:rFonts w:hint="eastAsia" w:ascii="宋体" w:hAnsi="宋体" w:eastAsia="宋体" w:cs="宋体"/>
                <w:sz w:val="24"/>
                <w:szCs w:val="24"/>
                <w:lang w:val="en-US" w:eastAsia="zh-CN"/>
              </w:rPr>
              <w:t>考场文化氛围布置</w:t>
            </w:r>
          </w:p>
        </w:tc>
        <w:tc>
          <w:tcPr>
            <w:tcW w:w="1110" w:type="dxa"/>
            <w:noWrap w:val="0"/>
            <w:vAlign w:val="center"/>
          </w:tcPr>
          <w:p w14:paraId="4DDE3E9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sz w:val="24"/>
                <w:szCs w:val="24"/>
                <w:vertAlign w:val="baseline"/>
                <w:lang w:eastAsia="zh-CN"/>
              </w:rPr>
            </w:pPr>
            <w:r>
              <w:rPr>
                <w:rFonts w:hint="eastAsia" w:ascii="宋体" w:hAnsi="宋体" w:eastAsia="宋体" w:cs="宋体"/>
                <w:i w:val="0"/>
                <w:iCs w:val="0"/>
                <w:color w:val="000000"/>
                <w:kern w:val="0"/>
                <w:sz w:val="24"/>
                <w:szCs w:val="24"/>
                <w:u w:val="none"/>
                <w:lang w:val="en-US" w:eastAsia="zh-CN" w:bidi="ar"/>
              </w:rPr>
              <w:t>批</w:t>
            </w:r>
          </w:p>
        </w:tc>
        <w:tc>
          <w:tcPr>
            <w:tcW w:w="794" w:type="dxa"/>
            <w:noWrap w:val="0"/>
            <w:vAlign w:val="center"/>
          </w:tcPr>
          <w:p w14:paraId="29A459DB">
            <w:pPr>
              <w:ind w:left="0" w:leftChars="0" w:firstLine="0" w:firstLineChars="0"/>
              <w:jc w:val="center"/>
              <w:rPr>
                <w:rFonts w:hint="eastAsia"/>
                <w:sz w:val="24"/>
                <w:szCs w:val="24"/>
                <w:vertAlign w:val="baseline"/>
                <w:lang w:eastAsia="zh-CN"/>
              </w:rPr>
            </w:pPr>
            <w:r>
              <w:rPr>
                <w:rFonts w:hint="eastAsia" w:ascii="宋体" w:hAnsi="宋体" w:eastAsia="宋体" w:cs="宋体"/>
                <w:sz w:val="24"/>
                <w:szCs w:val="24"/>
                <w:lang w:val="en-US" w:eastAsia="zh-CN"/>
              </w:rPr>
              <w:t>1</w:t>
            </w:r>
          </w:p>
        </w:tc>
        <w:tc>
          <w:tcPr>
            <w:tcW w:w="1792" w:type="dxa"/>
            <w:noWrap w:val="0"/>
            <w:vAlign w:val="center"/>
          </w:tcPr>
          <w:p w14:paraId="14D98CC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p>
        </w:tc>
      </w:tr>
      <w:tr w14:paraId="31C2F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noWrap w:val="0"/>
            <w:vAlign w:val="center"/>
          </w:tcPr>
          <w:p w14:paraId="6823B16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eastAsia="zh-CN"/>
              </w:rPr>
            </w:pPr>
            <w:r>
              <w:rPr>
                <w:rFonts w:hint="default"/>
                <w:color w:val="auto"/>
                <w:sz w:val="21"/>
                <w:szCs w:val="21"/>
                <w:vertAlign w:val="baseline"/>
                <w:lang w:eastAsia="zh-CN"/>
              </w:rPr>
              <w:t>11</w:t>
            </w:r>
          </w:p>
        </w:tc>
        <w:tc>
          <w:tcPr>
            <w:tcW w:w="3690" w:type="dxa"/>
            <w:noWrap w:val="0"/>
            <w:vAlign w:val="center"/>
          </w:tcPr>
          <w:p w14:paraId="5963BE6D">
            <w:pPr>
              <w:ind w:left="0" w:leftChars="0" w:firstLine="0" w:firstLineChars="0"/>
              <w:jc w:val="center"/>
              <w:rPr>
                <w:rFonts w:hint="default" w:ascii="宋体" w:hAnsi="宋体" w:eastAsia="宋体" w:cs="宋体"/>
                <w:color w:val="auto"/>
                <w:sz w:val="24"/>
                <w:szCs w:val="24"/>
                <w:lang w:eastAsia="zh-CN"/>
              </w:rPr>
            </w:pPr>
            <w:r>
              <w:rPr>
                <w:rFonts w:hint="default" w:ascii="宋体" w:hAnsi="宋体" w:cs="宋体"/>
                <w:color w:val="auto"/>
                <w:sz w:val="24"/>
                <w:szCs w:val="24"/>
                <w:lang w:eastAsia="zh-CN"/>
              </w:rPr>
              <w:t>网络机柜</w:t>
            </w:r>
          </w:p>
        </w:tc>
        <w:tc>
          <w:tcPr>
            <w:tcW w:w="1110" w:type="dxa"/>
            <w:noWrap w:val="0"/>
            <w:vAlign w:val="center"/>
          </w:tcPr>
          <w:p w14:paraId="52AD0AD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宋体" w:hAnsi="宋体" w:eastAsia="宋体" w:cs="宋体"/>
                <w:i w:val="0"/>
                <w:iCs w:val="0"/>
                <w:color w:val="auto"/>
                <w:kern w:val="0"/>
                <w:sz w:val="24"/>
                <w:szCs w:val="24"/>
                <w:u w:val="none"/>
                <w:lang w:eastAsia="zh-CN" w:bidi="ar"/>
              </w:rPr>
            </w:pPr>
            <w:r>
              <w:rPr>
                <w:rFonts w:hint="default" w:ascii="宋体" w:hAnsi="宋体" w:cs="宋体"/>
                <w:i w:val="0"/>
                <w:iCs w:val="0"/>
                <w:color w:val="auto"/>
                <w:kern w:val="0"/>
                <w:sz w:val="24"/>
                <w:szCs w:val="24"/>
                <w:u w:val="none"/>
                <w:lang w:eastAsia="zh-CN" w:bidi="ar"/>
              </w:rPr>
              <w:t>台</w:t>
            </w:r>
          </w:p>
        </w:tc>
        <w:tc>
          <w:tcPr>
            <w:tcW w:w="794" w:type="dxa"/>
            <w:noWrap w:val="0"/>
            <w:vAlign w:val="center"/>
          </w:tcPr>
          <w:p w14:paraId="2BC4C310">
            <w:pPr>
              <w:ind w:left="0" w:leftChars="0" w:firstLine="0" w:firstLineChars="0"/>
              <w:jc w:val="center"/>
              <w:rPr>
                <w:rFonts w:hint="default" w:ascii="宋体" w:hAnsi="宋体" w:eastAsia="宋体" w:cs="宋体"/>
                <w:color w:val="auto"/>
                <w:sz w:val="24"/>
                <w:szCs w:val="24"/>
                <w:lang w:eastAsia="zh-CN"/>
              </w:rPr>
            </w:pPr>
            <w:r>
              <w:rPr>
                <w:rFonts w:hint="default" w:ascii="宋体" w:hAnsi="宋体" w:cs="宋体"/>
                <w:color w:val="auto"/>
                <w:sz w:val="24"/>
                <w:szCs w:val="24"/>
                <w:lang w:eastAsia="zh-CN"/>
              </w:rPr>
              <w:t>1</w:t>
            </w:r>
          </w:p>
        </w:tc>
        <w:tc>
          <w:tcPr>
            <w:tcW w:w="1792" w:type="dxa"/>
            <w:noWrap w:val="0"/>
            <w:vAlign w:val="center"/>
          </w:tcPr>
          <w:p w14:paraId="1DE1F97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olor w:val="auto"/>
                <w:sz w:val="24"/>
                <w:szCs w:val="24"/>
                <w:vertAlign w:val="baseline"/>
                <w:lang w:eastAsia="zh-CN"/>
              </w:rPr>
            </w:pPr>
          </w:p>
        </w:tc>
      </w:tr>
      <w:tr w14:paraId="56BE2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noWrap w:val="0"/>
            <w:vAlign w:val="center"/>
          </w:tcPr>
          <w:p w14:paraId="36845D5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vertAlign w:val="baseline"/>
                <w:lang w:eastAsia="zh-CN"/>
              </w:rPr>
            </w:pPr>
            <w:r>
              <w:rPr>
                <w:rFonts w:hint="default"/>
                <w:color w:val="auto"/>
                <w:sz w:val="21"/>
                <w:szCs w:val="21"/>
                <w:vertAlign w:val="baseline"/>
                <w:lang w:eastAsia="zh-CN"/>
              </w:rPr>
              <w:t>12</w:t>
            </w:r>
          </w:p>
        </w:tc>
        <w:tc>
          <w:tcPr>
            <w:tcW w:w="3690" w:type="dxa"/>
            <w:noWrap w:val="0"/>
            <w:vAlign w:val="center"/>
          </w:tcPr>
          <w:p w14:paraId="2A567CD2">
            <w:pPr>
              <w:ind w:left="0" w:leftChars="0" w:firstLine="0" w:firstLineChars="0"/>
              <w:jc w:val="center"/>
              <w:rPr>
                <w:rFonts w:hint="default" w:ascii="宋体" w:hAnsi="宋体" w:cs="宋体"/>
                <w:color w:val="auto"/>
                <w:sz w:val="24"/>
                <w:szCs w:val="24"/>
                <w:lang w:eastAsia="zh-CN"/>
              </w:rPr>
            </w:pPr>
            <w:r>
              <w:rPr>
                <w:rFonts w:hint="default" w:ascii="宋体" w:hAnsi="宋体" w:cs="宋体"/>
                <w:color w:val="auto"/>
                <w:sz w:val="24"/>
                <w:szCs w:val="24"/>
                <w:lang w:eastAsia="zh-CN"/>
              </w:rPr>
              <w:t>静电地板</w:t>
            </w:r>
          </w:p>
        </w:tc>
        <w:tc>
          <w:tcPr>
            <w:tcW w:w="1110" w:type="dxa"/>
            <w:noWrap w:val="0"/>
            <w:vAlign w:val="center"/>
          </w:tcPr>
          <w:p w14:paraId="3BEB94D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宋体" w:hAnsi="宋体" w:cs="宋体"/>
                <w:i w:val="0"/>
                <w:iCs w:val="0"/>
                <w:color w:val="auto"/>
                <w:kern w:val="0"/>
                <w:sz w:val="24"/>
                <w:szCs w:val="24"/>
                <w:u w:val="none"/>
                <w:lang w:eastAsia="zh-CN" w:bidi="ar"/>
              </w:rPr>
            </w:pPr>
            <w:r>
              <w:rPr>
                <w:rFonts w:hint="default" w:ascii="Arial" w:hAnsi="Arial" w:cs="Arial"/>
                <w:i w:val="0"/>
                <w:iCs w:val="0"/>
                <w:color w:val="auto"/>
                <w:kern w:val="0"/>
                <w:sz w:val="24"/>
                <w:szCs w:val="24"/>
                <w:u w:val="none"/>
                <w:lang w:eastAsia="zh-CN" w:bidi="ar"/>
              </w:rPr>
              <w:t>㎡</w:t>
            </w:r>
          </w:p>
        </w:tc>
        <w:tc>
          <w:tcPr>
            <w:tcW w:w="794" w:type="dxa"/>
            <w:noWrap w:val="0"/>
            <w:vAlign w:val="center"/>
          </w:tcPr>
          <w:p w14:paraId="2A324519">
            <w:pPr>
              <w:ind w:left="0" w:leftChars="0" w:firstLine="0" w:firstLineChars="0"/>
              <w:jc w:val="center"/>
              <w:rPr>
                <w:rFonts w:hint="default" w:ascii="宋体" w:hAnsi="宋体" w:cs="宋体"/>
                <w:color w:val="auto"/>
                <w:sz w:val="24"/>
                <w:szCs w:val="24"/>
                <w:lang w:eastAsia="zh-CN"/>
              </w:rPr>
            </w:pPr>
            <w:r>
              <w:rPr>
                <w:rFonts w:hint="default" w:ascii="宋体" w:hAnsi="宋体" w:cs="宋体"/>
                <w:color w:val="auto"/>
                <w:sz w:val="24"/>
                <w:szCs w:val="24"/>
                <w:lang w:eastAsia="zh-CN"/>
              </w:rPr>
              <w:t>172</w:t>
            </w:r>
          </w:p>
        </w:tc>
        <w:tc>
          <w:tcPr>
            <w:tcW w:w="1792" w:type="dxa"/>
            <w:noWrap w:val="0"/>
            <w:vAlign w:val="center"/>
          </w:tcPr>
          <w:p w14:paraId="1DC30D6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color w:val="auto"/>
                <w:sz w:val="24"/>
                <w:szCs w:val="24"/>
                <w:vertAlign w:val="baseline"/>
                <w:lang w:eastAsia="zh-CN"/>
              </w:rPr>
            </w:pPr>
          </w:p>
        </w:tc>
      </w:tr>
    </w:tbl>
    <w:p w14:paraId="644AFFFA">
      <w:pPr>
        <w:pStyle w:val="2"/>
        <w:ind w:firstLine="602"/>
        <w:rPr>
          <w:rFonts w:hint="eastAsia" w:ascii="Calibri" w:hAnsi="Calibri" w:eastAsia="宋体" w:cs="Times New Roman"/>
          <w:b w:val="0"/>
          <w:kern w:val="2"/>
          <w:sz w:val="21"/>
          <w:szCs w:val="22"/>
          <w:lang w:val="en-US" w:eastAsia="zh-CN" w:bidi="ar-SA"/>
        </w:rPr>
      </w:pPr>
      <w:r>
        <w:rPr>
          <w:rFonts w:hint="eastAsia" w:ascii="Calibri" w:hAnsi="Calibri" w:eastAsia="宋体" w:cs="Times New Roman"/>
          <w:b w:val="0"/>
          <w:kern w:val="2"/>
          <w:sz w:val="21"/>
          <w:szCs w:val="22"/>
          <w:lang w:val="en-US" w:eastAsia="zh-CN" w:bidi="ar-SA"/>
        </w:rPr>
        <w:t>备注：（1） 为落实政府采购强制、优先采购节能产品政策的要求，本项目采购标的物中，需实施政府强制采购的节能品目清单产品类别为</w:t>
      </w:r>
      <w:r>
        <w:rPr>
          <w:rFonts w:hint="eastAsia" w:ascii="Calibri" w:hAnsi="Calibri" w:eastAsia="宋体" w:cs="Times New Roman"/>
          <w:b/>
          <w:bCs/>
          <w:color w:val="FF0000"/>
          <w:kern w:val="2"/>
          <w:sz w:val="21"/>
          <w:szCs w:val="22"/>
          <w:lang w:val="en-US" w:eastAsia="zh-CN" w:bidi="ar-SA"/>
        </w:rPr>
        <w:t>教学专用台式计算机</w:t>
      </w:r>
      <w:r>
        <w:rPr>
          <w:rFonts w:hint="eastAsia" w:ascii="Calibri" w:hAnsi="Calibri" w:cs="Times New Roman"/>
          <w:b/>
          <w:bCs/>
          <w:color w:val="FF0000"/>
          <w:kern w:val="2"/>
          <w:sz w:val="21"/>
          <w:szCs w:val="22"/>
          <w:lang w:val="en-US" w:eastAsia="zh-CN" w:bidi="ar-SA"/>
        </w:rPr>
        <w:t>、</w:t>
      </w:r>
      <w:r>
        <w:rPr>
          <w:rFonts w:hint="eastAsia" w:ascii="Calibri" w:hAnsi="Calibri" w:eastAsia="宋体" w:cs="Times New Roman"/>
          <w:b/>
          <w:bCs/>
          <w:color w:val="FF0000"/>
          <w:kern w:val="2"/>
          <w:sz w:val="21"/>
          <w:szCs w:val="22"/>
          <w:lang w:val="en-US" w:eastAsia="zh-CN" w:bidi="ar-SA"/>
        </w:rPr>
        <w:t>教学专用台式计算机</w:t>
      </w:r>
      <w:r>
        <w:rPr>
          <w:rFonts w:hint="eastAsia" w:ascii="Calibri" w:hAnsi="Calibri" w:cs="Times New Roman"/>
          <w:b/>
          <w:bCs/>
          <w:color w:val="FF0000"/>
          <w:kern w:val="2"/>
          <w:sz w:val="21"/>
          <w:szCs w:val="22"/>
          <w:lang w:val="en-US" w:eastAsia="zh-CN" w:bidi="ar-SA"/>
        </w:rPr>
        <w:t>显示器、</w:t>
      </w:r>
      <w:r>
        <w:rPr>
          <w:rFonts w:hint="default" w:ascii="Calibri" w:hAnsi="Calibri" w:cs="Times New Roman"/>
          <w:b/>
          <w:bCs/>
          <w:color w:val="FF0000"/>
          <w:kern w:val="2"/>
          <w:sz w:val="21"/>
          <w:szCs w:val="22"/>
          <w:lang w:eastAsia="zh-CN" w:bidi="ar-SA"/>
        </w:rPr>
        <w:t>98</w:t>
      </w:r>
      <w:r>
        <w:rPr>
          <w:rFonts w:hint="eastAsia" w:ascii="Calibri" w:hAnsi="Calibri" w:cs="Times New Roman"/>
          <w:b/>
          <w:bCs/>
          <w:color w:val="FF0000"/>
          <w:kern w:val="2"/>
          <w:sz w:val="21"/>
          <w:szCs w:val="22"/>
          <w:lang w:val="en-US" w:eastAsia="zh-CN" w:bidi="ar-SA"/>
        </w:rPr>
        <w:t>英寸电子白板大屏</w:t>
      </w:r>
      <w:r>
        <w:rPr>
          <w:rFonts w:hint="eastAsia" w:ascii="Calibri" w:hAnsi="Calibri" w:eastAsia="宋体" w:cs="Times New Roman"/>
          <w:b w:val="0"/>
          <w:kern w:val="2"/>
          <w:sz w:val="21"/>
          <w:szCs w:val="22"/>
          <w:lang w:val="en-US" w:eastAsia="zh-CN" w:bidi="ar-SA"/>
        </w:rPr>
        <w:t>，供应商须提供《参与实施政府采购节能产品认证机构名录》中相应认证机构出具的产品认证证书。</w:t>
      </w:r>
    </w:p>
    <w:p w14:paraId="45316739">
      <w:pPr>
        <w:pStyle w:val="2"/>
        <w:ind w:firstLine="602"/>
        <w:rPr>
          <w:rFonts w:hint="eastAsia" w:ascii="Calibri" w:hAnsi="Calibri" w:eastAsia="宋体" w:cs="Times New Roman"/>
          <w:b/>
          <w:bCs/>
          <w:kern w:val="2"/>
          <w:sz w:val="21"/>
          <w:szCs w:val="22"/>
          <w:lang w:val="en-US" w:eastAsia="zh-CN" w:bidi="ar-SA"/>
        </w:rPr>
      </w:pPr>
      <w:r>
        <w:rPr>
          <w:rFonts w:hint="eastAsia" w:ascii="Calibri" w:hAnsi="Calibri" w:eastAsia="宋体" w:cs="Times New Roman"/>
          <w:b/>
          <w:bCs/>
          <w:kern w:val="2"/>
          <w:sz w:val="21"/>
          <w:szCs w:val="22"/>
          <w:lang w:val="en-US" w:eastAsia="zh-CN" w:bidi="ar-SA"/>
        </w:rPr>
        <w:t>★（2）供应商提供承诺函，承诺</w:t>
      </w:r>
      <w:r>
        <w:rPr>
          <w:rFonts w:hint="default" w:ascii="Calibri" w:hAnsi="Calibri" w:cs="Times New Roman"/>
          <w:b/>
          <w:bCs/>
          <w:color w:val="FF0000"/>
          <w:kern w:val="2"/>
          <w:sz w:val="21"/>
          <w:szCs w:val="22"/>
          <w:lang w:eastAsia="zh-CN" w:bidi="ar-SA"/>
        </w:rPr>
        <w:t>教学专用</w:t>
      </w:r>
      <w:r>
        <w:rPr>
          <w:rFonts w:hint="eastAsia" w:ascii="Calibri" w:hAnsi="Calibri" w:eastAsia="宋体" w:cs="Times New Roman"/>
          <w:b/>
          <w:bCs/>
          <w:color w:val="FF0000"/>
          <w:kern w:val="2"/>
          <w:sz w:val="21"/>
          <w:szCs w:val="22"/>
          <w:lang w:val="en-US" w:eastAsia="zh-CN" w:bidi="ar-SA"/>
        </w:rPr>
        <w:t>台式计算机</w:t>
      </w:r>
      <w:r>
        <w:rPr>
          <w:rFonts w:hint="eastAsia" w:ascii="Calibri" w:hAnsi="Calibri" w:eastAsia="宋体" w:cs="Times New Roman"/>
          <w:b/>
          <w:bCs/>
          <w:kern w:val="2"/>
          <w:sz w:val="21"/>
          <w:szCs w:val="22"/>
          <w:lang w:val="en-US" w:eastAsia="zh-CN" w:bidi="ar-SA"/>
        </w:rPr>
        <w:t>满足财政部《台式计算机政府采购需求标准（2023 年版）》（财库〔2023〕29号）通知全部*指标（不包括序号183关于</w:t>
      </w:r>
      <w:r>
        <w:rPr>
          <w:rFonts w:hint="eastAsia" w:ascii="Calibri" w:hAnsi="Calibri" w:cs="Times New Roman"/>
          <w:b/>
          <w:bCs/>
          <w:kern w:val="2"/>
          <w:sz w:val="21"/>
          <w:szCs w:val="22"/>
          <w:lang w:val="en-US" w:eastAsia="zh-CN" w:bidi="ar-SA"/>
        </w:rPr>
        <w:t>CPU</w:t>
      </w:r>
      <w:r>
        <w:rPr>
          <w:rFonts w:hint="eastAsia" w:ascii="Calibri" w:hAnsi="Calibri" w:eastAsia="宋体" w:cs="Times New Roman"/>
          <w:b/>
          <w:bCs/>
          <w:kern w:val="2"/>
          <w:sz w:val="21"/>
          <w:szCs w:val="22"/>
          <w:lang w:val="en-US" w:eastAsia="zh-CN" w:bidi="ar-SA"/>
        </w:rPr>
        <w:t>和操作系统安全可靠测评要求）。</w:t>
      </w:r>
    </w:p>
    <w:p w14:paraId="0380CA8C">
      <w:pPr>
        <w:rPr>
          <w:rFonts w:hint="eastAsia"/>
          <w:lang w:val="en-US" w:eastAsia="zh-CN"/>
        </w:rPr>
      </w:pPr>
      <w:r>
        <w:rPr>
          <w:rFonts w:hint="eastAsia"/>
          <w:lang w:val="en-US" w:eastAsia="zh-CN"/>
        </w:rPr>
        <w:t>（3）核心产品为</w:t>
      </w:r>
      <w:r>
        <w:rPr>
          <w:rFonts w:hint="eastAsia"/>
          <w:b/>
          <w:bCs/>
          <w:lang w:val="en-US" w:eastAsia="zh-CN"/>
        </w:rPr>
        <w:t>汽修技能高考仿真考试软件，</w:t>
      </w:r>
      <w:r>
        <w:rPr>
          <w:rFonts w:hint="eastAsia"/>
          <w:lang w:val="en-US" w:eastAsia="zh-CN"/>
        </w:rPr>
        <w:t>提供相同品牌的不同投标人按一家投标人计算，核心产品不足三个品牌会导致废标。</w:t>
      </w:r>
    </w:p>
    <w:p w14:paraId="572D026A">
      <w:pPr>
        <w:pStyle w:val="2"/>
        <w:ind w:firstLine="602"/>
        <w:rPr>
          <w:rFonts w:hint="eastAsia" w:eastAsia="宋体"/>
          <w:lang w:val="en-US" w:eastAsia="zh-CN"/>
        </w:rPr>
      </w:pPr>
      <w:r>
        <w:rPr>
          <w:rFonts w:hint="eastAsia" w:eastAsia="宋体"/>
          <w:sz w:val="30"/>
          <w:szCs w:val="30"/>
          <w:lang w:eastAsia="zh-CN"/>
        </w:rPr>
        <w:t>（三）技术、服务要求</w:t>
      </w:r>
      <w:bookmarkEnd w:id="9"/>
      <w:bookmarkEnd w:id="10"/>
      <w:bookmarkStart w:id="11" w:name="_Toc17770"/>
      <w:bookmarkStart w:id="12" w:name="_Toc432753211"/>
    </w:p>
    <w:tbl>
      <w:tblPr>
        <w:tblStyle w:val="21"/>
        <w:tblW w:w="48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71"/>
        <w:gridCol w:w="1631"/>
        <w:gridCol w:w="6651"/>
      </w:tblGrid>
      <w:tr w14:paraId="61498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25" w:type="pct"/>
            <w:tcBorders>
              <w:top w:val="single" w:color="000000" w:sz="4" w:space="0"/>
              <w:left w:val="single" w:color="000000" w:sz="4" w:space="0"/>
              <w:bottom w:val="single" w:color="000000" w:sz="4" w:space="0"/>
              <w:right w:val="single" w:color="000000" w:sz="4" w:space="0"/>
            </w:tcBorders>
            <w:noWrap w:val="0"/>
            <w:vAlign w:val="center"/>
          </w:tcPr>
          <w:p w14:paraId="4CE9CE40">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w:t>
            </w:r>
          </w:p>
        </w:tc>
        <w:tc>
          <w:tcPr>
            <w:tcW w:w="900" w:type="pct"/>
            <w:tcBorders>
              <w:top w:val="single" w:color="000000" w:sz="4" w:space="0"/>
              <w:left w:val="single" w:color="000000" w:sz="4" w:space="0"/>
              <w:bottom w:val="single" w:color="000000" w:sz="4" w:space="0"/>
              <w:right w:val="single" w:color="000000" w:sz="4" w:space="0"/>
            </w:tcBorders>
            <w:noWrap w:val="0"/>
            <w:vAlign w:val="center"/>
          </w:tcPr>
          <w:p w14:paraId="25BDBA1E">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产品名称</w:t>
            </w:r>
          </w:p>
        </w:tc>
        <w:tc>
          <w:tcPr>
            <w:tcW w:w="3673" w:type="pct"/>
            <w:tcBorders>
              <w:top w:val="single" w:color="000000" w:sz="4" w:space="0"/>
              <w:left w:val="single" w:color="000000" w:sz="4" w:space="0"/>
              <w:bottom w:val="single" w:color="000000" w:sz="4" w:space="0"/>
              <w:right w:val="single" w:color="000000" w:sz="4" w:space="0"/>
            </w:tcBorders>
            <w:noWrap w:val="0"/>
            <w:vAlign w:val="center"/>
          </w:tcPr>
          <w:p w14:paraId="65E92CC2">
            <w:pPr>
              <w:keepNext w:val="0"/>
              <w:keepLines w:val="0"/>
              <w:widowControl/>
              <w:suppressLineNumbers w:val="0"/>
              <w:jc w:val="center"/>
              <w:textAlignment w:val="center"/>
              <w:rPr>
                <w:rFonts w:hint="default" w:ascii="宋体" w:hAnsi="宋体" w:eastAsia="宋体" w:cs="宋体"/>
                <w:b/>
                <w:bCs/>
                <w:i w:val="0"/>
                <w:iCs w:val="0"/>
                <w:color w:val="000000"/>
                <w:sz w:val="21"/>
                <w:szCs w:val="21"/>
                <w:u w:val="none"/>
                <w:lang w:val="en-US" w:eastAsia="zh-CN"/>
              </w:rPr>
            </w:pPr>
            <w:r>
              <w:rPr>
                <w:rFonts w:hint="eastAsia" w:ascii="宋体" w:hAnsi="宋体" w:cs="宋体"/>
                <w:b/>
                <w:bCs/>
                <w:i w:val="0"/>
                <w:iCs w:val="0"/>
                <w:color w:val="000000"/>
                <w:sz w:val="21"/>
                <w:szCs w:val="21"/>
                <w:u w:val="none"/>
                <w:lang w:val="en-US" w:eastAsia="zh-CN"/>
              </w:rPr>
              <w:t>性能/配置</w:t>
            </w:r>
          </w:p>
        </w:tc>
      </w:tr>
      <w:tr w14:paraId="671F9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25" w:type="pct"/>
            <w:vMerge w:val="restart"/>
            <w:tcBorders>
              <w:top w:val="single" w:color="000000" w:sz="4" w:space="0"/>
              <w:left w:val="single" w:color="000000" w:sz="4" w:space="0"/>
              <w:bottom w:val="single" w:color="000000" w:sz="4" w:space="0"/>
              <w:right w:val="single" w:color="000000" w:sz="4" w:space="0"/>
            </w:tcBorders>
            <w:noWrap/>
            <w:vAlign w:val="center"/>
          </w:tcPr>
          <w:p w14:paraId="19C9B649">
            <w:pPr>
              <w:jc w:val="center"/>
              <w:rPr>
                <w:rFonts w:hint="default" w:ascii="宋体" w:hAnsi="宋体" w:eastAsia="宋体" w:cs="宋体"/>
                <w:i w:val="0"/>
                <w:iCs w:val="0"/>
                <w:color w:val="000000"/>
                <w:sz w:val="24"/>
                <w:szCs w:val="24"/>
                <w:u w:val="none"/>
              </w:rPr>
            </w:pPr>
          </w:p>
        </w:tc>
        <w:tc>
          <w:tcPr>
            <w:tcW w:w="900" w:type="pct"/>
            <w:tcBorders>
              <w:top w:val="single" w:color="000000" w:sz="4" w:space="0"/>
              <w:left w:val="single" w:color="000000" w:sz="4" w:space="0"/>
              <w:bottom w:val="single" w:color="000000" w:sz="4" w:space="0"/>
              <w:right w:val="single" w:color="000000" w:sz="4" w:space="0"/>
            </w:tcBorders>
            <w:noWrap/>
            <w:vAlign w:val="center"/>
          </w:tcPr>
          <w:p w14:paraId="04243BF6">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汽修技能高考仿真考试软件</w:t>
            </w:r>
          </w:p>
        </w:tc>
        <w:tc>
          <w:tcPr>
            <w:tcW w:w="3673" w:type="pct"/>
            <w:tcBorders>
              <w:top w:val="single" w:color="000000" w:sz="4" w:space="0"/>
              <w:left w:val="single" w:color="000000" w:sz="4" w:space="0"/>
              <w:bottom w:val="single" w:color="000000" w:sz="4" w:space="0"/>
              <w:right w:val="single" w:color="000000" w:sz="4" w:space="0"/>
            </w:tcBorders>
            <w:noWrap w:val="0"/>
            <w:vAlign w:val="center"/>
          </w:tcPr>
          <w:p w14:paraId="76198399">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一、平台总体要求</w:t>
            </w:r>
          </w:p>
          <w:p w14:paraId="247B3D4F">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 w:val="0"/>
                <w:bCs w:val="0"/>
                <w:color w:val="auto"/>
                <w:sz w:val="24"/>
                <w:szCs w:val="24"/>
              </w:rPr>
            </w:pPr>
            <w:r>
              <w:rPr>
                <w:rFonts w:hint="default" w:ascii="宋体" w:hAnsi="宋体" w:cs="宋体"/>
                <w:b w:val="0"/>
                <w:bCs w:val="0"/>
                <w:color w:val="auto"/>
                <w:sz w:val="24"/>
                <w:szCs w:val="24"/>
              </w:rPr>
              <w:t>▲</w:t>
            </w:r>
            <w:r>
              <w:rPr>
                <w:rFonts w:hint="eastAsia" w:ascii="宋体" w:hAnsi="宋体" w:eastAsia="宋体" w:cs="宋体"/>
                <w:b w:val="0"/>
                <w:bCs w:val="0"/>
                <w:color w:val="auto"/>
                <w:sz w:val="24"/>
                <w:szCs w:val="24"/>
              </w:rPr>
              <w:t>在线云平台软件采用 SaaS 架构，分为后端和前端两部分，支持电脑、手机及平板使用</w:t>
            </w:r>
            <w:r>
              <w:rPr>
                <w:rFonts w:hint="eastAsia" w:ascii="宋体" w:hAnsi="宋体" w:cs="宋体"/>
                <w:b w:val="0"/>
                <w:bCs w:val="0"/>
                <w:color w:val="auto"/>
                <w:sz w:val="24"/>
                <w:szCs w:val="24"/>
                <w:lang w:eastAsia="zh-CN"/>
              </w:rPr>
              <w:t>，需提供承诺函</w:t>
            </w:r>
            <w:r>
              <w:rPr>
                <w:rFonts w:hint="eastAsia" w:ascii="宋体" w:hAnsi="宋体" w:eastAsia="宋体" w:cs="宋体"/>
                <w:b w:val="0"/>
                <w:bCs w:val="0"/>
                <w:color w:val="auto"/>
                <w:sz w:val="24"/>
                <w:szCs w:val="24"/>
              </w:rPr>
              <w:t>。</w:t>
            </w:r>
          </w:p>
          <w:p w14:paraId="6E28AD7B">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二、后台设置部分</w:t>
            </w:r>
          </w:p>
          <w:p w14:paraId="2837F38F">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用户管理：通过账号、密码登陆后，在系统管理 -&gt; 用户管理处添加用户，填写信息并设置角色以控制权限，可修改用户信息及密码。</w:t>
            </w:r>
          </w:p>
          <w:p w14:paraId="524763CE">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角色与菜单管理：在系统管理处分别进行角色和菜单的添加、编辑及权限设置，角色权限不同可对应查看不同范围的用户。</w:t>
            </w:r>
          </w:p>
          <w:p w14:paraId="34F5FD2A">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主题切换与监控：右上角可切换主题风格及菜单方式，不影响其他电脑；可查看当前在线用户及服务器使用情况并进行强退等操作。</w:t>
            </w:r>
          </w:p>
          <w:p w14:paraId="336B080D">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维度与学员管理：先进行维度管理以便设置学员身份对应的可见课程，学员管理可添加学员基本信息、重置密码，支持模板导入学员信息。</w:t>
            </w:r>
          </w:p>
          <w:p w14:paraId="4A28E865">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课程相关管理：</w:t>
            </w:r>
          </w:p>
          <w:p w14:paraId="0658518C">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课程分类与范畴：添加课程分类的一级、二级菜单，设置课程的用户范畴为全部、维度或指定用户，并需手动启用课程。</w:t>
            </w:r>
          </w:p>
          <w:p w14:paraId="1A4E0EDB">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sz w:val="24"/>
                <w:szCs w:val="24"/>
              </w:rPr>
              <w:t>创建课程章节：可创建视频课程（支持第三方和本地上传，指定格式如 m3u8）、考试关联、图文教材（文本形式，手动设置时长）、课件形式（支持多种格式）等不同类型的章节内容。</w:t>
            </w:r>
          </w:p>
          <w:p w14:paraId="1D9984B7">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考试相关管理：</w:t>
            </w:r>
          </w:p>
          <w:p w14:paraId="3D843109">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val="en-US" w:eastAsia="zh-CN"/>
              </w:rPr>
              <w:t>a.</w:t>
            </w:r>
            <w:r>
              <w:rPr>
                <w:rFonts w:hint="eastAsia" w:ascii="宋体" w:hAnsi="宋体" w:eastAsia="宋体" w:cs="宋体"/>
                <w:sz w:val="24"/>
                <w:szCs w:val="24"/>
              </w:rPr>
              <w:t>考试分类与管理：添加考试分类的一级、二级菜单，考试管理需设置用户范围、时间、时长、次数等，关联课程和证书。</w:t>
            </w:r>
          </w:p>
          <w:p w14:paraId="22F69CF3">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rPr>
            </w:pPr>
            <w:r>
              <w:rPr>
                <w:rFonts w:hint="eastAsia" w:ascii="宋体" w:hAnsi="宋体" w:cs="宋体"/>
                <w:sz w:val="24"/>
                <w:szCs w:val="24"/>
                <w:lang w:val="en-US" w:eastAsia="zh-CN"/>
              </w:rPr>
              <w:t>b.</w:t>
            </w:r>
            <w:r>
              <w:rPr>
                <w:rFonts w:hint="eastAsia" w:ascii="宋体" w:hAnsi="宋体" w:eastAsia="宋体" w:cs="宋体"/>
                <w:sz w:val="24"/>
                <w:szCs w:val="24"/>
              </w:rPr>
              <w:t>出题规则与答题方式：支持随机出题（选择比例）和固定出题（关联题目），答题方式有顺序做答和随机做答两种模式。</w:t>
            </w:r>
          </w:p>
          <w:p w14:paraId="1A6BF4C9">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题库相关管理：创建题库后新增题目，包括多种题型，可手动录入和批量导入（部分题型支持）；练习设置可供学员练习的题库并启用，习题统计可查看用户答题情况。</w:t>
            </w:r>
          </w:p>
          <w:p w14:paraId="2257C3B8">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三、前端使用部分</w:t>
            </w:r>
          </w:p>
          <w:p w14:paraId="4F669EF7">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登录注册与密码管理 ：支持手机号 + 密码或验证码登录，注册账号需手机号且学员身份必填，忘记密码通过验证手机号和验证码重置。</w:t>
            </w:r>
          </w:p>
          <w:p w14:paraId="2A801B4E">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首页与课程推荐 ：可按分类查看课程，有最新推荐课程展示</w:t>
            </w:r>
            <w:r>
              <w:rPr>
                <w:rFonts w:hint="eastAsia" w:ascii="宋体" w:hAnsi="宋体" w:eastAsia="宋体" w:cs="宋体"/>
                <w:sz w:val="24"/>
                <w:szCs w:val="24"/>
                <w:lang w:eastAsia="zh-CN"/>
              </w:rPr>
              <w:t>。</w:t>
            </w:r>
          </w:p>
          <w:p w14:paraId="5564AAFC">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课程搜索与考试详情 ：顶部搜索按钮可进行课程模糊搜索，考试首页有多种功能如顺序练习、模拟考试等，考试点击后进入倒计时，超时自动交卷，结果分析和记录查看有相应规则。</w:t>
            </w:r>
          </w:p>
          <w:p w14:paraId="69C4C2C9">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练习管理 ：练习记录收录，错题算错题率，答错题返回答案及解析，可收藏题目，错题记录可进行错题练习。</w:t>
            </w:r>
          </w:p>
          <w:p w14:paraId="5F150F23">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四、理论题库部分要求</w:t>
            </w:r>
          </w:p>
          <w:p w14:paraId="07E2D519">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 w:val="0"/>
                <w:bCs w:val="0"/>
                <w:color w:val="auto"/>
                <w:sz w:val="24"/>
                <w:szCs w:val="24"/>
                <w:lang w:val="en-US" w:eastAsia="zh-CN"/>
              </w:rPr>
            </w:pPr>
            <w:r>
              <w:rPr>
                <w:rFonts w:hint="default" w:ascii="宋体" w:hAnsi="宋体" w:cs="宋体"/>
                <w:b w:val="0"/>
                <w:bCs w:val="0"/>
                <w:color w:val="auto"/>
                <w:sz w:val="24"/>
                <w:szCs w:val="24"/>
              </w:rPr>
              <w:t>▲</w:t>
            </w:r>
            <w:r>
              <w:rPr>
                <w:rFonts w:hint="eastAsia" w:ascii="宋体" w:hAnsi="宋体" w:eastAsia="宋体" w:cs="宋体"/>
                <w:b w:val="0"/>
                <w:bCs w:val="0"/>
                <w:color w:val="auto"/>
                <w:sz w:val="24"/>
                <w:szCs w:val="24"/>
                <w:lang w:val="en-US" w:eastAsia="zh-CN"/>
              </w:rPr>
              <w:t>1.云平台</w:t>
            </w:r>
            <w:r>
              <w:rPr>
                <w:rFonts w:hint="eastAsia" w:ascii="宋体" w:hAnsi="宋体" w:eastAsia="宋体" w:cs="宋体"/>
                <w:b w:val="0"/>
                <w:bCs w:val="0"/>
                <w:color w:val="auto"/>
                <w:sz w:val="24"/>
                <w:szCs w:val="24"/>
              </w:rPr>
              <w:t>章节专项训练</w:t>
            </w:r>
            <w:r>
              <w:rPr>
                <w:rFonts w:hint="eastAsia" w:ascii="宋体" w:hAnsi="宋体" w:eastAsia="宋体" w:cs="宋体"/>
                <w:b w:val="0"/>
                <w:bCs w:val="0"/>
                <w:color w:val="auto"/>
                <w:sz w:val="24"/>
                <w:szCs w:val="24"/>
                <w:lang w:val="en-US" w:eastAsia="zh-CN"/>
              </w:rPr>
              <w:t>单元</w:t>
            </w:r>
            <w:r>
              <w:rPr>
                <w:rFonts w:hint="eastAsia" w:ascii="宋体" w:hAnsi="宋体" w:eastAsia="宋体" w:cs="宋体"/>
                <w:b w:val="0"/>
                <w:bCs w:val="0"/>
                <w:color w:val="auto"/>
                <w:sz w:val="24"/>
                <w:szCs w:val="24"/>
              </w:rPr>
              <w:t>按</w:t>
            </w:r>
            <w:r>
              <w:rPr>
                <w:rFonts w:hint="eastAsia" w:ascii="宋体" w:hAnsi="宋体" w:eastAsia="宋体" w:cs="宋体"/>
                <w:b w:val="0"/>
                <w:bCs w:val="0"/>
                <w:color w:val="auto"/>
                <w:sz w:val="24"/>
                <w:szCs w:val="24"/>
                <w:lang w:val="en-US" w:eastAsia="zh-CN"/>
              </w:rPr>
              <w:t>照</w:t>
            </w:r>
            <w:r>
              <w:rPr>
                <w:rFonts w:hint="eastAsia" w:ascii="宋体" w:hAnsi="宋体" w:eastAsia="宋体" w:cs="宋体"/>
                <w:b w:val="0"/>
                <w:bCs w:val="0"/>
                <w:color w:val="auto"/>
                <w:sz w:val="24"/>
                <w:szCs w:val="24"/>
              </w:rPr>
              <w:t>技能高考大纲分为 6 大章、82 小节，每小节 10 - 100 道题目，适用于不同年级学生</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题目数量不少于</w:t>
            </w:r>
            <w:r>
              <w:rPr>
                <w:rFonts w:hint="eastAsia" w:ascii="宋体" w:hAnsi="宋体" w:eastAsia="宋体" w:cs="宋体"/>
                <w:b w:val="0"/>
                <w:bCs w:val="0"/>
                <w:color w:val="auto"/>
                <w:sz w:val="24"/>
                <w:szCs w:val="24"/>
              </w:rPr>
              <w:t>2700 道</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所有题目皆有解析，</w:t>
            </w:r>
            <w:r>
              <w:rPr>
                <w:rFonts w:hint="eastAsia" w:ascii="宋体" w:hAnsi="宋体" w:eastAsia="宋体" w:cs="宋体"/>
                <w:b w:val="0"/>
                <w:bCs w:val="0"/>
                <w:color w:val="auto"/>
                <w:sz w:val="24"/>
                <w:szCs w:val="24"/>
                <w:lang w:val="en-US" w:eastAsia="zh-CN"/>
              </w:rPr>
              <w:t>要求</w:t>
            </w:r>
            <w:r>
              <w:rPr>
                <w:rFonts w:hint="eastAsia" w:ascii="宋体" w:hAnsi="宋体" w:eastAsia="宋体" w:cs="宋体"/>
                <w:b w:val="0"/>
                <w:bCs w:val="0"/>
                <w:color w:val="auto"/>
                <w:sz w:val="24"/>
                <w:szCs w:val="24"/>
              </w:rPr>
              <w:t>对题干、题肢、错误答案也进行分析</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字数在35万字以上</w:t>
            </w:r>
            <w:r>
              <w:rPr>
                <w:rFonts w:hint="eastAsia" w:ascii="宋体" w:hAnsi="宋体" w:cs="宋体"/>
                <w:b w:val="0"/>
                <w:bCs w:val="0"/>
                <w:color w:val="auto"/>
                <w:sz w:val="24"/>
                <w:szCs w:val="24"/>
                <w:lang w:eastAsia="zh-CN"/>
              </w:rPr>
              <w:t>，需提供承诺函</w:t>
            </w:r>
            <w:r>
              <w:rPr>
                <w:rFonts w:hint="eastAsia" w:ascii="宋体" w:hAnsi="宋体" w:eastAsia="宋体" w:cs="宋体"/>
                <w:b w:val="0"/>
                <w:bCs w:val="0"/>
                <w:color w:val="auto"/>
                <w:sz w:val="24"/>
                <w:szCs w:val="24"/>
                <w:lang w:val="en-US" w:eastAsia="zh-CN"/>
              </w:rPr>
              <w:t>。</w:t>
            </w:r>
          </w:p>
          <w:p w14:paraId="745E1879">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sz w:val="24"/>
                <w:szCs w:val="24"/>
                <w:lang w:val="en-US" w:eastAsia="zh-CN"/>
              </w:rPr>
              <w:t>2.</w:t>
            </w:r>
            <w:r>
              <w:rPr>
                <w:rFonts w:hint="eastAsia" w:ascii="宋体" w:hAnsi="宋体" w:eastAsia="宋体" w:cs="宋体"/>
                <w:sz w:val="24"/>
                <w:szCs w:val="24"/>
              </w:rPr>
              <w:t>章节专项训练</w:t>
            </w:r>
            <w:r>
              <w:rPr>
                <w:rFonts w:hint="eastAsia" w:ascii="宋体" w:hAnsi="宋体" w:eastAsia="宋体" w:cs="宋体"/>
                <w:sz w:val="24"/>
                <w:szCs w:val="24"/>
                <w:lang w:val="en-US" w:eastAsia="zh-CN"/>
              </w:rPr>
              <w:t>配有1套（出版社正规出版教学辅导书、练习册及解析书）专用书，与学习网校章节训练题目一一对应。</w:t>
            </w:r>
          </w:p>
          <w:p w14:paraId="621F78F5">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 w:val="0"/>
                <w:bCs w:val="0"/>
                <w:color w:val="auto"/>
                <w:sz w:val="24"/>
                <w:szCs w:val="24"/>
              </w:rPr>
            </w:pPr>
            <w:r>
              <w:rPr>
                <w:rFonts w:hint="default" w:ascii="宋体" w:hAnsi="宋体" w:cs="宋体"/>
                <w:b w:val="0"/>
                <w:bCs w:val="0"/>
                <w:color w:val="auto"/>
                <w:sz w:val="24"/>
                <w:szCs w:val="24"/>
              </w:rPr>
              <w:t>▲</w:t>
            </w:r>
            <w:r>
              <w:rPr>
                <w:rFonts w:hint="eastAsia" w:ascii="宋体" w:hAnsi="宋体" w:eastAsia="宋体" w:cs="宋体"/>
                <w:b w:val="0"/>
                <w:bCs w:val="0"/>
                <w:color w:val="auto"/>
                <w:sz w:val="24"/>
                <w:szCs w:val="24"/>
                <w:lang w:val="en-US" w:eastAsia="zh-CN"/>
              </w:rPr>
              <w:t>3.云平台综合分类题目按照汽车概论与机械基础、汽车发动机维修、汽车电器维修、汽车底盘维修、汽车维修工基础知识、新能源汽车基础知识等六个模块进行分类，题目数量在</w:t>
            </w:r>
            <w:r>
              <w:rPr>
                <w:rFonts w:hint="eastAsia" w:ascii="宋体" w:hAnsi="宋体" w:eastAsia="宋体" w:cs="宋体"/>
                <w:b w:val="0"/>
                <w:bCs w:val="0"/>
                <w:color w:val="auto"/>
                <w:sz w:val="24"/>
                <w:szCs w:val="24"/>
              </w:rPr>
              <w:t xml:space="preserve"> </w:t>
            </w:r>
            <w:r>
              <w:rPr>
                <w:rFonts w:hint="eastAsia" w:ascii="宋体" w:hAnsi="宋体" w:eastAsia="宋体" w:cs="宋体"/>
                <w:b w:val="0"/>
                <w:bCs w:val="0"/>
                <w:color w:val="auto"/>
                <w:sz w:val="24"/>
                <w:szCs w:val="24"/>
                <w:lang w:val="en-US" w:eastAsia="zh-CN"/>
              </w:rPr>
              <w:t>6000</w:t>
            </w:r>
            <w:r>
              <w:rPr>
                <w:rFonts w:hint="eastAsia" w:ascii="宋体" w:hAnsi="宋体" w:eastAsia="宋体" w:cs="宋体"/>
                <w:b w:val="0"/>
                <w:bCs w:val="0"/>
                <w:color w:val="auto"/>
                <w:sz w:val="24"/>
                <w:szCs w:val="24"/>
              </w:rPr>
              <w:t xml:space="preserve"> 道</w:t>
            </w:r>
            <w:r>
              <w:rPr>
                <w:rFonts w:hint="eastAsia" w:ascii="宋体" w:hAnsi="宋体" w:eastAsia="宋体" w:cs="宋体"/>
                <w:b w:val="0"/>
                <w:bCs w:val="0"/>
                <w:color w:val="auto"/>
                <w:sz w:val="24"/>
                <w:szCs w:val="24"/>
                <w:lang w:val="en-US" w:eastAsia="zh-CN"/>
              </w:rPr>
              <w:t>左右</w:t>
            </w:r>
            <w:r>
              <w:rPr>
                <w:rFonts w:hint="eastAsia" w:ascii="宋体" w:hAnsi="宋体" w:eastAsia="宋体" w:cs="宋体"/>
                <w:b w:val="0"/>
                <w:bCs w:val="0"/>
                <w:color w:val="auto"/>
                <w:sz w:val="24"/>
                <w:szCs w:val="24"/>
              </w:rPr>
              <w:t>，可实现校内考试和全省联考排名，所有题目皆有解析，对题干、题肢、错误答案也进行分析</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字数在 1</w:t>
            </w: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rPr>
              <w:t>0 万字以上</w:t>
            </w:r>
            <w:r>
              <w:rPr>
                <w:rFonts w:hint="eastAsia" w:ascii="宋体" w:hAnsi="宋体" w:cs="宋体"/>
                <w:b w:val="0"/>
                <w:bCs w:val="0"/>
                <w:color w:val="auto"/>
                <w:sz w:val="24"/>
                <w:szCs w:val="24"/>
                <w:lang w:eastAsia="zh-CN"/>
              </w:rPr>
              <w:t>，需提供承诺函</w:t>
            </w:r>
            <w:r>
              <w:rPr>
                <w:rFonts w:hint="eastAsia" w:ascii="宋体" w:hAnsi="宋体" w:eastAsia="宋体" w:cs="宋体"/>
                <w:b w:val="0"/>
                <w:bCs w:val="0"/>
                <w:color w:val="auto"/>
                <w:sz w:val="24"/>
                <w:szCs w:val="24"/>
              </w:rPr>
              <w:t>。</w:t>
            </w:r>
          </w:p>
          <w:p w14:paraId="27FEC38D">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b/>
                <w:bCs/>
                <w:sz w:val="24"/>
                <w:szCs w:val="24"/>
                <w:lang w:val="en-US" w:eastAsia="zh-CN"/>
              </w:rPr>
            </w:pPr>
            <w:r>
              <w:rPr>
                <w:rFonts w:hint="default" w:ascii="宋体" w:hAnsi="宋体" w:cs="宋体"/>
                <w:b w:val="0"/>
                <w:bCs w:val="0"/>
                <w:color w:val="auto"/>
                <w:sz w:val="24"/>
                <w:szCs w:val="24"/>
              </w:rPr>
              <w:t>▲</w:t>
            </w:r>
            <w:r>
              <w:rPr>
                <w:rFonts w:hint="eastAsia" w:ascii="宋体" w:hAnsi="宋体" w:eastAsia="宋体" w:cs="宋体"/>
                <w:b w:val="0"/>
                <w:bCs w:val="0"/>
                <w:color w:val="auto"/>
                <w:sz w:val="24"/>
                <w:szCs w:val="24"/>
                <w:lang w:val="en-US" w:eastAsia="zh-CN"/>
              </w:rPr>
              <w:t>4.所有题目解析的最大依据与标准来源于：主流车型官方《汽车维修手册》、国家及行业颁布的最新相关技术标准与规范、汽车维修领域的专业权威教材与共识，拒绝一句话或重复题干的解析</w:t>
            </w:r>
            <w:r>
              <w:rPr>
                <w:rFonts w:hint="eastAsia" w:ascii="宋体" w:hAnsi="宋体" w:cs="宋体"/>
                <w:b w:val="0"/>
                <w:bCs w:val="0"/>
                <w:color w:val="auto"/>
                <w:sz w:val="24"/>
                <w:szCs w:val="24"/>
                <w:lang w:eastAsia="zh-CN"/>
              </w:rPr>
              <w:t>，需提供承诺函</w:t>
            </w:r>
            <w:r>
              <w:rPr>
                <w:rFonts w:hint="eastAsia" w:ascii="宋体" w:hAnsi="宋体" w:eastAsia="宋体" w:cs="宋体"/>
                <w:b w:val="0"/>
                <w:bCs w:val="0"/>
                <w:color w:val="auto"/>
                <w:sz w:val="24"/>
                <w:szCs w:val="24"/>
                <w:lang w:val="en-US" w:eastAsia="zh-CN"/>
              </w:rPr>
              <w:t>。</w:t>
            </w:r>
          </w:p>
          <w:p w14:paraId="60404E8F">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sz w:val="24"/>
                <w:szCs w:val="24"/>
              </w:rPr>
              <w:t>五、实操微课部分要求</w:t>
            </w:r>
          </w:p>
          <w:p w14:paraId="4383EE7A">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模块一：气缸测量</w:t>
            </w:r>
            <w:r>
              <w:rPr>
                <w:rFonts w:hint="eastAsia" w:ascii="宋体" w:hAnsi="宋体" w:eastAsia="宋体" w:cs="宋体"/>
                <w:sz w:val="24"/>
                <w:szCs w:val="24"/>
                <w:lang w:val="en-US" w:eastAsia="zh-CN"/>
              </w:rPr>
              <w:t>题库</w:t>
            </w:r>
          </w:p>
          <w:p w14:paraId="12C2C8E3">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1、气缸测量操作流程指导课程讲解动作规范、操作注意事项及评分标准</w:t>
            </w:r>
            <w:r>
              <w:rPr>
                <w:rFonts w:hint="eastAsia" w:ascii="宋体" w:hAnsi="宋体" w:eastAsia="宋体" w:cs="宋体"/>
                <w:sz w:val="24"/>
                <w:szCs w:val="24"/>
              </w:rPr>
              <w:t>。</w:t>
            </w:r>
          </w:p>
          <w:p w14:paraId="364CEEC4">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lang w:val="en-US" w:eastAsia="zh-CN"/>
              </w:rPr>
            </w:pP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sz w:val="24"/>
                <w:szCs w:val="24"/>
                <w:lang w:val="en-US" w:eastAsia="zh-CN"/>
              </w:rPr>
              <w:t>2、视频拍摄需要两个机位，需要镜头特写及重要部分重点说明。</w:t>
            </w:r>
          </w:p>
          <w:p w14:paraId="041417D4">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lang w:val="en-US" w:eastAsia="zh-CN"/>
              </w:rPr>
            </w:pP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sz w:val="24"/>
                <w:szCs w:val="24"/>
                <w:lang w:val="en-US" w:eastAsia="zh-CN"/>
              </w:rPr>
              <w:t>3、微视频重点讲解重点和难点。</w:t>
            </w:r>
          </w:p>
          <w:p w14:paraId="1900629D">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4、软件中需要电子版操作步骤及原理介绍。</w:t>
            </w:r>
          </w:p>
          <w:p w14:paraId="7E2750DA">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5、涵盖气缸测量答题思路、评分标准、考官工单、桌面标签。</w:t>
            </w:r>
          </w:p>
          <w:p w14:paraId="4E7C61C2">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 w:val="0"/>
                <w:bCs w:val="0"/>
                <w:color w:val="auto"/>
                <w:sz w:val="24"/>
                <w:szCs w:val="24"/>
                <w:lang w:val="en-US" w:eastAsia="zh-CN"/>
              </w:rPr>
            </w:pPr>
            <w:r>
              <w:rPr>
                <w:rFonts w:hint="default" w:ascii="宋体" w:hAnsi="宋体" w:cs="宋体"/>
                <w:b w:val="0"/>
                <w:bCs w:val="0"/>
                <w:color w:val="auto"/>
                <w:sz w:val="24"/>
                <w:szCs w:val="24"/>
              </w:rPr>
              <w:t>▲</w:t>
            </w:r>
            <w:r>
              <w:rPr>
                <w:rFonts w:hint="eastAsia" w:ascii="宋体" w:hAnsi="宋体" w:eastAsia="宋体" w:cs="宋体"/>
                <w:b w:val="0"/>
                <w:bCs w:val="0"/>
                <w:color w:val="auto"/>
                <w:sz w:val="24"/>
                <w:szCs w:val="24"/>
                <w:lang w:val="en-US" w:eastAsia="zh-CN"/>
              </w:rPr>
              <w:t>6、气缸测量操作题目60道左右，用题目形式对视频每一步操作要点进行详细解答</w:t>
            </w:r>
            <w:r>
              <w:rPr>
                <w:rFonts w:hint="eastAsia" w:ascii="宋体" w:hAnsi="宋体" w:cs="宋体"/>
                <w:b w:val="0"/>
                <w:bCs w:val="0"/>
                <w:color w:val="auto"/>
                <w:sz w:val="24"/>
                <w:szCs w:val="24"/>
                <w:lang w:eastAsia="zh-CN"/>
              </w:rPr>
              <w:t>，需提供承诺函。</w:t>
            </w:r>
          </w:p>
          <w:p w14:paraId="56ED36B7">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满足</w:t>
            </w:r>
            <w:r>
              <w:rPr>
                <w:rFonts w:hint="eastAsia" w:ascii="宋体" w:hAnsi="宋体" w:eastAsia="宋体" w:cs="宋体"/>
                <w:b w:val="0"/>
                <w:bCs w:val="0"/>
                <w:color w:val="auto"/>
                <w:sz w:val="24"/>
                <w:szCs w:val="24"/>
              </w:rPr>
              <w:t>湖北汽修技能高考大纲要求，与</w:t>
            </w:r>
            <w:r>
              <w:rPr>
                <w:rFonts w:hint="eastAsia" w:ascii="宋体" w:hAnsi="宋体" w:eastAsia="宋体" w:cs="宋体"/>
                <w:b w:val="0"/>
                <w:bCs w:val="0"/>
                <w:color w:val="auto"/>
                <w:sz w:val="24"/>
                <w:szCs w:val="24"/>
                <w:lang w:val="en-US" w:eastAsia="zh-CN"/>
              </w:rPr>
              <w:t>SAAS系统云平台</w:t>
            </w:r>
            <w:r>
              <w:rPr>
                <w:rFonts w:hint="eastAsia" w:ascii="宋体" w:hAnsi="宋体" w:eastAsia="宋体" w:cs="宋体"/>
                <w:b w:val="0"/>
                <w:bCs w:val="0"/>
                <w:color w:val="auto"/>
                <w:sz w:val="24"/>
                <w:szCs w:val="24"/>
              </w:rPr>
              <w:t>软件配套使用</w:t>
            </w:r>
            <w:r>
              <w:rPr>
                <w:rFonts w:hint="eastAsia" w:ascii="宋体" w:hAnsi="宋体" w:eastAsia="宋体" w:cs="宋体"/>
                <w:b w:val="0"/>
                <w:bCs w:val="0"/>
                <w:color w:val="auto"/>
                <w:sz w:val="24"/>
                <w:szCs w:val="24"/>
                <w:lang w:eastAsia="zh-CN"/>
              </w:rPr>
              <w:t>。</w:t>
            </w:r>
          </w:p>
          <w:p w14:paraId="60E3C6B8">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模块二： 曲轴测量</w:t>
            </w:r>
            <w:r>
              <w:rPr>
                <w:rFonts w:hint="eastAsia" w:ascii="宋体" w:hAnsi="宋体" w:eastAsia="宋体" w:cs="宋体"/>
                <w:b w:val="0"/>
                <w:bCs w:val="0"/>
                <w:color w:val="auto"/>
                <w:sz w:val="24"/>
                <w:szCs w:val="24"/>
                <w:lang w:val="en-US" w:eastAsia="zh-CN"/>
              </w:rPr>
              <w:t>题库</w:t>
            </w:r>
          </w:p>
          <w:p w14:paraId="42F24741">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1、曲轴测量操作流程指导课程讲解动作规范、操作注意事项及评分标准</w:t>
            </w:r>
            <w:r>
              <w:rPr>
                <w:rFonts w:hint="eastAsia" w:ascii="宋体" w:hAnsi="宋体" w:eastAsia="宋体" w:cs="宋体"/>
                <w:b w:val="0"/>
                <w:bCs w:val="0"/>
                <w:color w:val="auto"/>
                <w:sz w:val="24"/>
                <w:szCs w:val="24"/>
              </w:rPr>
              <w:t>。</w:t>
            </w:r>
          </w:p>
          <w:p w14:paraId="01A2A97A">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2、视频拍摄需要两个机位，需要镜头特写及重要部分重点说明。</w:t>
            </w:r>
          </w:p>
          <w:p w14:paraId="2660D0C9">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3、微视频重点讲解重点和难点。</w:t>
            </w:r>
          </w:p>
          <w:p w14:paraId="03AABF3E">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4、软件中需要电子版操作步骤及原理介绍。</w:t>
            </w:r>
          </w:p>
          <w:p w14:paraId="50BCCEBE">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5、涵盖曲轴测量答题思路、评分标准、考官工单、桌面标签。</w:t>
            </w:r>
          </w:p>
          <w:p w14:paraId="0B131BE4">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 w:val="0"/>
                <w:bCs w:val="0"/>
                <w:color w:val="auto"/>
                <w:sz w:val="24"/>
                <w:szCs w:val="24"/>
                <w:lang w:val="en-US" w:eastAsia="zh-CN"/>
              </w:rPr>
            </w:pPr>
            <w:r>
              <w:rPr>
                <w:rFonts w:hint="default" w:ascii="宋体" w:hAnsi="宋体" w:cs="宋体"/>
                <w:b w:val="0"/>
                <w:bCs w:val="0"/>
                <w:color w:val="auto"/>
                <w:sz w:val="24"/>
                <w:szCs w:val="24"/>
              </w:rPr>
              <w:t>▲</w:t>
            </w:r>
            <w:r>
              <w:rPr>
                <w:rFonts w:hint="eastAsia" w:ascii="宋体" w:hAnsi="宋体" w:eastAsia="宋体" w:cs="宋体"/>
                <w:b w:val="0"/>
                <w:bCs w:val="0"/>
                <w:color w:val="auto"/>
                <w:sz w:val="24"/>
                <w:szCs w:val="24"/>
                <w:lang w:val="en-US" w:eastAsia="zh-CN"/>
              </w:rPr>
              <w:t>6、曲轴测量操作题目60道左右，用题目形式对视频每一步操作要点进行详细解答</w:t>
            </w:r>
            <w:r>
              <w:rPr>
                <w:rFonts w:hint="eastAsia" w:ascii="宋体" w:hAnsi="宋体" w:cs="宋体"/>
                <w:b w:val="0"/>
                <w:bCs w:val="0"/>
                <w:color w:val="auto"/>
                <w:sz w:val="24"/>
                <w:szCs w:val="24"/>
                <w:lang w:eastAsia="zh-CN"/>
              </w:rPr>
              <w:t>，需提供承诺函。</w:t>
            </w:r>
          </w:p>
          <w:p w14:paraId="5BEF5405">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要求：</w:t>
            </w:r>
            <w:r>
              <w:rPr>
                <w:rFonts w:hint="eastAsia" w:ascii="宋体" w:hAnsi="宋体" w:eastAsia="宋体" w:cs="宋体"/>
                <w:sz w:val="24"/>
                <w:szCs w:val="24"/>
                <w:lang w:val="en-US" w:eastAsia="zh-CN"/>
              </w:rPr>
              <w:t>满足</w:t>
            </w:r>
            <w:r>
              <w:rPr>
                <w:rFonts w:hint="eastAsia" w:ascii="宋体" w:hAnsi="宋体" w:eastAsia="宋体" w:cs="宋体"/>
                <w:sz w:val="24"/>
                <w:szCs w:val="24"/>
              </w:rPr>
              <w:t>湖北汽修技能高考大纲要求；与</w:t>
            </w:r>
            <w:r>
              <w:rPr>
                <w:rFonts w:hint="eastAsia" w:ascii="宋体" w:hAnsi="宋体" w:eastAsia="宋体" w:cs="宋体"/>
                <w:sz w:val="24"/>
                <w:szCs w:val="24"/>
                <w:lang w:val="en-US" w:eastAsia="zh-CN"/>
              </w:rPr>
              <w:t>SAAS系统云平台</w:t>
            </w:r>
            <w:r>
              <w:rPr>
                <w:rFonts w:hint="eastAsia" w:ascii="宋体" w:hAnsi="宋体" w:eastAsia="宋体" w:cs="宋体"/>
                <w:sz w:val="24"/>
                <w:szCs w:val="24"/>
              </w:rPr>
              <w:t>软件配套使用。</w:t>
            </w:r>
          </w:p>
          <w:p w14:paraId="0120DA7C">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rPr>
            </w:pPr>
            <w:r>
              <w:rPr>
                <w:rFonts w:hint="eastAsia" w:ascii="宋体" w:hAnsi="宋体" w:eastAsia="宋体" w:cs="宋体"/>
                <w:sz w:val="24"/>
                <w:szCs w:val="24"/>
              </w:rPr>
              <w:t>模块三：发</w:t>
            </w:r>
            <w:r>
              <w:rPr>
                <w:rFonts w:hint="eastAsia" w:ascii="宋体" w:hAnsi="宋体" w:eastAsia="宋体" w:cs="宋体"/>
                <w:sz w:val="24"/>
                <w:szCs w:val="24"/>
                <w:lang w:val="en-US" w:eastAsia="zh-CN"/>
              </w:rPr>
              <w:t>电</w:t>
            </w:r>
            <w:r>
              <w:rPr>
                <w:rFonts w:hint="eastAsia" w:ascii="宋体" w:hAnsi="宋体" w:eastAsia="宋体" w:cs="宋体"/>
                <w:sz w:val="24"/>
                <w:szCs w:val="24"/>
              </w:rPr>
              <w:t>机检测</w:t>
            </w:r>
            <w:r>
              <w:rPr>
                <w:rFonts w:hint="eastAsia" w:ascii="宋体" w:hAnsi="宋体" w:eastAsia="宋体" w:cs="宋体"/>
                <w:sz w:val="24"/>
                <w:szCs w:val="24"/>
                <w:lang w:val="en-US" w:eastAsia="zh-CN"/>
              </w:rPr>
              <w:t>题库</w:t>
            </w:r>
          </w:p>
          <w:p w14:paraId="2913D4AD">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kern w:val="2"/>
                <w:sz w:val="24"/>
                <w:szCs w:val="24"/>
                <w:lang w:val="en-US" w:eastAsia="zh-CN" w:bidi="ar-SA"/>
              </w:rPr>
              <w:t>1、</w:t>
            </w:r>
            <w:r>
              <w:rPr>
                <w:rFonts w:hint="eastAsia" w:ascii="宋体" w:hAnsi="宋体" w:eastAsia="宋体" w:cs="宋体"/>
                <w:sz w:val="24"/>
                <w:szCs w:val="24"/>
                <w:lang w:val="en-US" w:eastAsia="zh-CN"/>
              </w:rPr>
              <w:t>发电机检测操作流程指导课程讲解动作规范、操作注意事项及评分标准</w:t>
            </w:r>
            <w:r>
              <w:rPr>
                <w:rFonts w:hint="eastAsia" w:ascii="宋体" w:hAnsi="宋体" w:eastAsia="宋体" w:cs="宋体"/>
                <w:sz w:val="24"/>
                <w:szCs w:val="24"/>
              </w:rPr>
              <w:t>。</w:t>
            </w:r>
          </w:p>
          <w:p w14:paraId="02D27507">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4"/>
                <w:szCs w:val="24"/>
              </w:rPr>
            </w:pP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sz w:val="24"/>
                <w:szCs w:val="24"/>
                <w:lang w:val="en-US" w:eastAsia="zh-CN"/>
              </w:rPr>
              <w:t>2、视频拍摄需要两个机位，需要镜头特写及重要部分重点说明。</w:t>
            </w:r>
          </w:p>
          <w:p w14:paraId="523290C3">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3、微视频重点讲解重点和难点</w:t>
            </w:r>
          </w:p>
          <w:p w14:paraId="5448D7C3">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4、软件中需要电子版操作步骤及原理介绍。</w:t>
            </w:r>
          </w:p>
          <w:p w14:paraId="47CC4C85">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5、拓展题采用题库模式，分为选择题、判断题及问答题，随机组卷考试。</w:t>
            </w:r>
          </w:p>
          <w:p w14:paraId="70B4A77B">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6、涵盖发电机测量答题思路、评分标准、考官工单、桌面标签。</w:t>
            </w:r>
          </w:p>
          <w:p w14:paraId="0FFF2AC8">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 w:val="0"/>
                <w:bCs w:val="0"/>
                <w:color w:val="auto"/>
                <w:sz w:val="24"/>
                <w:szCs w:val="24"/>
                <w:lang w:val="en-US" w:eastAsia="zh-CN"/>
              </w:rPr>
            </w:pPr>
            <w:r>
              <w:rPr>
                <w:rFonts w:hint="default" w:ascii="宋体" w:hAnsi="宋体" w:cs="宋体"/>
                <w:b w:val="0"/>
                <w:bCs w:val="0"/>
                <w:color w:val="auto"/>
                <w:sz w:val="24"/>
                <w:szCs w:val="24"/>
              </w:rPr>
              <w:t>▲</w:t>
            </w:r>
            <w:r>
              <w:rPr>
                <w:rFonts w:hint="eastAsia" w:ascii="宋体" w:hAnsi="宋体" w:eastAsia="宋体" w:cs="宋体"/>
                <w:b w:val="0"/>
                <w:bCs w:val="0"/>
                <w:color w:val="auto"/>
                <w:sz w:val="24"/>
                <w:szCs w:val="24"/>
                <w:lang w:val="en-US" w:eastAsia="zh-CN"/>
              </w:rPr>
              <w:t>7、发电机测量操作题目200道左右，用题目形式对视频每一步操作要点进行详细解答</w:t>
            </w:r>
            <w:r>
              <w:rPr>
                <w:rFonts w:hint="eastAsia" w:ascii="宋体" w:hAnsi="宋体" w:cs="宋体"/>
                <w:b w:val="0"/>
                <w:bCs w:val="0"/>
                <w:color w:val="auto"/>
                <w:sz w:val="24"/>
                <w:szCs w:val="24"/>
                <w:lang w:eastAsia="zh-CN"/>
              </w:rPr>
              <w:t>，需提供承诺函</w:t>
            </w:r>
            <w:r>
              <w:rPr>
                <w:rFonts w:hint="eastAsia" w:ascii="宋体" w:hAnsi="宋体" w:eastAsia="宋体" w:cs="宋体"/>
                <w:b w:val="0"/>
                <w:bCs w:val="0"/>
                <w:color w:val="auto"/>
                <w:sz w:val="24"/>
                <w:szCs w:val="24"/>
                <w:lang w:val="en-US" w:eastAsia="zh-CN"/>
              </w:rPr>
              <w:t>。</w:t>
            </w:r>
          </w:p>
          <w:p w14:paraId="1DF40874">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要求：</w:t>
            </w:r>
            <w:r>
              <w:rPr>
                <w:rFonts w:hint="eastAsia" w:ascii="宋体" w:hAnsi="宋体" w:eastAsia="宋体" w:cs="宋体"/>
                <w:b w:val="0"/>
                <w:bCs w:val="0"/>
                <w:color w:val="auto"/>
                <w:sz w:val="24"/>
                <w:szCs w:val="24"/>
                <w:lang w:val="en-US" w:eastAsia="zh-CN"/>
              </w:rPr>
              <w:t>满足</w:t>
            </w:r>
            <w:r>
              <w:rPr>
                <w:rFonts w:hint="eastAsia" w:ascii="宋体" w:hAnsi="宋体" w:eastAsia="宋体" w:cs="宋体"/>
                <w:b w:val="0"/>
                <w:bCs w:val="0"/>
                <w:color w:val="auto"/>
                <w:sz w:val="24"/>
                <w:szCs w:val="24"/>
              </w:rPr>
              <w:t>湖北汽修技能高考大纲要求；与</w:t>
            </w:r>
            <w:r>
              <w:rPr>
                <w:rFonts w:hint="eastAsia" w:ascii="宋体" w:hAnsi="宋体" w:eastAsia="宋体" w:cs="宋体"/>
                <w:b w:val="0"/>
                <w:bCs w:val="0"/>
                <w:color w:val="auto"/>
                <w:sz w:val="24"/>
                <w:szCs w:val="24"/>
                <w:lang w:val="en-US" w:eastAsia="zh-CN"/>
              </w:rPr>
              <w:t>SAAS系统云平台</w:t>
            </w:r>
            <w:r>
              <w:rPr>
                <w:rFonts w:hint="eastAsia" w:ascii="宋体" w:hAnsi="宋体" w:eastAsia="宋体" w:cs="宋体"/>
                <w:b w:val="0"/>
                <w:bCs w:val="0"/>
                <w:color w:val="auto"/>
                <w:sz w:val="24"/>
                <w:szCs w:val="24"/>
              </w:rPr>
              <w:t>软件配套使用。</w:t>
            </w:r>
          </w:p>
          <w:p w14:paraId="784F66DD">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模块四：同步器</w:t>
            </w:r>
            <w:r>
              <w:rPr>
                <w:rFonts w:hint="eastAsia" w:ascii="宋体" w:hAnsi="宋体" w:eastAsia="宋体" w:cs="宋体"/>
                <w:b w:val="0"/>
                <w:bCs w:val="0"/>
                <w:color w:val="auto"/>
                <w:sz w:val="24"/>
                <w:szCs w:val="24"/>
                <w:lang w:val="en-US" w:eastAsia="zh-CN"/>
              </w:rPr>
              <w:t>拆装与检测题库</w:t>
            </w:r>
          </w:p>
          <w:p w14:paraId="18CF883C">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1、同步器检测操作流程指导课程讲解动作规范、操作注意事项及评分标准</w:t>
            </w:r>
            <w:r>
              <w:rPr>
                <w:rFonts w:hint="eastAsia" w:ascii="宋体" w:hAnsi="宋体" w:eastAsia="宋体" w:cs="宋体"/>
                <w:b w:val="0"/>
                <w:bCs w:val="0"/>
                <w:color w:val="auto"/>
                <w:sz w:val="24"/>
                <w:szCs w:val="24"/>
              </w:rPr>
              <w:t>。</w:t>
            </w:r>
          </w:p>
          <w:p w14:paraId="6F25ED29">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 w:val="0"/>
                <w:bCs w:val="0"/>
                <w:color w:val="auto"/>
                <w:sz w:val="24"/>
                <w:szCs w:val="24"/>
                <w:lang w:val="en-US" w:eastAsia="zh-CN"/>
              </w:rPr>
            </w:pPr>
            <w:r>
              <w:rPr>
                <w:rFonts w:hint="default" w:ascii="宋体" w:hAnsi="宋体" w:cs="宋体"/>
                <w:b w:val="0"/>
                <w:bCs w:val="0"/>
                <w:color w:val="auto"/>
                <w:sz w:val="24"/>
                <w:szCs w:val="24"/>
              </w:rPr>
              <w:t>▲</w:t>
            </w:r>
            <w:r>
              <w:rPr>
                <w:rFonts w:hint="eastAsia" w:ascii="宋体" w:hAnsi="宋体" w:eastAsia="宋体" w:cs="宋体"/>
                <w:b w:val="0"/>
                <w:bCs w:val="0"/>
                <w:color w:val="auto"/>
                <w:sz w:val="24"/>
                <w:szCs w:val="24"/>
                <w:lang w:val="en-US" w:eastAsia="zh-CN"/>
              </w:rPr>
              <w:t>2、视频拍摄采用两个机位，需要镜头特写及重要部分重点说明</w:t>
            </w:r>
            <w:r>
              <w:rPr>
                <w:rFonts w:hint="eastAsia" w:ascii="宋体" w:hAnsi="宋体" w:cs="宋体"/>
                <w:b w:val="0"/>
                <w:bCs w:val="0"/>
                <w:color w:val="auto"/>
                <w:sz w:val="24"/>
                <w:szCs w:val="24"/>
                <w:lang w:eastAsia="zh-CN"/>
              </w:rPr>
              <w:t>，需提供承诺函</w:t>
            </w:r>
            <w:r>
              <w:rPr>
                <w:rFonts w:hint="eastAsia" w:ascii="宋体" w:hAnsi="宋体" w:eastAsia="宋体" w:cs="宋体"/>
                <w:b w:val="0"/>
                <w:bCs w:val="0"/>
                <w:color w:val="auto"/>
                <w:sz w:val="24"/>
                <w:szCs w:val="24"/>
                <w:lang w:val="en-US" w:eastAsia="zh-CN"/>
              </w:rPr>
              <w:t>。</w:t>
            </w:r>
          </w:p>
          <w:p w14:paraId="314BE041">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3、微视频重点讲解重点和难点。</w:t>
            </w:r>
          </w:p>
          <w:p w14:paraId="71BCFDAE">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4、软件中需要电子版操作步骤及原理介绍。</w:t>
            </w:r>
          </w:p>
          <w:p w14:paraId="2390607B">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5、拓展题采用题库模式，分为选择题、判断题及问答题，随机组卷考试。</w:t>
            </w:r>
          </w:p>
          <w:p w14:paraId="24866D9F">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6、涵盖同步器答题思路、评分标准、考官工单、桌面标签。</w:t>
            </w:r>
          </w:p>
          <w:p w14:paraId="14C4C8D5">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 w:val="0"/>
                <w:bCs w:val="0"/>
                <w:color w:val="auto"/>
                <w:sz w:val="24"/>
                <w:szCs w:val="24"/>
                <w:lang w:val="en-US" w:eastAsia="zh-CN"/>
              </w:rPr>
            </w:pPr>
            <w:r>
              <w:rPr>
                <w:rFonts w:hint="default" w:ascii="宋体" w:hAnsi="宋体" w:cs="宋体"/>
                <w:b w:val="0"/>
                <w:bCs w:val="0"/>
                <w:color w:val="auto"/>
                <w:sz w:val="24"/>
                <w:szCs w:val="24"/>
              </w:rPr>
              <w:t>▲</w:t>
            </w:r>
            <w:r>
              <w:rPr>
                <w:rFonts w:hint="eastAsia" w:ascii="宋体" w:hAnsi="宋体" w:eastAsia="宋体" w:cs="宋体"/>
                <w:b w:val="0"/>
                <w:bCs w:val="0"/>
                <w:color w:val="auto"/>
                <w:sz w:val="24"/>
                <w:szCs w:val="24"/>
                <w:lang w:val="en-US" w:eastAsia="zh-CN"/>
              </w:rPr>
              <w:t>7、同步器操作题目80道左右，用题目形式对视频每一步操作要点进行详细解答</w:t>
            </w:r>
            <w:r>
              <w:rPr>
                <w:rFonts w:hint="eastAsia" w:ascii="宋体" w:hAnsi="宋体" w:cs="宋体"/>
                <w:b w:val="0"/>
                <w:bCs w:val="0"/>
                <w:color w:val="auto"/>
                <w:sz w:val="24"/>
                <w:szCs w:val="24"/>
                <w:lang w:eastAsia="zh-CN"/>
              </w:rPr>
              <w:t>，需提供承诺函</w:t>
            </w:r>
            <w:r>
              <w:rPr>
                <w:rFonts w:hint="eastAsia" w:ascii="宋体" w:hAnsi="宋体" w:eastAsia="宋体" w:cs="宋体"/>
                <w:b w:val="0"/>
                <w:bCs w:val="0"/>
                <w:color w:val="auto"/>
                <w:sz w:val="24"/>
                <w:szCs w:val="24"/>
                <w:lang w:val="en-US" w:eastAsia="zh-CN"/>
              </w:rPr>
              <w:t>。</w:t>
            </w:r>
          </w:p>
          <w:p w14:paraId="1EFFEC1D">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要求：</w:t>
            </w:r>
            <w:r>
              <w:rPr>
                <w:rFonts w:hint="eastAsia" w:ascii="宋体" w:hAnsi="宋体" w:eastAsia="宋体" w:cs="宋体"/>
                <w:b w:val="0"/>
                <w:bCs w:val="0"/>
                <w:color w:val="auto"/>
                <w:sz w:val="24"/>
                <w:szCs w:val="24"/>
                <w:lang w:val="en-US" w:eastAsia="zh-CN"/>
              </w:rPr>
              <w:t>满足</w:t>
            </w:r>
            <w:r>
              <w:rPr>
                <w:rFonts w:hint="eastAsia" w:ascii="宋体" w:hAnsi="宋体" w:eastAsia="宋体" w:cs="宋体"/>
                <w:b w:val="0"/>
                <w:bCs w:val="0"/>
                <w:color w:val="auto"/>
                <w:sz w:val="24"/>
                <w:szCs w:val="24"/>
              </w:rPr>
              <w:t>湖北汽修技能高考大纲要求；与</w:t>
            </w:r>
            <w:r>
              <w:rPr>
                <w:rFonts w:hint="eastAsia" w:ascii="宋体" w:hAnsi="宋体" w:eastAsia="宋体" w:cs="宋体"/>
                <w:b w:val="0"/>
                <w:bCs w:val="0"/>
                <w:color w:val="auto"/>
                <w:sz w:val="24"/>
                <w:szCs w:val="24"/>
                <w:lang w:val="en-US" w:eastAsia="zh-CN"/>
              </w:rPr>
              <w:t>SAAS系统云平台</w:t>
            </w:r>
            <w:r>
              <w:rPr>
                <w:rFonts w:hint="eastAsia" w:ascii="宋体" w:hAnsi="宋体" w:eastAsia="宋体" w:cs="宋体"/>
                <w:b w:val="0"/>
                <w:bCs w:val="0"/>
                <w:color w:val="auto"/>
                <w:sz w:val="24"/>
                <w:szCs w:val="24"/>
              </w:rPr>
              <w:t>软件配套使用。</w:t>
            </w:r>
          </w:p>
          <w:p w14:paraId="02E41263">
            <w:pPr>
              <w:keepNext w:val="0"/>
              <w:keepLines w:val="0"/>
              <w:widowControl/>
              <w:suppressLineNumbers w:val="0"/>
              <w:ind w:left="0" w:leftChars="0" w:firstLine="0" w:firstLineChars="0"/>
              <w:jc w:val="left"/>
              <w:textAlignment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注意：</w:t>
            </w:r>
          </w:p>
          <w:p w14:paraId="74895DC9">
            <w:pPr>
              <w:keepNext w:val="0"/>
              <w:keepLines w:val="0"/>
              <w:widowControl/>
              <w:suppressLineNumbers w:val="0"/>
              <w:ind w:left="0" w:leftChars="0" w:firstLine="0" w:firstLineChars="0"/>
              <w:jc w:val="left"/>
              <w:textAlignment w:val="center"/>
              <w:rPr>
                <w:rFonts w:hint="eastAsia" w:ascii="宋体" w:hAnsi="宋体" w:eastAsia="宋体" w:cs="宋体"/>
                <w:color w:val="auto"/>
                <w:sz w:val="24"/>
                <w:szCs w:val="24"/>
                <w:lang w:val="en-US" w:eastAsia="zh-CN"/>
              </w:rPr>
            </w:pPr>
            <w:r>
              <w:rPr>
                <w:rFonts w:hint="eastAsia" w:ascii="宋体" w:hAnsi="宋体" w:eastAsia="宋体" w:cs="宋体"/>
                <w:b w:val="0"/>
                <w:bCs w:val="0"/>
                <w:color w:val="auto"/>
                <w:sz w:val="24"/>
                <w:szCs w:val="24"/>
                <w:lang w:val="en-US" w:eastAsia="zh-CN"/>
              </w:rPr>
              <w:t>1.满足湖北省汽修技能高考大纲要求，每年根据大纲变化升级</w:t>
            </w:r>
            <w:r>
              <w:rPr>
                <w:rFonts w:hint="eastAsia"/>
                <w:b w:val="0"/>
                <w:bCs w:val="0"/>
                <w:color w:val="auto"/>
                <w:lang w:eastAsia="zh-CN"/>
              </w:rPr>
              <w:t>，</w:t>
            </w:r>
            <w:r>
              <w:rPr>
                <w:rFonts w:hint="eastAsia" w:ascii="宋体" w:hAnsi="宋体" w:eastAsia="宋体" w:cs="宋体"/>
                <w:b w:val="0"/>
                <w:bCs w:val="0"/>
                <w:color w:val="auto"/>
                <w:sz w:val="24"/>
                <w:szCs w:val="24"/>
                <w:lang w:val="en-US" w:eastAsia="zh-CN"/>
              </w:rPr>
              <w:t>更新年限不低于3年。</w:t>
            </w:r>
          </w:p>
          <w:p w14:paraId="1596ADF8">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4"/>
                <w:szCs w:val="24"/>
                <w:u w:val="none"/>
              </w:rPr>
            </w:pPr>
            <w:r>
              <w:rPr>
                <w:rFonts w:hint="default" w:ascii="宋体" w:hAnsi="宋体" w:cs="宋体"/>
                <w:color w:val="auto"/>
                <w:sz w:val="24"/>
                <w:szCs w:val="24"/>
                <w:lang w:eastAsia="zh-CN"/>
              </w:rPr>
              <w:t>2</w:t>
            </w:r>
            <w:r>
              <w:rPr>
                <w:rFonts w:hint="eastAsia" w:ascii="宋体" w:hAnsi="宋体" w:eastAsia="宋体" w:cs="宋体"/>
                <w:color w:val="auto"/>
                <w:sz w:val="24"/>
                <w:szCs w:val="24"/>
                <w:lang w:val="en-US" w:eastAsia="zh-CN"/>
              </w:rPr>
              <w:t>.本次采购使用期限须满足3年。</w:t>
            </w:r>
          </w:p>
        </w:tc>
      </w:tr>
      <w:tr w14:paraId="5DE31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25" w:type="pct"/>
            <w:vMerge w:val="continue"/>
            <w:tcBorders>
              <w:top w:val="single" w:color="000000" w:sz="4" w:space="0"/>
              <w:left w:val="single" w:color="000000" w:sz="4" w:space="0"/>
              <w:bottom w:val="single" w:color="000000" w:sz="4" w:space="0"/>
              <w:right w:val="single" w:color="000000" w:sz="4" w:space="0"/>
            </w:tcBorders>
            <w:noWrap/>
            <w:vAlign w:val="center"/>
          </w:tcPr>
          <w:p w14:paraId="4F0400AD">
            <w:pPr>
              <w:jc w:val="center"/>
              <w:rPr>
                <w:rFonts w:hint="eastAsia" w:ascii="宋体" w:hAnsi="宋体" w:eastAsia="宋体" w:cs="宋体"/>
                <w:i w:val="0"/>
                <w:iCs w:val="0"/>
                <w:color w:val="000000"/>
                <w:sz w:val="24"/>
                <w:szCs w:val="24"/>
                <w:u w:val="none"/>
              </w:rPr>
            </w:pPr>
          </w:p>
        </w:tc>
        <w:tc>
          <w:tcPr>
            <w:tcW w:w="900" w:type="pct"/>
            <w:tcBorders>
              <w:top w:val="single" w:color="000000" w:sz="4" w:space="0"/>
              <w:left w:val="single" w:color="000000" w:sz="4" w:space="0"/>
              <w:bottom w:val="single" w:color="000000" w:sz="4" w:space="0"/>
              <w:right w:val="single" w:color="000000" w:sz="4" w:space="0"/>
            </w:tcBorders>
            <w:noWrap/>
            <w:vAlign w:val="center"/>
          </w:tcPr>
          <w:p w14:paraId="1B673AF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教学专用台式计算机</w:t>
            </w:r>
          </w:p>
        </w:tc>
        <w:tc>
          <w:tcPr>
            <w:tcW w:w="3673" w:type="pct"/>
            <w:tcBorders>
              <w:top w:val="single" w:color="000000" w:sz="4" w:space="0"/>
              <w:left w:val="single" w:color="000000" w:sz="4" w:space="0"/>
              <w:bottom w:val="single" w:color="000000" w:sz="4" w:space="0"/>
              <w:right w:val="single" w:color="000000" w:sz="4" w:space="0"/>
            </w:tcBorders>
            <w:noWrap w:val="0"/>
            <w:vAlign w:val="center"/>
          </w:tcPr>
          <w:p w14:paraId="37F08F89">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一、主机部分</w:t>
            </w:r>
          </w:p>
          <w:p w14:paraId="67508A21">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1.CPU：≥10核心，16线程</w:t>
            </w:r>
            <w:r>
              <w:rPr>
                <w:rFonts w:hint="eastAsia" w:ascii="宋体" w:hAnsi="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主频≥2.5GHz，最大</w:t>
            </w:r>
            <w:r>
              <w:rPr>
                <w:rFonts w:hint="eastAsia" w:ascii="宋体" w:hAnsi="宋体" w:cs="宋体"/>
                <w:color w:val="auto"/>
                <w:kern w:val="2"/>
                <w:sz w:val="24"/>
                <w:szCs w:val="24"/>
                <w:lang w:val="en-US" w:eastAsia="zh-CN" w:bidi="ar-SA"/>
              </w:rPr>
              <w:t>动态加速频率</w:t>
            </w:r>
            <w:r>
              <w:rPr>
                <w:rFonts w:hint="eastAsia" w:ascii="宋体" w:hAnsi="宋体" w:eastAsia="宋体" w:cs="宋体"/>
                <w:color w:val="auto"/>
                <w:kern w:val="2"/>
                <w:sz w:val="24"/>
                <w:szCs w:val="24"/>
                <w:lang w:val="en-US" w:eastAsia="zh-CN" w:bidi="ar-SA"/>
              </w:rPr>
              <w:t>≥4.6GHz，L3缓存≥20MB）</w:t>
            </w:r>
          </w:p>
          <w:p w14:paraId="46C1E768">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2.内存：≥16GB DDR4 3200MHz，至少提供2个内存插槽，支持最大扩展至32GB</w:t>
            </w:r>
          </w:p>
          <w:p w14:paraId="4B18305C">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3.硬盘：≥512GB M.2 NVMe SSD，支持扩展1个3.5英寸机械硬盘</w:t>
            </w:r>
          </w:p>
          <w:p w14:paraId="59D2EA18">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4.光驱：支持拓展9.5mm标准光驱（可选配）</w:t>
            </w:r>
          </w:p>
          <w:p w14:paraId="23985DFE">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5.前置面板接口：</w:t>
            </w:r>
          </w:p>
          <w:p w14:paraId="24E3DD93">
            <w:pPr>
              <w:ind w:firstLine="0" w:firstLineChars="0"/>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a.</w:t>
            </w:r>
            <w:r>
              <w:rPr>
                <w:rFonts w:hint="eastAsia" w:ascii="宋体" w:hAnsi="宋体" w:eastAsia="宋体" w:cs="宋体"/>
                <w:color w:val="auto"/>
                <w:kern w:val="2"/>
                <w:sz w:val="24"/>
                <w:szCs w:val="24"/>
                <w:lang w:val="en-US" w:eastAsia="zh-CN" w:bidi="ar-SA"/>
              </w:rPr>
              <w:t>USB接口数量≥6个（其中至少包含1个USB-C接口）</w:t>
            </w:r>
          </w:p>
          <w:p w14:paraId="4ADC2F6F">
            <w:pPr>
              <w:ind w:firstLine="0" w:firstLineChars="0"/>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b.</w:t>
            </w:r>
            <w:r>
              <w:rPr>
                <w:rFonts w:hint="eastAsia" w:ascii="宋体" w:hAnsi="宋体" w:eastAsia="宋体" w:cs="宋体"/>
                <w:color w:val="auto"/>
                <w:kern w:val="2"/>
                <w:sz w:val="24"/>
                <w:szCs w:val="24"/>
                <w:lang w:val="en-US" w:eastAsia="zh-CN" w:bidi="ar-SA"/>
              </w:rPr>
              <w:t>耳机接口≥1个（3.5mm）</w:t>
            </w:r>
          </w:p>
          <w:p w14:paraId="0CD61715">
            <w:pPr>
              <w:ind w:firstLine="0" w:firstLineChars="0"/>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c.</w:t>
            </w:r>
            <w:r>
              <w:rPr>
                <w:rFonts w:hint="eastAsia" w:ascii="宋体" w:hAnsi="宋体" w:eastAsia="宋体" w:cs="宋体"/>
                <w:color w:val="auto"/>
                <w:kern w:val="2"/>
                <w:sz w:val="24"/>
                <w:szCs w:val="24"/>
                <w:lang w:val="en-US" w:eastAsia="zh-CN" w:bidi="ar-SA"/>
              </w:rPr>
              <w:t>麦克风接口≥1个（3.5mm）</w:t>
            </w:r>
          </w:p>
          <w:p w14:paraId="427CACBC">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6.后置面板接口：</w:t>
            </w:r>
          </w:p>
          <w:p w14:paraId="34996D8B">
            <w:pPr>
              <w:ind w:firstLine="0" w:firstLineChars="0"/>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a.</w:t>
            </w:r>
            <w:r>
              <w:rPr>
                <w:rFonts w:hint="eastAsia" w:ascii="宋体" w:hAnsi="宋体" w:eastAsia="宋体" w:cs="宋体"/>
                <w:color w:val="auto"/>
                <w:kern w:val="2"/>
                <w:sz w:val="24"/>
                <w:szCs w:val="24"/>
                <w:lang w:val="en-US" w:eastAsia="zh-CN" w:bidi="ar-SA"/>
              </w:rPr>
              <w:t>USB接口数量≥4个（USB-A）</w:t>
            </w:r>
          </w:p>
          <w:p w14:paraId="0EB913CA">
            <w:pPr>
              <w:ind w:firstLine="0" w:firstLineChars="0"/>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b.</w:t>
            </w:r>
            <w:r>
              <w:rPr>
                <w:rFonts w:hint="eastAsia" w:ascii="宋体" w:hAnsi="宋体" w:eastAsia="宋体" w:cs="宋体"/>
                <w:color w:val="auto"/>
                <w:kern w:val="2"/>
                <w:sz w:val="24"/>
                <w:szCs w:val="24"/>
                <w:lang w:val="en-US" w:eastAsia="zh-CN" w:bidi="ar-SA"/>
              </w:rPr>
              <w:t>视频输出接口：HDMI≥1个，VGA≥1个，DP≥1个</w:t>
            </w:r>
          </w:p>
          <w:p w14:paraId="721D2401">
            <w:pPr>
              <w:ind w:firstLine="0" w:firstLineChars="0"/>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c.</w:t>
            </w:r>
            <w:r>
              <w:rPr>
                <w:rFonts w:hint="eastAsia" w:ascii="宋体" w:hAnsi="宋体" w:eastAsia="宋体" w:cs="宋体"/>
                <w:color w:val="auto"/>
                <w:kern w:val="2"/>
                <w:sz w:val="24"/>
                <w:szCs w:val="24"/>
                <w:lang w:val="en-US" w:eastAsia="zh-CN" w:bidi="ar-SA"/>
              </w:rPr>
              <w:t>音频接口≥3个（线路输出、线路输入、麦克风输入）</w:t>
            </w:r>
          </w:p>
          <w:p w14:paraId="7A4CBE29">
            <w:pPr>
              <w:ind w:firstLine="0" w:firstLineChars="0"/>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d.</w:t>
            </w:r>
            <w:r>
              <w:rPr>
                <w:rFonts w:hint="eastAsia" w:ascii="宋体" w:hAnsi="宋体" w:eastAsia="宋体" w:cs="宋体"/>
                <w:color w:val="auto"/>
                <w:kern w:val="2"/>
                <w:sz w:val="24"/>
                <w:szCs w:val="24"/>
                <w:lang w:val="en-US" w:eastAsia="zh-CN" w:bidi="ar-SA"/>
              </w:rPr>
              <w:t>RJ45千兆网口≥1个</w:t>
            </w:r>
          </w:p>
          <w:p w14:paraId="21CFC826">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7.内置扩展插槽：</w:t>
            </w:r>
          </w:p>
          <w:p w14:paraId="0526E652">
            <w:pPr>
              <w:ind w:firstLine="0" w:firstLineChars="0"/>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a.</w:t>
            </w:r>
            <w:r>
              <w:rPr>
                <w:rFonts w:hint="eastAsia" w:ascii="宋体" w:hAnsi="宋体" w:eastAsia="宋体" w:cs="宋体"/>
                <w:color w:val="auto"/>
                <w:kern w:val="2"/>
                <w:sz w:val="24"/>
                <w:szCs w:val="24"/>
                <w:lang w:val="en-US" w:eastAsia="zh-CN" w:bidi="ar-SA"/>
              </w:rPr>
              <w:t>PCIe x16插槽≥1个（用于独立显卡）</w:t>
            </w:r>
          </w:p>
          <w:p w14:paraId="59E27FA9">
            <w:pPr>
              <w:ind w:firstLine="0" w:firstLineChars="0"/>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b.</w:t>
            </w:r>
            <w:r>
              <w:rPr>
                <w:rFonts w:hint="eastAsia" w:ascii="宋体" w:hAnsi="宋体" w:eastAsia="宋体" w:cs="宋体"/>
                <w:color w:val="auto"/>
                <w:kern w:val="2"/>
                <w:sz w:val="24"/>
                <w:szCs w:val="24"/>
                <w:lang w:val="en-US" w:eastAsia="zh-CN" w:bidi="ar-SA"/>
              </w:rPr>
              <w:t>PCIe x1插槽≥1个</w:t>
            </w:r>
          </w:p>
          <w:p w14:paraId="664EF0BB">
            <w:pPr>
              <w:ind w:firstLine="0" w:firstLineChars="0"/>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c.</w:t>
            </w:r>
            <w:r>
              <w:rPr>
                <w:rFonts w:hint="eastAsia" w:ascii="宋体" w:hAnsi="宋体" w:eastAsia="宋体" w:cs="宋体"/>
                <w:color w:val="auto"/>
                <w:kern w:val="2"/>
                <w:sz w:val="24"/>
                <w:szCs w:val="24"/>
                <w:lang w:val="en-US" w:eastAsia="zh-CN" w:bidi="ar-SA"/>
              </w:rPr>
              <w:t>SATA 3.0接口≥2个</w:t>
            </w:r>
          </w:p>
          <w:p w14:paraId="14A15FCE">
            <w:pPr>
              <w:ind w:firstLine="0" w:firstLineChars="0"/>
              <w:rPr>
                <w:rFonts w:hint="eastAsia" w:ascii="宋体" w:hAnsi="宋体" w:eastAsia="宋体" w:cs="宋体"/>
                <w:color w:val="auto"/>
                <w:kern w:val="2"/>
                <w:sz w:val="24"/>
                <w:szCs w:val="24"/>
                <w:lang w:val="en-US" w:eastAsia="zh-CN" w:bidi="ar-SA"/>
              </w:rPr>
            </w:pPr>
            <w:r>
              <w:rPr>
                <w:rFonts w:hint="eastAsia" w:ascii="宋体" w:hAnsi="宋体" w:cs="宋体"/>
                <w:color w:val="auto"/>
                <w:kern w:val="2"/>
                <w:sz w:val="24"/>
                <w:szCs w:val="24"/>
                <w:lang w:val="en-US" w:eastAsia="zh-CN" w:bidi="ar-SA"/>
              </w:rPr>
              <w:t>d.</w:t>
            </w:r>
            <w:r>
              <w:rPr>
                <w:rFonts w:hint="eastAsia" w:ascii="宋体" w:hAnsi="宋体" w:eastAsia="宋体" w:cs="宋体"/>
                <w:color w:val="auto"/>
                <w:kern w:val="2"/>
                <w:sz w:val="24"/>
                <w:szCs w:val="24"/>
                <w:lang w:val="en-US" w:eastAsia="zh-CN" w:bidi="ar-SA"/>
              </w:rPr>
              <w:t>M.2接口≥2个（其中至少1个用于SSD）</w:t>
            </w:r>
          </w:p>
          <w:p w14:paraId="01F8E3D3">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8.网卡：集成千兆有线网卡；内置无线网卡（支持Wi-Fi，可选配蓝牙）</w:t>
            </w:r>
          </w:p>
          <w:p w14:paraId="3588F7AA">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9.声卡：集成高清音频解码器，支持5.1声道输出，可选配内置扬声器</w:t>
            </w:r>
          </w:p>
          <w:p w14:paraId="3BAF01B7">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10. 机箱：机箱容积≥15L</w:t>
            </w:r>
            <w:r>
              <w:rPr>
                <w:rFonts w:hint="eastAsia" w:ascii="宋体" w:hAnsi="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前置面板具备开机、重启按钮</w:t>
            </w:r>
            <w:r>
              <w:rPr>
                <w:rFonts w:hint="eastAsia" w:ascii="宋体" w:hAnsi="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标配顶置提手（便于搬运）</w:t>
            </w:r>
            <w:r>
              <w:rPr>
                <w:rFonts w:hint="eastAsia" w:ascii="宋体" w:hAnsi="宋体" w:cs="宋体"/>
                <w:color w:val="auto"/>
                <w:kern w:val="2"/>
                <w:sz w:val="24"/>
                <w:szCs w:val="24"/>
                <w:lang w:val="en-US" w:eastAsia="zh-CN" w:bidi="ar-SA"/>
              </w:rPr>
              <w:t>；</w:t>
            </w:r>
            <w:r>
              <w:rPr>
                <w:rFonts w:hint="eastAsia" w:ascii="宋体" w:hAnsi="宋体" w:eastAsia="宋体" w:cs="宋体"/>
                <w:color w:val="auto"/>
                <w:kern w:val="2"/>
                <w:sz w:val="24"/>
                <w:szCs w:val="24"/>
                <w:lang w:val="en-US" w:eastAsia="zh-CN" w:bidi="ar-SA"/>
              </w:rPr>
              <w:t>机箱颜色：黑色</w:t>
            </w:r>
          </w:p>
          <w:p w14:paraId="12795702">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11. 电源：≥300W 高效电源，通过3C认证</w:t>
            </w:r>
          </w:p>
          <w:p w14:paraId="41FD70D6">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 操作系统：预装正版Windows 11 64位操作系统（或国产操作系统，根据采购</w:t>
            </w:r>
            <w:r>
              <w:rPr>
                <w:rFonts w:hint="eastAsia" w:ascii="宋体" w:hAnsi="宋体" w:cs="宋体"/>
                <w:color w:val="auto"/>
                <w:kern w:val="2"/>
                <w:sz w:val="24"/>
                <w:szCs w:val="24"/>
                <w:lang w:val="en-US" w:eastAsia="zh-CN" w:bidi="ar-SA"/>
              </w:rPr>
              <w:t>人</w:t>
            </w:r>
            <w:r>
              <w:rPr>
                <w:rFonts w:hint="eastAsia" w:ascii="宋体" w:hAnsi="宋体" w:eastAsia="宋体" w:cs="宋体"/>
                <w:color w:val="auto"/>
                <w:kern w:val="2"/>
                <w:sz w:val="24"/>
                <w:szCs w:val="24"/>
                <w:lang w:val="en-US" w:eastAsia="zh-CN" w:bidi="ar-SA"/>
              </w:rPr>
              <w:t>需求可选）</w:t>
            </w:r>
          </w:p>
          <w:p w14:paraId="2C5BAE3D">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13. 质保：整机（主要部件）≥3年有限保修，提供上门服务</w:t>
            </w:r>
          </w:p>
          <w:p w14:paraId="7B499FA3">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二、显示器部分（23.8英寸）</w:t>
            </w:r>
          </w:p>
          <w:p w14:paraId="0B91BE6D">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 屏幕尺寸：≥23.8英寸，LED背光，16:9宽屏</w:t>
            </w:r>
          </w:p>
          <w:p w14:paraId="0E0FB1FE">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 分辨率：≥1920×1080（Full HD）</w:t>
            </w:r>
          </w:p>
          <w:p w14:paraId="6B9AE415">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 刷新率：≥75Hz（或更高）</w:t>
            </w:r>
          </w:p>
          <w:p w14:paraId="195D1C8B">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 响应时间：≤7ms（典型值）</w:t>
            </w:r>
          </w:p>
          <w:p w14:paraId="49549E24">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5. 亮度：≥250 cd/m²</w:t>
            </w:r>
          </w:p>
          <w:p w14:paraId="37441A73">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 对比度：≥1000:1</w:t>
            </w:r>
          </w:p>
          <w:p w14:paraId="01BB1250">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 可视角度：水平≥178°，垂直≥178°</w:t>
            </w:r>
          </w:p>
          <w:p w14:paraId="0A6BEF6B">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8. 色域：sRGB色域覆盖率≥90%</w:t>
            </w:r>
          </w:p>
          <w:p w14:paraId="6CA8D865">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9. 接口：VGA≥1个，HDMI≥1个</w:t>
            </w:r>
          </w:p>
          <w:p w14:paraId="02DC81DB">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10. 外观：三边微边框设计，下边框≤25mm</w:t>
            </w:r>
          </w:p>
          <w:p w14:paraId="6E53CEEC">
            <w:pPr>
              <w:ind w:firstLine="0" w:firstLineChars="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11. 功能模式：支持标准模式、护眼模式、低蓝光模式等显示模式切换</w:t>
            </w:r>
          </w:p>
          <w:p w14:paraId="3D2880D3">
            <w:pPr>
              <w:ind w:firstLine="0" w:firstLineChars="0"/>
              <w:rPr>
                <w:rFonts w:hint="default" w:ascii="宋体" w:hAnsi="宋体" w:cs="宋体"/>
                <w:color w:val="auto"/>
                <w:kern w:val="2"/>
                <w:sz w:val="24"/>
                <w:szCs w:val="24"/>
                <w:lang w:eastAsia="zh-CN" w:bidi="ar-SA"/>
              </w:rPr>
            </w:pPr>
            <w:r>
              <w:rPr>
                <w:rFonts w:hint="eastAsia" w:ascii="宋体" w:hAnsi="宋体" w:eastAsia="宋体" w:cs="宋体"/>
                <w:color w:val="auto"/>
                <w:kern w:val="2"/>
                <w:sz w:val="24"/>
                <w:szCs w:val="24"/>
                <w:lang w:val="en-US" w:eastAsia="zh-CN" w:bidi="ar-SA"/>
              </w:rPr>
              <w:t>12. 质保：与主机同期限（≥3年）</w:t>
            </w:r>
          </w:p>
        </w:tc>
      </w:tr>
      <w:tr w14:paraId="6E3F2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25" w:type="pct"/>
            <w:vMerge w:val="continue"/>
            <w:tcBorders>
              <w:top w:val="single" w:color="000000" w:sz="4" w:space="0"/>
              <w:left w:val="single" w:color="000000" w:sz="4" w:space="0"/>
              <w:bottom w:val="single" w:color="000000" w:sz="4" w:space="0"/>
              <w:right w:val="single" w:color="000000" w:sz="4" w:space="0"/>
            </w:tcBorders>
            <w:noWrap/>
            <w:vAlign w:val="center"/>
          </w:tcPr>
          <w:p w14:paraId="18E47355">
            <w:pPr>
              <w:jc w:val="center"/>
              <w:rPr>
                <w:rFonts w:hint="eastAsia" w:ascii="宋体" w:hAnsi="宋体" w:eastAsia="宋体" w:cs="宋体"/>
                <w:i w:val="0"/>
                <w:iCs w:val="0"/>
                <w:color w:val="000000"/>
                <w:sz w:val="24"/>
                <w:szCs w:val="24"/>
                <w:u w:val="none"/>
              </w:rPr>
            </w:pPr>
          </w:p>
        </w:tc>
        <w:tc>
          <w:tcPr>
            <w:tcW w:w="900" w:type="pct"/>
            <w:tcBorders>
              <w:top w:val="single" w:color="000000" w:sz="4" w:space="0"/>
              <w:left w:val="single" w:color="000000" w:sz="4" w:space="0"/>
              <w:bottom w:val="single" w:color="000000" w:sz="4" w:space="0"/>
              <w:right w:val="single" w:color="000000" w:sz="4" w:space="0"/>
            </w:tcBorders>
            <w:noWrap w:val="0"/>
            <w:vAlign w:val="center"/>
          </w:tcPr>
          <w:p w14:paraId="0332E264">
            <w:pPr>
              <w:ind w:left="0" w:leftChars="0" w:firstLine="0" w:firstLineChars="0"/>
              <w:jc w:val="center"/>
              <w:rPr>
                <w:rFonts w:hint="eastAsia" w:ascii="宋体" w:hAnsi="宋体" w:eastAsia="宋体" w:cs="宋体"/>
                <w:color w:val="auto"/>
                <w:sz w:val="24"/>
                <w:szCs w:val="24"/>
                <w:lang w:val="en-US" w:eastAsia="zh-CN"/>
              </w:rPr>
            </w:pPr>
            <w:r>
              <w:rPr>
                <w:rFonts w:hint="default" w:ascii="宋体" w:hAnsi="宋体" w:cs="宋体"/>
                <w:color w:val="auto"/>
                <w:sz w:val="24"/>
                <w:szCs w:val="24"/>
                <w:lang w:eastAsia="zh-CN"/>
              </w:rPr>
              <w:t>98</w:t>
            </w:r>
            <w:r>
              <w:rPr>
                <w:rFonts w:hint="eastAsia" w:ascii="宋体" w:hAnsi="宋体" w:eastAsia="宋体" w:cs="宋体"/>
                <w:color w:val="auto"/>
                <w:sz w:val="24"/>
                <w:szCs w:val="24"/>
                <w:lang w:val="en-US" w:eastAsia="zh-CN"/>
              </w:rPr>
              <w:t>英寸电子白板大屏显示系统</w:t>
            </w:r>
          </w:p>
        </w:tc>
        <w:tc>
          <w:tcPr>
            <w:tcW w:w="3673" w:type="pct"/>
            <w:tcBorders>
              <w:top w:val="single" w:color="000000" w:sz="4" w:space="0"/>
              <w:left w:val="single" w:color="000000" w:sz="4" w:space="0"/>
              <w:bottom w:val="single" w:color="000000" w:sz="4" w:space="0"/>
              <w:right w:val="single" w:color="000000" w:sz="4" w:space="0"/>
            </w:tcBorders>
            <w:noWrap w:val="0"/>
            <w:vAlign w:val="center"/>
          </w:tcPr>
          <w:p w14:paraId="0EB943F7">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一、整体规格</w:t>
            </w:r>
          </w:p>
          <w:p w14:paraId="0D8363E3">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本产品为屏幕显示尺寸≥</w:t>
            </w:r>
            <w:r>
              <w:rPr>
                <w:rFonts w:hint="eastAsia" w:ascii="宋体" w:hAnsi="宋体" w:eastAsia="宋体" w:cs="宋体"/>
                <w:color w:val="auto"/>
                <w:sz w:val="24"/>
                <w:szCs w:val="24"/>
                <w:lang w:val="en-US" w:eastAsia="zh-CN"/>
              </w:rPr>
              <w:t>98</w:t>
            </w:r>
            <w:r>
              <w:rPr>
                <w:rFonts w:hint="eastAsia" w:ascii="宋体" w:hAnsi="宋体" w:eastAsia="宋体" w:cs="宋体"/>
                <w:color w:val="auto"/>
                <w:sz w:val="24"/>
                <w:szCs w:val="24"/>
              </w:rPr>
              <w:t>英寸双系统一体机，采用DLED背光技术，显示尺寸</w:t>
            </w:r>
            <w:r>
              <w:rPr>
                <w:rFonts w:hint="eastAsia" w:ascii="宋体" w:hAnsi="宋体" w:eastAsia="宋体" w:cs="宋体"/>
                <w:color w:val="auto"/>
                <w:sz w:val="24"/>
                <w:szCs w:val="24"/>
                <w:lang w:val="en-US" w:eastAsia="zh-CN"/>
              </w:rPr>
              <w:t>不低于</w:t>
            </w:r>
            <w:r>
              <w:rPr>
                <w:rFonts w:hint="eastAsia" w:ascii="宋体" w:hAnsi="宋体" w:eastAsia="宋体" w:cs="宋体"/>
                <w:color w:val="auto"/>
                <w:sz w:val="24"/>
                <w:szCs w:val="24"/>
              </w:rPr>
              <w:t>2213.6mm×1305.6mm，物理分辨率</w:t>
            </w:r>
            <w:r>
              <w:rPr>
                <w:rFonts w:hint="eastAsia" w:ascii="宋体" w:hAnsi="宋体" w:eastAsia="宋体" w:cs="宋体"/>
                <w:color w:val="auto"/>
                <w:sz w:val="24"/>
                <w:szCs w:val="24"/>
                <w:lang w:val="en-US" w:eastAsia="zh-CN"/>
              </w:rPr>
              <w:t>不低于</w:t>
            </w:r>
            <w:r>
              <w:rPr>
                <w:rFonts w:hint="eastAsia" w:ascii="宋体" w:hAnsi="宋体" w:eastAsia="宋体" w:cs="宋体"/>
                <w:color w:val="auto"/>
                <w:sz w:val="24"/>
                <w:szCs w:val="24"/>
              </w:rPr>
              <w:t>4K（3840×2160），整机峰值亮度</w:t>
            </w:r>
            <w:r>
              <w:rPr>
                <w:rFonts w:hint="eastAsia" w:ascii="宋体" w:hAnsi="宋体" w:eastAsia="宋体" w:cs="宋体"/>
                <w:color w:val="auto"/>
                <w:sz w:val="24"/>
                <w:szCs w:val="24"/>
                <w:lang w:val="en-US" w:eastAsia="zh-CN"/>
              </w:rPr>
              <w:t>不低于</w:t>
            </w:r>
            <w:r>
              <w:rPr>
                <w:rFonts w:hint="eastAsia" w:ascii="宋体" w:hAnsi="宋体" w:eastAsia="宋体" w:cs="宋体"/>
                <w:color w:val="auto"/>
                <w:sz w:val="24"/>
                <w:szCs w:val="24"/>
              </w:rPr>
              <w:t>320cd/m²，动态对比度</w:t>
            </w:r>
            <w:r>
              <w:rPr>
                <w:rFonts w:hint="eastAsia" w:ascii="宋体" w:hAnsi="宋体" w:eastAsia="宋体" w:cs="宋体"/>
                <w:color w:val="auto"/>
                <w:sz w:val="24"/>
                <w:szCs w:val="24"/>
                <w:lang w:val="en-US" w:eastAsia="zh-CN"/>
              </w:rPr>
              <w:t>不低于</w:t>
            </w:r>
            <w:r>
              <w:rPr>
                <w:rFonts w:hint="eastAsia" w:ascii="宋体" w:hAnsi="宋体" w:eastAsia="宋体" w:cs="宋体"/>
                <w:color w:val="auto"/>
                <w:sz w:val="24"/>
                <w:szCs w:val="24"/>
              </w:rPr>
              <w:t>5000:1，观看视角为水平</w:t>
            </w:r>
            <w:r>
              <w:rPr>
                <w:rFonts w:hint="eastAsia" w:ascii="宋体" w:hAnsi="宋体" w:eastAsia="宋体" w:cs="宋体"/>
                <w:color w:val="auto"/>
                <w:sz w:val="24"/>
                <w:szCs w:val="24"/>
                <w:lang w:val="en-US" w:eastAsia="zh-CN"/>
              </w:rPr>
              <w:t>约</w:t>
            </w:r>
            <w:r>
              <w:rPr>
                <w:rFonts w:hint="eastAsia" w:ascii="宋体" w:hAnsi="宋体" w:eastAsia="宋体" w:cs="宋体"/>
                <w:color w:val="auto"/>
                <w:sz w:val="24"/>
                <w:szCs w:val="24"/>
              </w:rPr>
              <w:t>178度、垂直</w:t>
            </w:r>
            <w:r>
              <w:rPr>
                <w:rFonts w:hint="eastAsia" w:ascii="宋体" w:hAnsi="宋体" w:eastAsia="宋体" w:cs="宋体"/>
                <w:color w:val="auto"/>
                <w:sz w:val="24"/>
                <w:szCs w:val="24"/>
                <w:lang w:val="en-US" w:eastAsia="zh-CN"/>
              </w:rPr>
              <w:t>约</w:t>
            </w:r>
            <w:r>
              <w:rPr>
                <w:rFonts w:hint="eastAsia" w:ascii="宋体" w:hAnsi="宋体" w:eastAsia="宋体" w:cs="宋体"/>
                <w:color w:val="auto"/>
                <w:sz w:val="24"/>
                <w:szCs w:val="24"/>
              </w:rPr>
              <w:t>178度，屏幕比例为</w:t>
            </w:r>
            <w:r>
              <w:rPr>
                <w:rFonts w:hint="eastAsia" w:ascii="宋体" w:hAnsi="宋体" w:eastAsia="宋体" w:cs="宋体"/>
                <w:color w:val="auto"/>
                <w:sz w:val="24"/>
                <w:szCs w:val="24"/>
                <w:lang w:val="en-US" w:eastAsia="zh-CN"/>
              </w:rPr>
              <w:t>约</w:t>
            </w:r>
            <w:r>
              <w:rPr>
                <w:rFonts w:hint="eastAsia" w:ascii="宋体" w:hAnsi="宋体" w:eastAsia="宋体" w:cs="宋体"/>
                <w:color w:val="auto"/>
                <w:sz w:val="24"/>
                <w:szCs w:val="24"/>
              </w:rPr>
              <w:t>16:9，显示色彩</w:t>
            </w:r>
            <w:r>
              <w:rPr>
                <w:rFonts w:hint="eastAsia" w:ascii="宋体" w:hAnsi="宋体" w:eastAsia="宋体" w:cs="宋体"/>
                <w:color w:val="auto"/>
                <w:sz w:val="24"/>
                <w:szCs w:val="24"/>
                <w:lang w:val="en-US" w:eastAsia="zh-CN"/>
              </w:rPr>
              <w:t>约</w:t>
            </w:r>
            <w:r>
              <w:rPr>
                <w:rFonts w:hint="eastAsia" w:ascii="宋体" w:hAnsi="宋体" w:eastAsia="宋体" w:cs="宋体"/>
                <w:color w:val="auto"/>
                <w:sz w:val="24"/>
                <w:szCs w:val="24"/>
              </w:rPr>
              <w:t>10Bit、16.7M色。</w:t>
            </w:r>
          </w:p>
          <w:p w14:paraId="7499096A">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二、触摸性能</w:t>
            </w:r>
          </w:p>
          <w:p w14:paraId="53AA4649">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触摸输入方式采用内置一体式非外挂设计，触摸感应技术为红外感应识别，支持</w:t>
            </w:r>
            <w:r>
              <w:rPr>
                <w:rFonts w:hint="eastAsia" w:ascii="宋体" w:hAnsi="宋体" w:eastAsia="宋体" w:cs="宋体"/>
                <w:color w:val="auto"/>
                <w:sz w:val="24"/>
                <w:szCs w:val="24"/>
                <w:lang w:val="en-US" w:eastAsia="zh-CN"/>
              </w:rPr>
              <w:t>约</w:t>
            </w:r>
            <w:r>
              <w:rPr>
                <w:rFonts w:hint="eastAsia" w:ascii="宋体" w:hAnsi="宋体" w:eastAsia="宋体" w:cs="宋体"/>
                <w:color w:val="auto"/>
                <w:sz w:val="24"/>
                <w:szCs w:val="24"/>
              </w:rPr>
              <w:t>20点触控。书写方式支持手指、触摸笔或其他直径不小于5mm的非透明物体，多点触控时直径不小于8mm。光标速度</w:t>
            </w:r>
            <w:r>
              <w:rPr>
                <w:rFonts w:hint="eastAsia" w:ascii="宋体" w:hAnsi="宋体" w:eastAsia="宋体" w:cs="宋体"/>
                <w:color w:val="auto"/>
                <w:sz w:val="24"/>
                <w:szCs w:val="24"/>
                <w:lang w:val="en-US" w:eastAsia="zh-CN"/>
              </w:rPr>
              <w:t>不低于</w:t>
            </w:r>
            <w:r>
              <w:rPr>
                <w:rFonts w:hint="eastAsia" w:ascii="宋体" w:hAnsi="宋体" w:eastAsia="宋体" w:cs="宋体"/>
                <w:color w:val="auto"/>
                <w:sz w:val="24"/>
                <w:szCs w:val="24"/>
              </w:rPr>
              <w:t>120点/秒，定位精度为90%以上触摸区域误差不超过±2mm，触摸分辨率</w:t>
            </w:r>
            <w:r>
              <w:rPr>
                <w:rFonts w:hint="eastAsia" w:ascii="宋体" w:hAnsi="宋体" w:eastAsia="宋体" w:cs="宋体"/>
                <w:color w:val="auto"/>
                <w:sz w:val="24"/>
                <w:szCs w:val="24"/>
                <w:lang w:val="en-US" w:eastAsia="zh-CN"/>
              </w:rPr>
              <w:t>不低于</w:t>
            </w:r>
            <w:r>
              <w:rPr>
                <w:rFonts w:hint="eastAsia" w:ascii="宋体" w:hAnsi="宋体" w:eastAsia="宋体" w:cs="宋体"/>
                <w:color w:val="auto"/>
                <w:sz w:val="24"/>
                <w:szCs w:val="24"/>
              </w:rPr>
              <w:t>32767×32767，触摸次数理论无限次，计算机响应时间不超过15ms，系统自动识别，驱动程序免驱安装。</w:t>
            </w:r>
          </w:p>
          <w:p w14:paraId="767523F2">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三、系统配置</w:t>
            </w:r>
          </w:p>
          <w:p w14:paraId="7DF91FA3">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语言支持简体中文、英语等，可适配所有语言。视频格式支持RM、MPEG2、MPEG4、H.264、RMVB、MOV、MJEG、VC1、FLV等，图像格式支持JPEG、BMP、PNG，音频格式支持MP3、WMA。接口方面，提供USB接口、触摸屏输出接口、HDMI输入接口、RS232串口接口。网络支持自适应以太网，WiFi支持2.4G和5G双频，同时支持蓝牙功能。</w:t>
            </w:r>
          </w:p>
          <w:p w14:paraId="4C127423">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四、OPS电脑系统配置</w:t>
            </w:r>
          </w:p>
          <w:p w14:paraId="5E85C5B9">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操作系统为</w:t>
            </w:r>
            <w:r>
              <w:rPr>
                <w:rFonts w:hint="eastAsia" w:ascii="宋体" w:hAnsi="宋体" w:eastAsia="宋体" w:cs="宋体"/>
                <w:color w:val="auto"/>
                <w:sz w:val="24"/>
                <w:szCs w:val="24"/>
                <w:lang w:val="en-US" w:eastAsia="zh-CN"/>
              </w:rPr>
              <w:t>国外或国产系统</w:t>
            </w:r>
            <w:r>
              <w:rPr>
                <w:rFonts w:hint="eastAsia" w:ascii="宋体" w:hAnsi="宋体" w:eastAsia="宋体" w:cs="宋体"/>
                <w:color w:val="auto"/>
                <w:sz w:val="24"/>
                <w:szCs w:val="24"/>
              </w:rPr>
              <w:t>，处理器</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12核心</w:t>
            </w:r>
            <w:r>
              <w:rPr>
                <w:rFonts w:hint="eastAsia" w:ascii="宋体" w:hAnsi="宋体" w:eastAsia="宋体" w:cs="宋体"/>
                <w:color w:val="auto"/>
                <w:sz w:val="24"/>
                <w:szCs w:val="24"/>
              </w:rPr>
              <w:t>，</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20线程，最大加速率≥4.9GHz；</w:t>
            </w:r>
            <w:r>
              <w:rPr>
                <w:rFonts w:hint="eastAsia" w:ascii="宋体" w:hAnsi="宋体" w:eastAsia="宋体" w:cs="宋体"/>
                <w:color w:val="auto"/>
                <w:sz w:val="24"/>
                <w:szCs w:val="24"/>
              </w:rPr>
              <w:t>内存</w:t>
            </w:r>
            <w:r>
              <w:rPr>
                <w:rFonts w:hint="eastAsia" w:ascii="宋体" w:hAnsi="宋体" w:eastAsia="宋体" w:cs="宋体"/>
                <w:color w:val="auto"/>
                <w:sz w:val="24"/>
                <w:szCs w:val="24"/>
                <w:lang w:val="en-US" w:eastAsia="zh-CN"/>
              </w:rPr>
              <w:t>不低于</w:t>
            </w:r>
            <w:r>
              <w:rPr>
                <w:rFonts w:hint="eastAsia" w:ascii="宋体" w:hAnsi="宋体" w:eastAsia="宋体" w:cs="宋体"/>
                <w:color w:val="auto"/>
                <w:sz w:val="24"/>
                <w:szCs w:val="24"/>
              </w:rPr>
              <w:t>8G，硬盘</w:t>
            </w:r>
            <w:r>
              <w:rPr>
                <w:rFonts w:hint="eastAsia" w:ascii="宋体" w:hAnsi="宋体" w:eastAsia="宋体" w:cs="宋体"/>
                <w:color w:val="auto"/>
                <w:sz w:val="24"/>
                <w:szCs w:val="24"/>
                <w:lang w:val="en-US" w:eastAsia="zh-CN"/>
              </w:rPr>
              <w:t>不低于</w:t>
            </w:r>
            <w:r>
              <w:rPr>
                <w:rFonts w:hint="eastAsia" w:ascii="宋体" w:hAnsi="宋体" w:eastAsia="宋体" w:cs="宋体"/>
                <w:color w:val="auto"/>
                <w:sz w:val="24"/>
                <w:szCs w:val="24"/>
              </w:rPr>
              <w:t>256G固态硬盘。提供</w:t>
            </w:r>
            <w:r>
              <w:rPr>
                <w:rFonts w:hint="eastAsia" w:ascii="宋体" w:hAnsi="宋体" w:eastAsia="宋体" w:cs="宋体"/>
                <w:color w:val="auto"/>
                <w:sz w:val="24"/>
                <w:szCs w:val="24"/>
                <w:lang w:val="en-US" w:eastAsia="zh-CN"/>
              </w:rPr>
              <w:t>不低于6</w:t>
            </w:r>
            <w:r>
              <w:rPr>
                <w:rFonts w:hint="eastAsia" w:ascii="宋体" w:hAnsi="宋体" w:eastAsia="宋体" w:cs="宋体"/>
                <w:color w:val="auto"/>
                <w:sz w:val="24"/>
                <w:szCs w:val="24"/>
              </w:rPr>
              <w:t>个USB HOST接口，支持自适应以太网，WiFi支持2.4G和5G双频，支持蓝牙功能。具备VGA接口一个（支持1080输出），HDMI输出接口一个（支持1080P输出）。设备配备OPS开关一个，系统重启按键一个（内置）。</w:t>
            </w:r>
          </w:p>
          <w:p w14:paraId="1DCDE0ED">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五、音频与扬声器</w:t>
            </w:r>
          </w:p>
          <w:p w14:paraId="56A0D6A5">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扬声器功率为DC 12V供电，8Ω阻抗，功率为9W至10W（最大）。CVBS音频输出为0.2至1.5V RMS，误差±5%，耳机输出功率不超过850mV RMS。</w:t>
            </w:r>
          </w:p>
          <w:p w14:paraId="01A1B5EA">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六、电源与功耗</w:t>
            </w:r>
          </w:p>
          <w:p w14:paraId="3511AF6C">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工作电压为AC 180-240V 50/60Hz，整机功耗在30W至350W之间，待机功耗不超过10W，电源接口采用国标220V两相三线制。</w:t>
            </w:r>
          </w:p>
          <w:p w14:paraId="667483AB">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七、结构与材质</w:t>
            </w:r>
          </w:p>
          <w:p w14:paraId="2CEA52B9">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外壳材料方面，边框采用铝合金材质，后壳采用钣金材质，前框为黑色。保护玻璃为</w:t>
            </w:r>
            <w:r>
              <w:rPr>
                <w:rFonts w:hint="eastAsia" w:ascii="宋体" w:hAnsi="宋体" w:eastAsia="宋体" w:cs="宋体"/>
                <w:color w:val="auto"/>
                <w:sz w:val="24"/>
                <w:szCs w:val="24"/>
                <w:lang w:val="en-US" w:eastAsia="zh-CN"/>
              </w:rPr>
              <w:t>不低于</w:t>
            </w:r>
            <w:r>
              <w:rPr>
                <w:rFonts w:hint="eastAsia" w:ascii="宋体" w:hAnsi="宋体" w:eastAsia="宋体" w:cs="宋体"/>
                <w:color w:val="auto"/>
                <w:sz w:val="24"/>
                <w:szCs w:val="24"/>
              </w:rPr>
              <w:t>4mm钢化玻璃，抗震等级达</w:t>
            </w:r>
            <w:r>
              <w:rPr>
                <w:rFonts w:hint="eastAsia" w:ascii="宋体" w:hAnsi="宋体" w:eastAsia="宋体" w:cs="宋体"/>
                <w:color w:val="auto"/>
                <w:sz w:val="24"/>
                <w:szCs w:val="24"/>
                <w:lang w:val="en-US" w:eastAsia="zh-CN"/>
              </w:rPr>
              <w:t>不低于</w:t>
            </w:r>
            <w:r>
              <w:rPr>
                <w:rFonts w:hint="eastAsia" w:ascii="宋体" w:hAnsi="宋体" w:eastAsia="宋体" w:cs="宋体"/>
                <w:color w:val="auto"/>
                <w:sz w:val="24"/>
                <w:szCs w:val="24"/>
              </w:rPr>
              <w:t>7级。安装形式为壁挂挂墙，散热方式为智能温控散热。</w:t>
            </w:r>
          </w:p>
          <w:p w14:paraId="05F3246A">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八、环境要求</w:t>
            </w:r>
          </w:p>
          <w:p w14:paraId="2938D12A">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工作温度范围为0℃至40℃，工作湿度范围为10%至90%（无凝结）。</w:t>
            </w:r>
          </w:p>
          <w:p w14:paraId="702F5076">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九、随机附件</w:t>
            </w:r>
          </w:p>
          <w:p w14:paraId="3A1A94D5">
            <w:pPr>
              <w:ind w:left="0" w:leftChars="0" w:firstLine="0" w:firstLineChars="0"/>
              <w:rPr>
                <w:rFonts w:hint="default" w:ascii="宋体" w:hAnsi="宋体" w:cs="宋体"/>
                <w:color w:val="auto"/>
                <w:sz w:val="24"/>
                <w:szCs w:val="24"/>
                <w:lang w:eastAsia="zh-CN"/>
              </w:rPr>
            </w:pPr>
            <w:r>
              <w:rPr>
                <w:rFonts w:hint="eastAsia" w:ascii="宋体" w:hAnsi="宋体" w:eastAsia="宋体" w:cs="宋体"/>
                <w:color w:val="auto"/>
                <w:sz w:val="24"/>
                <w:szCs w:val="24"/>
              </w:rPr>
              <w:t>随设备提供电源线一条、壁挂支架一套，以及电子说明书、保修卡、合格证。</w:t>
            </w:r>
          </w:p>
        </w:tc>
      </w:tr>
      <w:tr w14:paraId="26EEE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25" w:type="pct"/>
            <w:vMerge w:val="continue"/>
            <w:tcBorders>
              <w:top w:val="single" w:color="000000" w:sz="4" w:space="0"/>
              <w:left w:val="single" w:color="000000" w:sz="4" w:space="0"/>
              <w:bottom w:val="single" w:color="000000" w:sz="4" w:space="0"/>
              <w:right w:val="single" w:color="000000" w:sz="4" w:space="0"/>
            </w:tcBorders>
            <w:noWrap/>
            <w:vAlign w:val="center"/>
          </w:tcPr>
          <w:p w14:paraId="2B52194C">
            <w:pPr>
              <w:jc w:val="center"/>
              <w:rPr>
                <w:rFonts w:hint="eastAsia" w:ascii="宋体" w:hAnsi="宋体" w:eastAsia="宋体" w:cs="宋体"/>
                <w:i w:val="0"/>
                <w:iCs w:val="0"/>
                <w:color w:val="000000"/>
                <w:sz w:val="24"/>
                <w:szCs w:val="24"/>
                <w:u w:val="none"/>
              </w:rPr>
            </w:pPr>
          </w:p>
        </w:tc>
        <w:tc>
          <w:tcPr>
            <w:tcW w:w="900" w:type="pct"/>
            <w:tcBorders>
              <w:top w:val="single" w:color="000000" w:sz="4" w:space="0"/>
              <w:left w:val="single" w:color="000000" w:sz="4" w:space="0"/>
              <w:bottom w:val="single" w:color="000000" w:sz="4" w:space="0"/>
              <w:right w:val="single" w:color="000000" w:sz="4" w:space="0"/>
            </w:tcBorders>
            <w:noWrap w:val="0"/>
            <w:vAlign w:val="center"/>
          </w:tcPr>
          <w:p w14:paraId="437AE3E7">
            <w:pPr>
              <w:ind w:left="0" w:leftChars="0"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机房管理系统</w:t>
            </w:r>
          </w:p>
        </w:tc>
        <w:tc>
          <w:tcPr>
            <w:tcW w:w="6651" w:type="dxa"/>
            <w:tcBorders>
              <w:top w:val="single" w:color="000000" w:sz="4" w:space="0"/>
              <w:left w:val="single" w:color="000000" w:sz="4" w:space="0"/>
              <w:bottom w:val="single" w:color="000000" w:sz="4" w:space="0"/>
              <w:right w:val="single" w:color="000000" w:sz="4" w:space="0"/>
            </w:tcBorders>
            <w:noWrap w:val="0"/>
            <w:vAlign w:val="center"/>
          </w:tcPr>
          <w:p w14:paraId="3593B326">
            <w:pPr>
              <w:ind w:left="0" w:leftChars="0" w:firstLine="0" w:firstLineChars="0"/>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国产50节点授权，支持屏幕监看、文件分发、远程协助等功能</w:t>
            </w:r>
          </w:p>
        </w:tc>
      </w:tr>
      <w:tr w14:paraId="6E676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25" w:type="pct"/>
            <w:vMerge w:val="continue"/>
            <w:tcBorders>
              <w:top w:val="single" w:color="000000" w:sz="4" w:space="0"/>
              <w:left w:val="single" w:color="000000" w:sz="4" w:space="0"/>
              <w:bottom w:val="single" w:color="000000" w:sz="4" w:space="0"/>
              <w:right w:val="single" w:color="000000" w:sz="4" w:space="0"/>
            </w:tcBorders>
            <w:noWrap/>
            <w:vAlign w:val="center"/>
          </w:tcPr>
          <w:p w14:paraId="33421459">
            <w:pPr>
              <w:jc w:val="center"/>
              <w:rPr>
                <w:rFonts w:hint="eastAsia" w:ascii="宋体" w:hAnsi="宋体" w:eastAsia="宋体" w:cs="宋体"/>
                <w:i w:val="0"/>
                <w:iCs w:val="0"/>
                <w:color w:val="000000"/>
                <w:sz w:val="24"/>
                <w:szCs w:val="24"/>
                <w:u w:val="none"/>
              </w:rPr>
            </w:pPr>
          </w:p>
        </w:tc>
        <w:tc>
          <w:tcPr>
            <w:tcW w:w="900" w:type="pct"/>
            <w:tcBorders>
              <w:top w:val="single" w:color="000000" w:sz="4" w:space="0"/>
              <w:left w:val="single" w:color="000000" w:sz="4" w:space="0"/>
              <w:bottom w:val="single" w:color="000000" w:sz="4" w:space="0"/>
              <w:right w:val="single" w:color="000000" w:sz="4" w:space="0"/>
            </w:tcBorders>
            <w:noWrap w:val="0"/>
            <w:vAlign w:val="center"/>
          </w:tcPr>
          <w:p w14:paraId="704A4534">
            <w:pPr>
              <w:ind w:left="0" w:leftChars="0"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学生电脑桌</w:t>
            </w:r>
          </w:p>
        </w:tc>
        <w:tc>
          <w:tcPr>
            <w:tcW w:w="6651" w:type="dxa"/>
            <w:tcBorders>
              <w:top w:val="single" w:color="000000" w:sz="4" w:space="0"/>
              <w:left w:val="single" w:color="000000" w:sz="4" w:space="0"/>
              <w:bottom w:val="single" w:color="000000" w:sz="4" w:space="0"/>
              <w:right w:val="single" w:color="000000" w:sz="4" w:space="0"/>
            </w:tcBorders>
            <w:noWrap w:val="0"/>
            <w:vAlign w:val="center"/>
          </w:tcPr>
          <w:p w14:paraId="4DB79556">
            <w:pPr>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1、尺寸：</w:t>
            </w:r>
            <w:r>
              <w:rPr>
                <w:rFonts w:hint="eastAsia" w:ascii="宋体" w:hAnsi="宋体" w:eastAsia="宋体" w:cs="宋体"/>
                <w:sz w:val="24"/>
                <w:szCs w:val="24"/>
                <w:lang w:val="zh-CN" w:eastAsia="zh-CN"/>
              </w:rPr>
              <w:t>≥</w:t>
            </w:r>
            <w:r>
              <w:rPr>
                <w:rFonts w:hint="default" w:ascii="宋体" w:hAnsi="宋体" w:eastAsia="宋体" w:cs="宋体"/>
                <w:sz w:val="24"/>
                <w:szCs w:val="24"/>
                <w:lang w:val="en-US" w:eastAsia="zh-CN"/>
              </w:rPr>
              <w:t>7</w:t>
            </w:r>
            <w:r>
              <w:rPr>
                <w:rFonts w:hint="eastAsia" w:ascii="宋体" w:hAnsi="宋体" w:eastAsia="宋体" w:cs="宋体"/>
                <w:sz w:val="24"/>
                <w:szCs w:val="24"/>
                <w:lang w:val="en-US" w:eastAsia="zh-CN"/>
              </w:rPr>
              <w:t>0</w:t>
            </w:r>
            <w:r>
              <w:rPr>
                <w:rFonts w:hint="eastAsia" w:ascii="宋体" w:hAnsi="宋体" w:eastAsia="宋体" w:cs="宋体"/>
                <w:sz w:val="24"/>
                <w:szCs w:val="24"/>
                <w:lang w:val="zh-CN" w:eastAsia="zh-CN"/>
              </w:rPr>
              <w:t>0*600*750mm</w:t>
            </w:r>
            <w:r>
              <w:rPr>
                <w:rFonts w:hint="eastAsia" w:ascii="宋体" w:hAnsi="宋体" w:eastAsia="宋体" w:cs="宋体"/>
                <w:sz w:val="24"/>
                <w:szCs w:val="24"/>
                <w:lang w:val="en-US" w:eastAsia="zh-CN"/>
              </w:rPr>
              <w:t>；</w:t>
            </w:r>
          </w:p>
          <w:p w14:paraId="60E2BD1A">
            <w:pPr>
              <w:ind w:left="0" w:leftChars="0" w:firstLine="0" w:firstLineChars="0"/>
              <w:rPr>
                <w:rFonts w:hint="eastAsia" w:ascii="宋体" w:hAnsi="宋体" w:eastAsia="宋体" w:cs="宋体"/>
                <w:sz w:val="24"/>
                <w:szCs w:val="24"/>
                <w:lang w:val="zh-CN"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val="zh-CN" w:eastAsia="zh-CN"/>
              </w:rPr>
              <w:t>桌脚方管规格≥50mm*15mm,壁厚≥1.5mm，网板壁厚≥1.0mm；</w:t>
            </w:r>
          </w:p>
          <w:p w14:paraId="1FAC2797">
            <w:pPr>
              <w:ind w:left="0" w:leftChars="0" w:firstLine="0" w:firstLineChars="0"/>
              <w:rPr>
                <w:rFonts w:hint="eastAsia" w:ascii="宋体" w:hAnsi="宋体" w:eastAsia="宋体" w:cs="宋体"/>
                <w:sz w:val="24"/>
                <w:szCs w:val="24"/>
                <w:lang w:val="zh-CN"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val="zh-CN" w:eastAsia="zh-CN"/>
              </w:rPr>
              <w:t>台面：</w:t>
            </w:r>
            <w:r>
              <w:rPr>
                <w:rFonts w:hint="eastAsia" w:ascii="宋体" w:hAnsi="宋体" w:eastAsia="宋体" w:cs="宋体"/>
                <w:sz w:val="24"/>
                <w:szCs w:val="24"/>
                <w:lang w:val="en-US" w:eastAsia="zh-CN"/>
              </w:rPr>
              <w:t>厚度</w:t>
            </w:r>
            <w:r>
              <w:rPr>
                <w:rFonts w:hint="eastAsia" w:ascii="宋体" w:hAnsi="宋体" w:eastAsia="宋体" w:cs="宋体"/>
                <w:sz w:val="24"/>
                <w:szCs w:val="24"/>
                <w:lang w:val="zh-CN" w:eastAsia="zh-CN"/>
              </w:rPr>
              <w:t>≥25mmE1优质实木颗粒板。</w:t>
            </w:r>
          </w:p>
          <w:p w14:paraId="6EFD8837">
            <w:pPr>
              <w:ind w:left="0" w:leftChars="0" w:firstLine="0" w:firstLineChars="0"/>
              <w:rPr>
                <w:rFonts w:hint="eastAsia" w:ascii="宋体" w:hAnsi="宋体" w:eastAsia="宋体" w:cs="宋体"/>
                <w:i w:val="0"/>
                <w:iCs w:val="0"/>
                <w:color w:val="auto"/>
                <w:sz w:val="24"/>
                <w:szCs w:val="24"/>
                <w:u w:val="none"/>
              </w:rPr>
            </w:pPr>
            <w:r>
              <w:rPr>
                <w:rFonts w:hint="eastAsia" w:ascii="宋体" w:hAnsi="宋体" w:eastAsia="宋体" w:cs="宋体"/>
                <w:sz w:val="24"/>
                <w:szCs w:val="24"/>
                <w:lang w:val="en-US" w:eastAsia="zh-CN"/>
              </w:rPr>
              <w:t>4、</w:t>
            </w:r>
            <w:r>
              <w:rPr>
                <w:rFonts w:hint="eastAsia" w:ascii="宋体" w:hAnsi="宋体" w:eastAsia="宋体" w:cs="宋体"/>
                <w:sz w:val="24"/>
                <w:szCs w:val="24"/>
                <w:lang w:val="zh-CN" w:eastAsia="zh-CN"/>
              </w:rPr>
              <w:t>脚套：采用优质耐磨的塑料专用脚套。表面处理采用乳化剂和碱性助洗脱脂、磷酸除锈等工艺；塑粉：选用聚酯塑粉，安全环保，色泽持久；生产工艺：经静电、磷化、热固性粉沫喷涂</w:t>
            </w:r>
            <w:r>
              <w:rPr>
                <w:rFonts w:hint="default" w:ascii="宋体" w:hAnsi="宋体" w:eastAsia="宋体" w:cs="宋体"/>
                <w:sz w:val="24"/>
                <w:szCs w:val="24"/>
                <w:lang w:val="en-US" w:eastAsia="zh-CN"/>
              </w:rPr>
              <w:t>工艺处理</w:t>
            </w:r>
            <w:r>
              <w:rPr>
                <w:rFonts w:hint="eastAsia" w:ascii="宋体" w:hAnsi="宋体" w:eastAsia="宋体" w:cs="宋体"/>
                <w:sz w:val="24"/>
                <w:szCs w:val="24"/>
                <w:lang w:val="zh-CN" w:eastAsia="zh-CN"/>
              </w:rPr>
              <w:t>处理。</w:t>
            </w:r>
          </w:p>
        </w:tc>
      </w:tr>
      <w:tr w14:paraId="54FBD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25" w:type="pct"/>
            <w:vMerge w:val="continue"/>
            <w:tcBorders>
              <w:top w:val="single" w:color="000000" w:sz="4" w:space="0"/>
              <w:left w:val="single" w:color="000000" w:sz="4" w:space="0"/>
              <w:bottom w:val="single" w:color="000000" w:sz="4" w:space="0"/>
              <w:right w:val="single" w:color="000000" w:sz="4" w:space="0"/>
            </w:tcBorders>
            <w:noWrap/>
            <w:vAlign w:val="center"/>
          </w:tcPr>
          <w:p w14:paraId="022D27A2">
            <w:pPr>
              <w:jc w:val="center"/>
              <w:rPr>
                <w:rFonts w:hint="eastAsia" w:ascii="宋体" w:hAnsi="宋体" w:eastAsia="宋体" w:cs="宋体"/>
                <w:i w:val="0"/>
                <w:iCs w:val="0"/>
                <w:color w:val="000000"/>
                <w:sz w:val="24"/>
                <w:szCs w:val="24"/>
                <w:u w:val="none"/>
              </w:rPr>
            </w:pPr>
          </w:p>
        </w:tc>
        <w:tc>
          <w:tcPr>
            <w:tcW w:w="900" w:type="pct"/>
            <w:tcBorders>
              <w:top w:val="single" w:color="000000" w:sz="4" w:space="0"/>
              <w:left w:val="single" w:color="000000" w:sz="4" w:space="0"/>
              <w:bottom w:val="single" w:color="000000" w:sz="4" w:space="0"/>
              <w:right w:val="single" w:color="000000" w:sz="4" w:space="0"/>
            </w:tcBorders>
            <w:noWrap/>
            <w:vAlign w:val="center"/>
          </w:tcPr>
          <w:p w14:paraId="5A5D6FC8">
            <w:pPr>
              <w:ind w:left="0" w:leftChars="0" w:firstLine="0" w:firstLineChars="0"/>
              <w:jc w:val="center"/>
              <w:rPr>
                <w:rFonts w:hint="eastAsia" w:ascii="宋体" w:hAnsi="宋体" w:eastAsia="宋体" w:cs="宋体"/>
                <w:i w:val="0"/>
                <w:iCs w:val="0"/>
                <w:color w:val="0000FF"/>
                <w:sz w:val="24"/>
                <w:szCs w:val="24"/>
                <w:u w:val="none"/>
              </w:rPr>
            </w:pPr>
            <w:r>
              <w:rPr>
                <w:rFonts w:hint="eastAsia" w:ascii="宋体" w:hAnsi="宋体" w:eastAsia="宋体" w:cs="宋体"/>
                <w:sz w:val="24"/>
                <w:szCs w:val="24"/>
                <w:lang w:val="en-US" w:eastAsia="zh-CN"/>
              </w:rPr>
              <w:t>学生凳</w:t>
            </w:r>
          </w:p>
        </w:tc>
        <w:tc>
          <w:tcPr>
            <w:tcW w:w="6651" w:type="dxa"/>
            <w:tcBorders>
              <w:top w:val="single" w:color="000000" w:sz="4" w:space="0"/>
              <w:left w:val="single" w:color="000000" w:sz="4" w:space="0"/>
              <w:bottom w:val="single" w:color="000000" w:sz="4" w:space="0"/>
              <w:right w:val="single" w:color="000000" w:sz="4" w:space="0"/>
            </w:tcBorders>
            <w:noWrap w:val="0"/>
            <w:vAlign w:val="center"/>
          </w:tcPr>
          <w:p w14:paraId="05AD2324">
            <w:pPr>
              <w:ind w:left="0" w:leftChars="0" w:firstLine="0" w:firstLineChars="0"/>
              <w:rPr>
                <w:rFonts w:hint="eastAsia" w:ascii="宋体" w:hAnsi="宋体" w:eastAsia="宋体" w:cs="宋体"/>
                <w:color w:val="auto"/>
                <w:sz w:val="24"/>
                <w:szCs w:val="24"/>
                <w:lang w:val="en-US" w:eastAsia="zh-CN"/>
              </w:rPr>
            </w:pPr>
            <w:r>
              <w:rPr>
                <w:rFonts w:hint="default" w:ascii="宋体" w:hAnsi="宋体" w:cs="宋体"/>
                <w:color w:val="auto"/>
                <w:sz w:val="24"/>
                <w:szCs w:val="24"/>
                <w:lang w:eastAsia="zh-CN"/>
              </w:rPr>
              <w:t>1、主体为采用</w:t>
            </w:r>
            <w:r>
              <w:rPr>
                <w:rFonts w:hint="eastAsia" w:ascii="宋体" w:hAnsi="宋体" w:eastAsia="宋体" w:cs="宋体"/>
                <w:color w:val="auto"/>
                <w:sz w:val="24"/>
                <w:szCs w:val="24"/>
                <w:lang w:val="en-US" w:eastAsia="zh-CN"/>
              </w:rPr>
              <w:t>钢木结构，凳面为</w:t>
            </w:r>
            <w:r>
              <w:rPr>
                <w:rFonts w:hint="eastAsia" w:ascii="东文宋体" w:hAnsi="东文宋体" w:eastAsia="东文宋体" w:cs="东文宋体"/>
                <w:color w:val="auto"/>
                <w:sz w:val="24"/>
                <w:szCs w:val="24"/>
                <w:lang w:val="en-US" w:eastAsia="zh-CN"/>
              </w:rPr>
              <w:t>≥</w:t>
            </w:r>
            <w:r>
              <w:rPr>
                <w:rFonts w:hint="eastAsia" w:ascii="宋体" w:hAnsi="宋体" w:eastAsia="宋体" w:cs="宋体"/>
                <w:color w:val="auto"/>
                <w:sz w:val="24"/>
                <w:szCs w:val="24"/>
                <w:lang w:val="en-US" w:eastAsia="zh-CN"/>
              </w:rPr>
              <w:t>25mm厚实木颗粒板；</w:t>
            </w:r>
          </w:p>
          <w:p w14:paraId="5B39E0B3">
            <w:pPr>
              <w:ind w:left="0" w:leftChars="0" w:firstLine="0" w:firstLineChars="0"/>
              <w:rPr>
                <w:rFonts w:hint="eastAsia" w:ascii="宋体" w:hAnsi="宋体" w:eastAsia="宋体" w:cs="宋体"/>
                <w:color w:val="auto"/>
                <w:sz w:val="24"/>
                <w:szCs w:val="24"/>
                <w:lang w:val="en-US" w:eastAsia="zh-CN"/>
              </w:rPr>
            </w:pPr>
            <w:r>
              <w:rPr>
                <w:rFonts w:hint="default" w:ascii="宋体" w:hAnsi="宋体" w:cs="宋体"/>
                <w:color w:val="auto"/>
                <w:sz w:val="24"/>
                <w:szCs w:val="24"/>
                <w:lang w:eastAsia="zh-CN"/>
              </w:rPr>
              <w:t>2、</w:t>
            </w:r>
            <w:r>
              <w:rPr>
                <w:rFonts w:hint="eastAsia" w:ascii="宋体" w:hAnsi="宋体" w:eastAsia="宋体" w:cs="宋体"/>
                <w:color w:val="auto"/>
                <w:sz w:val="24"/>
                <w:szCs w:val="24"/>
                <w:lang w:val="en-US" w:eastAsia="zh-CN"/>
              </w:rPr>
              <w:t>立柱为</w:t>
            </w:r>
            <w:r>
              <w:rPr>
                <w:rFonts w:hint="eastAsia" w:ascii="东文宋体" w:hAnsi="东文宋体" w:eastAsia="东文宋体" w:cs="东文宋体"/>
                <w:color w:val="auto"/>
                <w:sz w:val="24"/>
                <w:szCs w:val="24"/>
                <w:lang w:val="en-US" w:eastAsia="zh-CN"/>
              </w:rPr>
              <w:t>≥</w:t>
            </w:r>
            <w:r>
              <w:rPr>
                <w:rFonts w:hint="eastAsia" w:ascii="宋体" w:hAnsi="宋体" w:eastAsia="宋体" w:cs="宋体"/>
                <w:color w:val="auto"/>
                <w:sz w:val="24"/>
                <w:szCs w:val="24"/>
                <w:lang w:val="en-US" w:eastAsia="zh-CN"/>
              </w:rPr>
              <w:t>30*30*1.5mm厚冷轧钢管</w:t>
            </w:r>
            <w:r>
              <w:rPr>
                <w:rFonts w:hint="default" w:ascii="宋体" w:hAnsi="宋体" w:cs="宋体"/>
                <w:color w:val="auto"/>
                <w:sz w:val="24"/>
                <w:szCs w:val="24"/>
                <w:lang w:eastAsia="zh-CN"/>
              </w:rPr>
              <w:t xml:space="preserve">； </w:t>
            </w:r>
          </w:p>
          <w:p w14:paraId="502E0FC0">
            <w:pPr>
              <w:ind w:left="0" w:leftChars="0" w:firstLine="0" w:firstLineChars="0"/>
              <w:rPr>
                <w:rFonts w:hint="eastAsia" w:ascii="宋体" w:hAnsi="宋体" w:eastAsia="宋体" w:cs="宋体"/>
                <w:i w:val="0"/>
                <w:iCs w:val="0"/>
                <w:color w:val="auto"/>
                <w:sz w:val="24"/>
                <w:szCs w:val="24"/>
                <w:u w:val="none"/>
              </w:rPr>
            </w:pPr>
            <w:r>
              <w:rPr>
                <w:rFonts w:hint="default" w:ascii="宋体" w:hAnsi="宋体" w:cs="宋体"/>
                <w:color w:val="auto"/>
                <w:sz w:val="24"/>
                <w:szCs w:val="24"/>
                <w:lang w:eastAsia="zh-CN"/>
              </w:rPr>
              <w:t>3、</w:t>
            </w:r>
            <w:r>
              <w:rPr>
                <w:rFonts w:hint="eastAsia" w:ascii="宋体" w:hAnsi="宋体" w:eastAsia="宋体" w:cs="宋体"/>
                <w:color w:val="auto"/>
                <w:sz w:val="24"/>
                <w:szCs w:val="24"/>
                <w:lang w:val="en-US" w:eastAsia="zh-CN"/>
              </w:rPr>
              <w:t>横衬为</w:t>
            </w:r>
            <w:r>
              <w:rPr>
                <w:rFonts w:hint="eastAsia" w:ascii="东文宋体" w:hAnsi="东文宋体" w:eastAsia="东文宋体" w:cs="东文宋体"/>
                <w:color w:val="auto"/>
                <w:sz w:val="24"/>
                <w:szCs w:val="24"/>
                <w:lang w:val="en-US" w:eastAsia="zh-CN"/>
              </w:rPr>
              <w:t>≥</w:t>
            </w:r>
            <w:r>
              <w:rPr>
                <w:rFonts w:hint="eastAsia" w:ascii="宋体" w:hAnsi="宋体" w:eastAsia="宋体" w:cs="宋体"/>
                <w:color w:val="auto"/>
                <w:sz w:val="24"/>
                <w:szCs w:val="24"/>
                <w:lang w:val="en-US" w:eastAsia="zh-CN"/>
              </w:rPr>
              <w:t>20*30*1.2mm厚冷轧钢管。</w:t>
            </w:r>
          </w:p>
        </w:tc>
      </w:tr>
      <w:tr w14:paraId="7D069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25" w:type="pct"/>
            <w:vMerge w:val="continue"/>
            <w:tcBorders>
              <w:top w:val="single" w:color="000000" w:sz="4" w:space="0"/>
              <w:left w:val="single" w:color="000000" w:sz="4" w:space="0"/>
              <w:bottom w:val="single" w:color="000000" w:sz="4" w:space="0"/>
              <w:right w:val="single" w:color="000000" w:sz="4" w:space="0"/>
            </w:tcBorders>
            <w:noWrap/>
            <w:vAlign w:val="center"/>
          </w:tcPr>
          <w:p w14:paraId="3CCD1812">
            <w:pPr>
              <w:jc w:val="center"/>
              <w:rPr>
                <w:rFonts w:hint="eastAsia" w:ascii="宋体" w:hAnsi="宋体" w:eastAsia="宋体" w:cs="宋体"/>
                <w:i w:val="0"/>
                <w:iCs w:val="0"/>
                <w:color w:val="000000"/>
                <w:sz w:val="24"/>
                <w:szCs w:val="24"/>
                <w:u w:val="none"/>
              </w:rPr>
            </w:pPr>
          </w:p>
        </w:tc>
        <w:tc>
          <w:tcPr>
            <w:tcW w:w="900" w:type="pct"/>
            <w:tcBorders>
              <w:top w:val="single" w:color="000000" w:sz="4" w:space="0"/>
              <w:left w:val="single" w:color="000000" w:sz="4" w:space="0"/>
              <w:bottom w:val="single" w:color="000000" w:sz="4" w:space="0"/>
              <w:right w:val="single" w:color="000000" w:sz="4" w:space="0"/>
            </w:tcBorders>
            <w:noWrap/>
            <w:vAlign w:val="center"/>
          </w:tcPr>
          <w:p w14:paraId="303A9D0B">
            <w:pPr>
              <w:ind w:left="0" w:leftChars="0"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多媒体讲台套件</w:t>
            </w:r>
          </w:p>
        </w:tc>
        <w:tc>
          <w:tcPr>
            <w:tcW w:w="6651" w:type="dxa"/>
            <w:tcBorders>
              <w:top w:val="single" w:color="000000" w:sz="4" w:space="0"/>
              <w:left w:val="single" w:color="000000" w:sz="4" w:space="0"/>
              <w:bottom w:val="single" w:color="000000" w:sz="4" w:space="0"/>
              <w:right w:val="single" w:color="000000" w:sz="4" w:space="0"/>
            </w:tcBorders>
            <w:noWrap w:val="0"/>
            <w:vAlign w:val="center"/>
          </w:tcPr>
          <w:p w14:paraId="069F2945">
            <w:pPr>
              <w:ind w:left="0" w:leftChars="0" w:firstLine="0" w:firstLineChars="0"/>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1、多媒体讲台详细要求</w:t>
            </w:r>
          </w:p>
          <w:p w14:paraId="480C904C">
            <w:pPr>
              <w:ind w:left="0" w:leftChars="0" w:firstLine="0" w:firstLineChars="0"/>
              <w:rPr>
                <w:rFonts w:hint="default" w:ascii="宋体" w:hAnsi="宋体" w:cs="宋体"/>
                <w:b w:val="0"/>
                <w:bCs w:val="0"/>
                <w:color w:val="auto"/>
                <w:sz w:val="24"/>
                <w:szCs w:val="24"/>
                <w:lang w:eastAsia="zh-CN"/>
              </w:rPr>
            </w:pPr>
            <w:r>
              <w:rPr>
                <w:rFonts w:hint="default" w:ascii="宋体" w:hAnsi="宋体" w:cs="宋体"/>
                <w:b w:val="0"/>
                <w:bCs w:val="0"/>
                <w:color w:val="auto"/>
                <w:sz w:val="24"/>
                <w:szCs w:val="24"/>
                <w:lang w:eastAsia="zh-CN"/>
              </w:rPr>
              <w:t>材质工艺：</w:t>
            </w:r>
          </w:p>
          <w:p w14:paraId="391BE48F">
            <w:pPr>
              <w:ind w:left="0" w:leftChars="0" w:firstLine="0" w:firstLineChars="0"/>
              <w:rPr>
                <w:rFonts w:hint="default" w:ascii="宋体" w:hAnsi="宋体" w:cs="宋体"/>
                <w:color w:val="auto"/>
                <w:sz w:val="24"/>
                <w:szCs w:val="24"/>
                <w:lang w:eastAsia="zh-CN"/>
              </w:rPr>
            </w:pPr>
            <w:r>
              <w:rPr>
                <w:rFonts w:hint="default" w:ascii="宋体" w:hAnsi="宋体" w:cs="宋体"/>
                <w:color w:val="auto"/>
                <w:sz w:val="24"/>
                <w:szCs w:val="24"/>
                <w:lang w:eastAsia="zh-CN"/>
              </w:rPr>
              <w:t>钢木结合一体成型，边缘及拐角均为圆弧设计。柜体采用的高密度优质加厚冷轧钢板，</w:t>
            </w:r>
            <w:r>
              <w:rPr>
                <w:rFonts w:hint="default" w:ascii="宋体" w:hAnsi="宋体" w:cs="宋体"/>
                <w:color w:val="auto"/>
                <w:sz w:val="24"/>
                <w:szCs w:val="24"/>
                <w:lang w:val="en-US" w:eastAsia="zh-CN"/>
              </w:rPr>
              <w:t>约</w:t>
            </w:r>
            <w:r>
              <w:rPr>
                <w:rFonts w:hint="default" w:ascii="宋体" w:hAnsi="宋体" w:cs="宋体"/>
                <w:color w:val="auto"/>
                <w:sz w:val="24"/>
                <w:szCs w:val="24"/>
                <w:lang w:eastAsia="zh-CN"/>
              </w:rPr>
              <w:t>0.8-1.2。左右安装橡木实木扶手，边缘圆润。柜体工艺，脱脂，酸洗，磷化，防腐防锈处理，静电喷涂，溜平固化，结实耐用。重点部位采用一次冲压成型技术，所有钣金部分尺寸精度及各部件一致性</w:t>
            </w:r>
            <w:r>
              <w:rPr>
                <w:rFonts w:hint="eastAsia" w:ascii="宋体" w:hAnsi="宋体" w:cs="宋体"/>
                <w:color w:val="auto"/>
                <w:sz w:val="24"/>
                <w:szCs w:val="24"/>
                <w:lang w:eastAsia="zh-CN"/>
              </w:rPr>
              <w:t>高</w:t>
            </w:r>
            <w:r>
              <w:rPr>
                <w:rFonts w:hint="default" w:ascii="宋体" w:hAnsi="宋体" w:cs="宋体"/>
                <w:color w:val="auto"/>
                <w:sz w:val="24"/>
                <w:szCs w:val="24"/>
                <w:lang w:eastAsia="zh-CN"/>
              </w:rPr>
              <w:t>，所有圆角不小于R3，确保学生安全。</w:t>
            </w:r>
          </w:p>
          <w:p w14:paraId="6D021B6F">
            <w:pPr>
              <w:ind w:left="0" w:leftChars="0" w:firstLine="0" w:firstLineChars="0"/>
              <w:rPr>
                <w:rFonts w:hint="default" w:ascii="宋体" w:hAnsi="宋体" w:cs="宋体"/>
                <w:color w:val="auto"/>
                <w:sz w:val="24"/>
                <w:szCs w:val="24"/>
                <w:lang w:eastAsia="zh-CN"/>
              </w:rPr>
            </w:pPr>
            <w:r>
              <w:rPr>
                <w:rFonts w:hint="default" w:ascii="宋体" w:hAnsi="宋体" w:cs="宋体"/>
                <w:color w:val="auto"/>
                <w:sz w:val="24"/>
                <w:szCs w:val="24"/>
                <w:lang w:eastAsia="zh-CN"/>
              </w:rPr>
              <w:t>桌面为</w:t>
            </w:r>
            <w:r>
              <w:rPr>
                <w:rFonts w:hint="eastAsia" w:ascii="宋体" w:hAnsi="宋体" w:cs="宋体"/>
                <w:color w:val="auto"/>
                <w:sz w:val="24"/>
                <w:szCs w:val="24"/>
                <w:lang w:eastAsia="zh-CN"/>
              </w:rPr>
              <w:t>厚度</w:t>
            </w:r>
            <w:r>
              <w:rPr>
                <w:rFonts w:hint="default" w:ascii="宋体" w:hAnsi="宋体" w:cs="宋体"/>
                <w:color w:val="auto"/>
                <w:sz w:val="24"/>
                <w:szCs w:val="24"/>
                <w:lang w:eastAsia="zh-CN"/>
              </w:rPr>
              <w:t>12mm</w:t>
            </w:r>
            <w:r>
              <w:rPr>
                <w:rFonts w:hint="default" w:ascii="宋体" w:hAnsi="宋体" w:cs="宋体"/>
                <w:color w:val="auto"/>
                <w:sz w:val="24"/>
                <w:szCs w:val="24"/>
                <w:lang w:val="en-US" w:eastAsia="zh-CN"/>
              </w:rPr>
              <w:t>左右</w:t>
            </w:r>
            <w:r>
              <w:rPr>
                <w:rFonts w:hint="default" w:ascii="宋体" w:hAnsi="宋体" w:cs="宋体"/>
                <w:color w:val="auto"/>
                <w:sz w:val="24"/>
                <w:szCs w:val="24"/>
                <w:lang w:eastAsia="zh-CN"/>
              </w:rPr>
              <w:t>木质耐划台面，防水防火。配备符合人体力学的弧形实木扶手。</w:t>
            </w:r>
          </w:p>
          <w:p w14:paraId="72034E43">
            <w:pPr>
              <w:ind w:left="0" w:leftChars="0" w:firstLine="0" w:firstLineChars="0"/>
              <w:rPr>
                <w:rFonts w:hint="default" w:ascii="宋体" w:hAnsi="宋体" w:cs="宋体"/>
                <w:color w:val="auto"/>
                <w:sz w:val="24"/>
                <w:szCs w:val="24"/>
                <w:lang w:eastAsia="zh-CN"/>
              </w:rPr>
            </w:pPr>
            <w:r>
              <w:rPr>
                <w:rFonts w:hint="default" w:ascii="宋体" w:hAnsi="宋体" w:cs="宋体"/>
                <w:color w:val="auto"/>
                <w:sz w:val="24"/>
                <w:szCs w:val="24"/>
                <w:lang w:eastAsia="zh-CN"/>
              </w:rPr>
              <w:t>柜体颜色</w:t>
            </w:r>
            <w:r>
              <w:rPr>
                <w:rFonts w:hint="eastAsia" w:ascii="宋体" w:hAnsi="宋体" w:cs="宋体"/>
                <w:color w:val="auto"/>
                <w:sz w:val="24"/>
                <w:szCs w:val="24"/>
                <w:lang w:eastAsia="zh-CN"/>
              </w:rPr>
              <w:t>根据采购人要求确定</w:t>
            </w:r>
            <w:r>
              <w:rPr>
                <w:rFonts w:hint="default" w:ascii="宋体" w:hAnsi="宋体" w:cs="宋体"/>
                <w:color w:val="auto"/>
                <w:sz w:val="24"/>
                <w:szCs w:val="24"/>
                <w:lang w:eastAsia="zh-CN"/>
              </w:rPr>
              <w:t>。</w:t>
            </w:r>
          </w:p>
          <w:p w14:paraId="61901E82">
            <w:pPr>
              <w:ind w:left="0" w:leftChars="0" w:firstLine="0" w:firstLineChars="0"/>
              <w:rPr>
                <w:rFonts w:hint="eastAsia" w:ascii="宋体" w:hAnsi="宋体" w:cs="宋体"/>
                <w:color w:val="auto"/>
                <w:sz w:val="24"/>
                <w:szCs w:val="24"/>
                <w:lang w:eastAsia="zh-CN"/>
              </w:rPr>
            </w:pPr>
            <w:r>
              <w:rPr>
                <w:rFonts w:hint="eastAsia" w:ascii="宋体" w:hAnsi="宋体" w:cs="宋体"/>
                <w:color w:val="auto"/>
                <w:sz w:val="24"/>
                <w:szCs w:val="24"/>
                <w:lang w:eastAsia="zh-CN"/>
              </w:rPr>
              <w:t>具体要求：</w:t>
            </w:r>
          </w:p>
          <w:p w14:paraId="683BEB86">
            <w:pPr>
              <w:ind w:left="0" w:leftChars="0" w:firstLine="0" w:firstLineChars="0"/>
              <w:rPr>
                <w:rFonts w:hint="default" w:ascii="宋体" w:hAnsi="宋体" w:cs="宋体"/>
                <w:color w:val="auto"/>
                <w:sz w:val="24"/>
                <w:szCs w:val="24"/>
                <w:lang w:eastAsia="zh-CN"/>
              </w:rPr>
            </w:pPr>
            <w:r>
              <w:rPr>
                <w:rFonts w:hint="default" w:ascii="宋体" w:hAnsi="宋体" w:cs="宋体"/>
                <w:color w:val="auto"/>
                <w:sz w:val="24"/>
                <w:szCs w:val="24"/>
                <w:lang w:eastAsia="zh-CN"/>
              </w:rPr>
              <w:t>全封闭式结构，保障多媒体设备的安全性。</w:t>
            </w:r>
          </w:p>
          <w:p w14:paraId="6F3334C7">
            <w:pPr>
              <w:ind w:left="0" w:leftChars="0" w:firstLine="0" w:firstLineChars="0"/>
              <w:rPr>
                <w:rFonts w:hint="default" w:ascii="宋体" w:hAnsi="宋体" w:cs="宋体"/>
                <w:color w:val="auto"/>
                <w:sz w:val="24"/>
                <w:szCs w:val="24"/>
                <w:lang w:eastAsia="zh-CN"/>
              </w:rPr>
            </w:pPr>
            <w:r>
              <w:rPr>
                <w:rFonts w:hint="default" w:ascii="宋体" w:hAnsi="宋体" w:cs="宋体"/>
                <w:color w:val="auto"/>
                <w:sz w:val="24"/>
                <w:szCs w:val="24"/>
                <w:lang w:eastAsia="zh-CN"/>
              </w:rPr>
              <w:t>桌面内径深</w:t>
            </w:r>
            <w:r>
              <w:rPr>
                <w:rFonts w:hint="eastAsia" w:ascii="宋体" w:hAnsi="宋体" w:cs="宋体"/>
                <w:color w:val="auto"/>
                <w:sz w:val="24"/>
                <w:szCs w:val="24"/>
                <w:lang w:eastAsia="zh-CN"/>
              </w:rPr>
              <w:t>不低于</w:t>
            </w:r>
            <w:r>
              <w:rPr>
                <w:rFonts w:hint="default" w:ascii="宋体" w:hAnsi="宋体" w:cs="宋体"/>
                <w:color w:val="auto"/>
                <w:sz w:val="24"/>
                <w:szCs w:val="24"/>
                <w:lang w:eastAsia="zh-CN"/>
              </w:rPr>
              <w:t>586mm,下柜四面侧板，为拼插结构 ，箱体外径尺寸（长</w:t>
            </w:r>
            <w:r>
              <w:rPr>
                <w:rFonts w:hint="default" w:ascii="宋体" w:hAnsi="宋体" w:cs="宋体"/>
                <w:color w:val="auto"/>
                <w:sz w:val="24"/>
                <w:szCs w:val="24"/>
                <w:lang w:val="en-US" w:eastAsia="zh-CN"/>
              </w:rPr>
              <w:t>约</w:t>
            </w:r>
            <w:r>
              <w:rPr>
                <w:rFonts w:hint="default" w:ascii="宋体" w:hAnsi="宋体" w:cs="宋体"/>
                <w:color w:val="auto"/>
                <w:sz w:val="24"/>
                <w:szCs w:val="24"/>
                <w:lang w:eastAsia="zh-CN"/>
              </w:rPr>
              <w:t>760mm深</w:t>
            </w:r>
            <w:r>
              <w:rPr>
                <w:rFonts w:hint="default" w:ascii="宋体" w:hAnsi="宋体" w:cs="宋体"/>
                <w:color w:val="auto"/>
                <w:sz w:val="24"/>
                <w:szCs w:val="24"/>
                <w:lang w:val="en-US" w:eastAsia="zh-CN"/>
              </w:rPr>
              <w:t>约</w:t>
            </w:r>
            <w:r>
              <w:rPr>
                <w:rFonts w:hint="default" w:ascii="宋体" w:hAnsi="宋体" w:cs="宋体"/>
                <w:color w:val="auto"/>
                <w:sz w:val="24"/>
                <w:szCs w:val="24"/>
                <w:lang w:eastAsia="zh-CN"/>
              </w:rPr>
              <w:t>-600mm-高</w:t>
            </w:r>
            <w:r>
              <w:rPr>
                <w:rFonts w:hint="default" w:ascii="宋体" w:hAnsi="宋体" w:cs="宋体"/>
                <w:color w:val="auto"/>
                <w:sz w:val="24"/>
                <w:szCs w:val="24"/>
                <w:lang w:val="en-US" w:eastAsia="zh-CN"/>
              </w:rPr>
              <w:t>约</w:t>
            </w:r>
            <w:r>
              <w:rPr>
                <w:rFonts w:hint="default" w:ascii="宋体" w:hAnsi="宋体" w:cs="宋体"/>
                <w:color w:val="auto"/>
                <w:sz w:val="24"/>
                <w:szCs w:val="24"/>
                <w:lang w:eastAsia="zh-CN"/>
              </w:rPr>
              <w:t>670mm）。桌体下层内部，采用标准机柜设计，主机位尺寸（长</w:t>
            </w:r>
            <w:r>
              <w:rPr>
                <w:rFonts w:hint="default" w:ascii="宋体" w:hAnsi="宋体" w:cs="宋体"/>
                <w:color w:val="auto"/>
                <w:sz w:val="24"/>
                <w:szCs w:val="24"/>
                <w:lang w:val="en-US" w:eastAsia="zh-CN"/>
              </w:rPr>
              <w:t>约</w:t>
            </w:r>
            <w:r>
              <w:rPr>
                <w:rFonts w:hint="default" w:ascii="宋体" w:hAnsi="宋体" w:cs="宋体"/>
                <w:color w:val="auto"/>
                <w:sz w:val="24"/>
                <w:szCs w:val="24"/>
                <w:lang w:eastAsia="zh-CN"/>
              </w:rPr>
              <w:t>250mm-深</w:t>
            </w:r>
            <w:r>
              <w:rPr>
                <w:rFonts w:hint="default" w:ascii="宋体" w:hAnsi="宋体" w:cs="宋体"/>
                <w:color w:val="auto"/>
                <w:sz w:val="24"/>
                <w:szCs w:val="24"/>
                <w:lang w:val="en-US" w:eastAsia="zh-CN"/>
              </w:rPr>
              <w:t>约</w:t>
            </w:r>
            <w:r>
              <w:rPr>
                <w:rFonts w:hint="default" w:ascii="宋体" w:hAnsi="宋体" w:cs="宋体"/>
                <w:color w:val="auto"/>
                <w:sz w:val="24"/>
                <w:szCs w:val="24"/>
                <w:lang w:eastAsia="zh-CN"/>
              </w:rPr>
              <w:t>490mm-高</w:t>
            </w:r>
            <w:r>
              <w:rPr>
                <w:rFonts w:hint="default" w:ascii="宋体" w:hAnsi="宋体" w:cs="宋体"/>
                <w:color w:val="auto"/>
                <w:sz w:val="24"/>
                <w:szCs w:val="24"/>
                <w:lang w:val="en-US" w:eastAsia="zh-CN"/>
              </w:rPr>
              <w:t>约</w:t>
            </w:r>
            <w:r>
              <w:rPr>
                <w:rFonts w:hint="default" w:ascii="宋体" w:hAnsi="宋体" w:cs="宋体"/>
                <w:color w:val="auto"/>
                <w:sz w:val="24"/>
                <w:szCs w:val="24"/>
                <w:lang w:eastAsia="zh-CN"/>
              </w:rPr>
              <w:t xml:space="preserve">600mm）。桌体内部可安装放置多媒体设备，或储存环保书写套装墨水瓶等不常用教具。 </w:t>
            </w:r>
          </w:p>
          <w:p w14:paraId="26A162AB">
            <w:pPr>
              <w:ind w:left="0" w:leftChars="0" w:firstLine="0" w:firstLineChars="0"/>
              <w:rPr>
                <w:rFonts w:hint="default" w:ascii="宋体" w:hAnsi="宋体" w:cs="宋体"/>
                <w:color w:val="auto"/>
                <w:sz w:val="24"/>
                <w:szCs w:val="24"/>
                <w:lang w:eastAsia="zh-CN"/>
              </w:rPr>
            </w:pPr>
            <w:r>
              <w:rPr>
                <w:rFonts w:hint="default" w:ascii="宋体" w:hAnsi="宋体" w:cs="宋体"/>
                <w:color w:val="auto"/>
                <w:sz w:val="24"/>
                <w:szCs w:val="24"/>
                <w:lang w:eastAsia="zh-CN"/>
              </w:rPr>
              <w:t>讲桌抽屉和桌体柜门用同一把锁匙，开启和关闭。配有备用钥匙，整个讲台只使用一副划轨，减少故障率。</w:t>
            </w:r>
          </w:p>
          <w:p w14:paraId="18B673D3">
            <w:pPr>
              <w:ind w:left="0" w:leftChars="0" w:firstLine="0" w:firstLineChars="0"/>
              <w:rPr>
                <w:rFonts w:hint="default" w:ascii="宋体" w:hAnsi="宋体" w:cs="宋体"/>
                <w:color w:val="auto"/>
                <w:sz w:val="24"/>
                <w:szCs w:val="24"/>
                <w:lang w:eastAsia="zh-CN"/>
              </w:rPr>
            </w:pPr>
            <w:r>
              <w:rPr>
                <w:rFonts w:hint="default" w:ascii="宋体" w:hAnsi="宋体" w:cs="宋体"/>
                <w:color w:val="auto"/>
                <w:sz w:val="24"/>
                <w:szCs w:val="24"/>
                <w:lang w:eastAsia="zh-CN"/>
              </w:rPr>
              <w:t>产品配置：</w:t>
            </w:r>
          </w:p>
          <w:p w14:paraId="2CCA84C1">
            <w:pPr>
              <w:ind w:left="0" w:leftChars="0" w:firstLine="0" w:firstLineChars="0"/>
              <w:rPr>
                <w:rFonts w:hint="default" w:ascii="宋体" w:hAnsi="宋体" w:cs="宋体"/>
                <w:color w:val="auto"/>
                <w:sz w:val="24"/>
                <w:szCs w:val="24"/>
                <w:lang w:eastAsia="zh-CN"/>
              </w:rPr>
            </w:pPr>
            <w:r>
              <w:rPr>
                <w:rFonts w:hint="default" w:ascii="宋体" w:hAnsi="宋体" w:cs="宋体"/>
                <w:color w:val="auto"/>
                <w:sz w:val="24"/>
                <w:szCs w:val="24"/>
                <w:lang w:eastAsia="zh-CN"/>
              </w:rPr>
              <w:t>宽大双抽屉，隐藏式抽拉设计，可储物，带锁具，防丢失，抽屉展开尺寸(</w:t>
            </w:r>
            <w:r>
              <w:rPr>
                <w:rFonts w:hint="default" w:ascii="宋体" w:hAnsi="宋体" w:cs="宋体"/>
                <w:color w:val="auto"/>
                <w:sz w:val="24"/>
                <w:szCs w:val="24"/>
                <w:lang w:val="en-US" w:eastAsia="zh-CN"/>
              </w:rPr>
              <w:t>约</w:t>
            </w:r>
            <w:r>
              <w:rPr>
                <w:rFonts w:hint="default" w:ascii="宋体" w:hAnsi="宋体" w:cs="宋体"/>
                <w:color w:val="auto"/>
                <w:sz w:val="24"/>
                <w:szCs w:val="24"/>
                <w:lang w:eastAsia="zh-CN"/>
              </w:rPr>
              <w:t>400-350mm)。</w:t>
            </w:r>
          </w:p>
          <w:p w14:paraId="424206B1">
            <w:pPr>
              <w:ind w:left="0" w:leftChars="0" w:firstLine="0" w:firstLineChars="0"/>
              <w:rPr>
                <w:rFonts w:hint="default" w:ascii="宋体" w:hAnsi="宋体" w:cs="宋体"/>
                <w:color w:val="auto"/>
                <w:sz w:val="24"/>
                <w:szCs w:val="24"/>
                <w:lang w:eastAsia="zh-CN"/>
              </w:rPr>
            </w:pPr>
            <w:r>
              <w:rPr>
                <w:rFonts w:hint="default" w:ascii="宋体" w:hAnsi="宋体" w:cs="宋体"/>
                <w:color w:val="auto"/>
                <w:sz w:val="24"/>
                <w:szCs w:val="24"/>
                <w:lang w:eastAsia="zh-CN"/>
              </w:rPr>
              <w:t>桌面预留走线孔（敲落式），预留集成接口模块，安装位置。</w:t>
            </w:r>
          </w:p>
          <w:p w14:paraId="60284594">
            <w:pPr>
              <w:ind w:left="0" w:leftChars="0" w:firstLine="0" w:firstLineChars="0"/>
              <w:rPr>
                <w:rFonts w:hint="default" w:ascii="宋体" w:hAnsi="宋体" w:cs="宋体"/>
                <w:color w:val="auto"/>
                <w:sz w:val="24"/>
                <w:szCs w:val="24"/>
                <w:lang w:eastAsia="zh-CN"/>
              </w:rPr>
            </w:pPr>
            <w:r>
              <w:rPr>
                <w:rFonts w:hint="default" w:ascii="宋体" w:hAnsi="宋体" w:cs="宋体"/>
                <w:color w:val="auto"/>
                <w:sz w:val="24"/>
                <w:szCs w:val="24"/>
                <w:lang w:eastAsia="zh-CN"/>
              </w:rPr>
              <w:t>桌面，柜体四侧，预留有出线孔，敲开即用。</w:t>
            </w:r>
          </w:p>
          <w:p w14:paraId="76B97849">
            <w:pPr>
              <w:ind w:left="0" w:leftChars="0" w:firstLine="0" w:firstLineChars="0"/>
              <w:rPr>
                <w:rFonts w:hint="default" w:ascii="宋体" w:hAnsi="宋体" w:cs="宋体"/>
                <w:b/>
                <w:bCs/>
                <w:color w:val="auto"/>
                <w:sz w:val="24"/>
                <w:szCs w:val="24"/>
                <w:lang w:val="en-US" w:eastAsia="zh-CN"/>
              </w:rPr>
            </w:pPr>
            <w:r>
              <w:rPr>
                <w:rFonts w:hint="eastAsia" w:ascii="宋体" w:hAnsi="宋体" w:cs="宋体"/>
                <w:b/>
                <w:bCs/>
                <w:color w:val="auto"/>
                <w:sz w:val="24"/>
                <w:szCs w:val="24"/>
                <w:lang w:val="en-US" w:eastAsia="zh-CN"/>
              </w:rPr>
              <w:t>2、</w:t>
            </w:r>
            <w:r>
              <w:rPr>
                <w:rFonts w:hint="default" w:ascii="宋体" w:hAnsi="宋体" w:cs="宋体"/>
                <w:b/>
                <w:bCs/>
                <w:color w:val="auto"/>
                <w:sz w:val="24"/>
                <w:szCs w:val="24"/>
                <w:lang w:val="en-US" w:eastAsia="zh-CN"/>
              </w:rPr>
              <w:t>椅子详细要求</w:t>
            </w:r>
          </w:p>
          <w:p w14:paraId="4698B2D4">
            <w:pPr>
              <w:ind w:left="0" w:leftChars="0" w:firstLine="0" w:firstLineChars="0"/>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背筐：双层网面固定腰垫和黑色PP玻纤背筐和扶手；</w:t>
            </w:r>
          </w:p>
          <w:p w14:paraId="3A5010AE">
            <w:pPr>
              <w:ind w:left="0" w:leftChars="0" w:firstLine="0" w:firstLineChars="0"/>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脚：钢制脚；</w:t>
            </w:r>
          </w:p>
          <w:p w14:paraId="339FF87C">
            <w:pPr>
              <w:ind w:left="0" w:leftChars="0" w:firstLine="0" w:firstLineChars="0"/>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金属材质：钢</w:t>
            </w:r>
          </w:p>
          <w:p w14:paraId="3D63642C">
            <w:pPr>
              <w:ind w:left="0" w:leftChars="0" w:firstLine="0" w:firstLineChars="0"/>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面料：网布；</w:t>
            </w:r>
          </w:p>
          <w:p w14:paraId="0628D9DF">
            <w:pPr>
              <w:ind w:left="0" w:leftChars="0" w:firstLine="0" w:firstLineChars="0"/>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坐垫：高密度海棉，网布，高弹力，防碎，软硬适中，回弹性良好，不易变形；条形双层网布</w:t>
            </w:r>
            <w:r>
              <w:rPr>
                <w:rFonts w:hint="eastAsia" w:ascii="宋体" w:hAnsi="宋体" w:cs="宋体"/>
                <w:color w:val="auto"/>
                <w:sz w:val="24"/>
                <w:szCs w:val="24"/>
                <w:lang w:val="en-US" w:eastAsia="zh-CN"/>
              </w:rPr>
              <w:t>，</w:t>
            </w:r>
            <w:r>
              <w:rPr>
                <w:rFonts w:hint="default" w:ascii="宋体" w:hAnsi="宋体" w:cs="宋体"/>
                <w:color w:val="auto"/>
                <w:sz w:val="24"/>
                <w:szCs w:val="24"/>
                <w:lang w:val="en-US" w:eastAsia="zh-CN"/>
              </w:rPr>
              <w:t>承受不低于100kg</w:t>
            </w:r>
          </w:p>
          <w:p w14:paraId="0E891EDF">
            <w:pPr>
              <w:ind w:left="0" w:leftChars="0" w:firstLine="0" w:firstLineChars="0"/>
              <w:rPr>
                <w:rFonts w:hint="default" w:ascii="宋体" w:hAnsi="宋体" w:cs="宋体"/>
                <w:b/>
                <w:bCs/>
                <w:color w:val="auto"/>
                <w:sz w:val="24"/>
                <w:szCs w:val="24"/>
                <w:lang w:val="en-US" w:eastAsia="zh-CN"/>
              </w:rPr>
            </w:pPr>
            <w:r>
              <w:rPr>
                <w:rFonts w:hint="eastAsia" w:ascii="宋体" w:hAnsi="宋体" w:cs="宋体"/>
                <w:b/>
                <w:bCs/>
                <w:color w:val="auto"/>
                <w:sz w:val="24"/>
                <w:szCs w:val="24"/>
                <w:lang w:val="en-US" w:eastAsia="zh-CN"/>
              </w:rPr>
              <w:t>3、</w:t>
            </w:r>
            <w:r>
              <w:rPr>
                <w:rFonts w:hint="default" w:ascii="宋体" w:hAnsi="宋体" w:cs="宋体"/>
                <w:b/>
                <w:bCs/>
                <w:color w:val="auto"/>
                <w:sz w:val="24"/>
                <w:szCs w:val="24"/>
                <w:lang w:val="en-US" w:eastAsia="zh-CN"/>
              </w:rPr>
              <w:t>扩音器详细要求</w:t>
            </w:r>
          </w:p>
          <w:p w14:paraId="1DD8EA15">
            <w:pPr>
              <w:ind w:left="0" w:leftChars="0" w:firstLine="0" w:firstLineChars="0"/>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音响系统包含三套核心设备：</w:t>
            </w:r>
          </w:p>
          <w:p w14:paraId="226A8BF1">
            <w:pPr>
              <w:ind w:left="0" w:leftChars="0" w:firstLine="0" w:firstLineChars="0"/>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1. 全频音箱，采用10寸低音+3寸高音二分频设计，额定功率100W，灵敏度96dB，频响106Hz–18kHz，最大声压级118dB，支持多角度安装；</w:t>
            </w:r>
          </w:p>
          <w:p w14:paraId="694D2FF3">
            <w:pPr>
              <w:ind w:left="0" w:leftChars="0" w:firstLine="0" w:firstLineChars="0"/>
              <w:rPr>
                <w:rFonts w:hint="default" w:ascii="宋体" w:hAnsi="宋体" w:cs="宋体"/>
                <w:color w:val="auto"/>
                <w:sz w:val="24"/>
                <w:szCs w:val="24"/>
                <w:lang w:eastAsia="zh-CN"/>
              </w:rPr>
            </w:pPr>
            <w:r>
              <w:rPr>
                <w:rFonts w:hint="default" w:ascii="宋体" w:hAnsi="宋体" w:cs="宋体"/>
                <w:color w:val="auto"/>
                <w:sz w:val="24"/>
                <w:szCs w:val="24"/>
                <w:lang w:val="en-US" w:eastAsia="zh-CN"/>
              </w:rPr>
              <w:t>2. 多功能合并式功放，输出功率400W，频响20Hz–20kHz，支持5.1声道输入，具备蓝牙、USB、调频收音及混响功能；3. UHF无线麦克风系统，一拖二设计，频段640–690MHz，100个可调频点，接收距离＞60米，延时＜3ms，信噪比＞85dB，失真度＜0.5%。</w:t>
            </w:r>
          </w:p>
        </w:tc>
      </w:tr>
      <w:tr w14:paraId="76870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25" w:type="pct"/>
            <w:vMerge w:val="continue"/>
            <w:tcBorders>
              <w:top w:val="single" w:color="000000" w:sz="4" w:space="0"/>
              <w:left w:val="single" w:color="000000" w:sz="4" w:space="0"/>
              <w:bottom w:val="single" w:color="000000" w:sz="4" w:space="0"/>
              <w:right w:val="single" w:color="000000" w:sz="4" w:space="0"/>
            </w:tcBorders>
            <w:noWrap/>
            <w:vAlign w:val="center"/>
          </w:tcPr>
          <w:p w14:paraId="3FED1995">
            <w:pPr>
              <w:jc w:val="center"/>
              <w:rPr>
                <w:rFonts w:hint="eastAsia" w:ascii="宋体" w:hAnsi="宋体" w:eastAsia="宋体" w:cs="宋体"/>
                <w:i w:val="0"/>
                <w:iCs w:val="0"/>
                <w:color w:val="000000"/>
                <w:sz w:val="24"/>
                <w:szCs w:val="24"/>
                <w:u w:val="none"/>
              </w:rPr>
            </w:pPr>
          </w:p>
        </w:tc>
        <w:tc>
          <w:tcPr>
            <w:tcW w:w="900" w:type="pct"/>
            <w:tcBorders>
              <w:top w:val="single" w:color="000000" w:sz="4" w:space="0"/>
              <w:left w:val="single" w:color="000000" w:sz="4" w:space="0"/>
              <w:bottom w:val="single" w:color="000000" w:sz="4" w:space="0"/>
              <w:right w:val="single" w:color="000000" w:sz="4" w:space="0"/>
            </w:tcBorders>
            <w:noWrap/>
            <w:vAlign w:val="center"/>
          </w:tcPr>
          <w:p w14:paraId="69C60ABF">
            <w:pPr>
              <w:ind w:left="0" w:leftChars="0" w:firstLine="0" w:firstLineChars="0"/>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千兆交换机</w:t>
            </w:r>
          </w:p>
        </w:tc>
        <w:tc>
          <w:tcPr>
            <w:tcW w:w="6651" w:type="dxa"/>
            <w:tcBorders>
              <w:top w:val="single" w:color="000000" w:sz="4" w:space="0"/>
              <w:left w:val="single" w:color="000000" w:sz="4" w:space="0"/>
              <w:bottom w:val="single" w:color="000000" w:sz="4" w:space="0"/>
              <w:right w:val="single" w:color="000000" w:sz="4" w:space="0"/>
            </w:tcBorders>
            <w:noWrap w:val="0"/>
            <w:vAlign w:val="center"/>
          </w:tcPr>
          <w:p w14:paraId="68AB2784">
            <w:pPr>
              <w:pStyle w:val="8"/>
              <w:ind w:left="0" w:leftChars="0" w:firstLine="0" w:firstLineChars="0"/>
              <w:rPr>
                <w:color w:val="auto"/>
                <w:sz w:val="24"/>
                <w:szCs w:val="24"/>
              </w:rPr>
            </w:pPr>
            <w:r>
              <w:rPr>
                <w:b/>
                <w:bCs/>
                <w:color w:val="auto"/>
                <w:sz w:val="24"/>
                <w:szCs w:val="24"/>
              </w:rPr>
              <w:t>尺寸与安装</w:t>
            </w:r>
            <w:r>
              <w:rPr>
                <w:rFonts w:hint="default"/>
                <w:color w:val="auto"/>
                <w:sz w:val="24"/>
                <w:szCs w:val="24"/>
              </w:rPr>
              <w:t>：设备尺寸不大于440mm×240mm×44mm，符合标准1U机架式规格。支持机架安装、桌面放置或壁挂安装，外壳采用金属钢壳材质。</w:t>
            </w:r>
          </w:p>
          <w:p w14:paraId="640036F1">
            <w:pPr>
              <w:pStyle w:val="8"/>
              <w:ind w:left="0" w:leftChars="0" w:firstLine="0" w:firstLineChars="0"/>
              <w:rPr>
                <w:color w:val="auto"/>
                <w:sz w:val="24"/>
                <w:szCs w:val="24"/>
              </w:rPr>
            </w:pPr>
            <w:r>
              <w:rPr>
                <w:rFonts w:hint="default"/>
                <w:b/>
                <w:bCs/>
                <w:color w:val="auto"/>
                <w:sz w:val="24"/>
                <w:szCs w:val="24"/>
              </w:rPr>
              <w:t>固定端口</w:t>
            </w:r>
            <w:r>
              <w:rPr>
                <w:rFonts w:hint="default"/>
                <w:color w:val="auto"/>
                <w:sz w:val="24"/>
                <w:szCs w:val="24"/>
              </w:rPr>
              <w:t>：提供不少于48个10/100/1000Mbps RJ45以太网端口，以及不少于2个千兆SFP光口（1Gbps）。</w:t>
            </w:r>
          </w:p>
          <w:p w14:paraId="771A6A5D">
            <w:pPr>
              <w:pStyle w:val="8"/>
              <w:ind w:left="0" w:leftChars="0" w:firstLine="0" w:firstLineChars="0"/>
              <w:rPr>
                <w:color w:val="auto"/>
                <w:sz w:val="24"/>
                <w:szCs w:val="24"/>
              </w:rPr>
            </w:pPr>
            <w:r>
              <w:rPr>
                <w:rFonts w:hint="default"/>
                <w:b/>
                <w:bCs/>
                <w:color w:val="auto"/>
                <w:sz w:val="24"/>
                <w:szCs w:val="24"/>
              </w:rPr>
              <w:t>指示灯</w:t>
            </w:r>
            <w:r>
              <w:rPr>
                <w:rFonts w:hint="default"/>
                <w:color w:val="auto"/>
                <w:sz w:val="24"/>
                <w:szCs w:val="24"/>
              </w:rPr>
              <w:t>：具备电源指示灯和端口连接/状态指示灯，便于实时监控设备运行状态。</w:t>
            </w:r>
          </w:p>
          <w:p w14:paraId="782E7B56">
            <w:pPr>
              <w:pStyle w:val="8"/>
              <w:ind w:left="0" w:leftChars="0" w:firstLine="0" w:firstLineChars="0"/>
              <w:rPr>
                <w:color w:val="auto"/>
                <w:sz w:val="24"/>
                <w:szCs w:val="24"/>
              </w:rPr>
            </w:pPr>
            <w:r>
              <w:rPr>
                <w:rFonts w:hint="default"/>
                <w:b/>
                <w:bCs/>
                <w:color w:val="auto"/>
                <w:sz w:val="24"/>
                <w:szCs w:val="24"/>
              </w:rPr>
              <w:t>性能指标：</w:t>
            </w:r>
            <w:r>
              <w:rPr>
                <w:rFonts w:hint="default"/>
                <w:color w:val="auto"/>
                <w:sz w:val="24"/>
                <w:szCs w:val="24"/>
              </w:rPr>
              <w:t>交换容量不低于100Gbps，包转发率不低于74.4Mpps。</w:t>
            </w:r>
          </w:p>
          <w:p w14:paraId="4A2CEF11">
            <w:pPr>
              <w:pStyle w:val="8"/>
              <w:ind w:left="0" w:leftChars="0" w:firstLine="0" w:firstLineChars="0"/>
              <w:rPr>
                <w:color w:val="auto"/>
                <w:sz w:val="24"/>
                <w:szCs w:val="24"/>
              </w:rPr>
            </w:pPr>
            <w:r>
              <w:rPr>
                <w:rFonts w:hint="default"/>
                <w:b/>
                <w:bCs/>
                <w:color w:val="auto"/>
                <w:sz w:val="24"/>
                <w:szCs w:val="24"/>
              </w:rPr>
              <w:t>电源与功耗：</w:t>
            </w:r>
            <w:r>
              <w:rPr>
                <w:rFonts w:hint="default"/>
                <w:color w:val="auto"/>
                <w:sz w:val="24"/>
                <w:szCs w:val="24"/>
              </w:rPr>
              <w:t>支持100-240V AC、50/60Hz宽电压输入，整机最大功耗不超过48W。</w:t>
            </w:r>
          </w:p>
          <w:p w14:paraId="6F0E03F8">
            <w:pPr>
              <w:pStyle w:val="8"/>
              <w:ind w:left="0" w:leftChars="0" w:firstLine="0" w:firstLineChars="0"/>
              <w:rPr>
                <w:color w:val="auto"/>
                <w:sz w:val="24"/>
                <w:szCs w:val="24"/>
              </w:rPr>
            </w:pPr>
            <w:r>
              <w:rPr>
                <w:rFonts w:hint="default"/>
                <w:b/>
                <w:bCs/>
                <w:color w:val="auto"/>
                <w:sz w:val="24"/>
                <w:szCs w:val="24"/>
              </w:rPr>
              <w:t>防雷能力：</w:t>
            </w:r>
            <w:r>
              <w:rPr>
                <w:rFonts w:hint="default"/>
                <w:color w:val="auto"/>
                <w:sz w:val="24"/>
                <w:szCs w:val="24"/>
              </w:rPr>
              <w:t>端口防雷等级不低于6KV，电源防雷等级不低于6KV。</w:t>
            </w:r>
          </w:p>
          <w:p w14:paraId="565560C6">
            <w:pPr>
              <w:pStyle w:val="8"/>
              <w:ind w:left="0" w:leftChars="0" w:firstLine="0" w:firstLineChars="0"/>
              <w:rPr>
                <w:rFonts w:hint="eastAsia"/>
                <w:color w:val="auto"/>
                <w:sz w:val="24"/>
                <w:szCs w:val="24"/>
                <w:lang w:eastAsia="zh-CN"/>
              </w:rPr>
            </w:pPr>
            <w:r>
              <w:rPr>
                <w:rFonts w:hint="default"/>
                <w:b/>
                <w:bCs/>
                <w:color w:val="auto"/>
                <w:sz w:val="24"/>
                <w:szCs w:val="24"/>
              </w:rPr>
              <w:t>模式切换</w:t>
            </w:r>
            <w:r>
              <w:rPr>
                <w:rFonts w:hint="default"/>
                <w:color w:val="auto"/>
                <w:sz w:val="24"/>
                <w:szCs w:val="24"/>
              </w:rPr>
              <w:t>：设备配备二段式拨码开关，支持两种工作模式切换</w:t>
            </w:r>
            <w:r>
              <w:rPr>
                <w:rFonts w:hint="eastAsia"/>
                <w:color w:val="auto"/>
                <w:sz w:val="24"/>
                <w:szCs w:val="24"/>
                <w:lang w:eastAsia="zh-CN"/>
              </w:rPr>
              <w:t>；</w:t>
            </w:r>
          </w:p>
          <w:p w14:paraId="0507B242">
            <w:pPr>
              <w:pStyle w:val="8"/>
              <w:ind w:left="0" w:leftChars="0" w:firstLine="0" w:firstLineChars="0"/>
              <w:rPr>
                <w:color w:val="auto"/>
                <w:sz w:val="24"/>
                <w:szCs w:val="24"/>
              </w:rPr>
            </w:pPr>
            <w:r>
              <w:rPr>
                <w:rFonts w:hint="default"/>
                <w:b/>
                <w:bCs/>
                <w:color w:val="auto"/>
                <w:sz w:val="24"/>
                <w:szCs w:val="24"/>
              </w:rPr>
              <w:t>标准共享模式：</w:t>
            </w:r>
            <w:r>
              <w:rPr>
                <w:rFonts w:hint="default"/>
                <w:color w:val="auto"/>
                <w:sz w:val="24"/>
                <w:szCs w:val="24"/>
              </w:rPr>
              <w:t>所有端口之间均可相互通信，相当于普通交换机。</w:t>
            </w:r>
          </w:p>
          <w:p w14:paraId="686D3867">
            <w:pPr>
              <w:pStyle w:val="8"/>
              <w:ind w:left="0" w:leftChars="0" w:firstLine="0" w:firstLineChars="0"/>
              <w:rPr>
                <w:color w:val="auto"/>
                <w:sz w:val="24"/>
                <w:szCs w:val="24"/>
              </w:rPr>
            </w:pPr>
            <w:r>
              <w:rPr>
                <w:rFonts w:hint="default"/>
                <w:b/>
                <w:bCs/>
                <w:color w:val="auto"/>
                <w:sz w:val="24"/>
                <w:szCs w:val="24"/>
              </w:rPr>
              <w:t>VLAN隔离模式</w:t>
            </w:r>
            <w:r>
              <w:rPr>
                <w:rFonts w:hint="default"/>
                <w:color w:val="auto"/>
                <w:sz w:val="24"/>
                <w:szCs w:val="24"/>
              </w:rPr>
              <w:t>：开启后，1至46号端口之间相互隔离不能通信，但均能与47至50号端口通信。</w:t>
            </w:r>
          </w:p>
          <w:p w14:paraId="6ABA2E29">
            <w:pPr>
              <w:pStyle w:val="8"/>
              <w:ind w:left="0" w:leftChars="0" w:firstLine="0" w:firstLineChars="0"/>
              <w:rPr>
                <w:b/>
                <w:bCs/>
                <w:color w:val="auto"/>
                <w:sz w:val="24"/>
                <w:szCs w:val="24"/>
              </w:rPr>
            </w:pPr>
            <w:r>
              <w:rPr>
                <w:rFonts w:hint="default"/>
                <w:b/>
                <w:bCs/>
                <w:color w:val="auto"/>
                <w:sz w:val="24"/>
                <w:szCs w:val="24"/>
              </w:rPr>
              <w:t>环境适应性：</w:t>
            </w:r>
          </w:p>
          <w:p w14:paraId="390290A7">
            <w:pPr>
              <w:pStyle w:val="8"/>
              <w:ind w:left="0" w:leftChars="0" w:firstLine="0" w:firstLineChars="0"/>
              <w:rPr>
                <w:color w:val="auto"/>
                <w:sz w:val="24"/>
                <w:szCs w:val="24"/>
              </w:rPr>
            </w:pPr>
            <w:r>
              <w:rPr>
                <w:rFonts w:hint="default"/>
                <w:color w:val="auto"/>
                <w:sz w:val="24"/>
                <w:szCs w:val="24"/>
              </w:rPr>
              <w:t>工作温度：0℃至45℃</w:t>
            </w:r>
          </w:p>
          <w:p w14:paraId="00AB9EBC">
            <w:pPr>
              <w:pStyle w:val="8"/>
              <w:ind w:left="0" w:leftChars="0" w:firstLine="0" w:firstLineChars="0"/>
              <w:rPr>
                <w:color w:val="auto"/>
                <w:sz w:val="24"/>
                <w:szCs w:val="24"/>
              </w:rPr>
            </w:pPr>
            <w:r>
              <w:rPr>
                <w:rFonts w:hint="default"/>
                <w:color w:val="auto"/>
                <w:sz w:val="24"/>
                <w:szCs w:val="24"/>
              </w:rPr>
              <w:t>存储温度：-40℃至70℃</w:t>
            </w:r>
          </w:p>
          <w:p w14:paraId="6066FDAD">
            <w:pPr>
              <w:pStyle w:val="8"/>
              <w:ind w:left="0" w:leftChars="0" w:firstLine="0" w:firstLineChars="0"/>
              <w:rPr>
                <w:color w:val="auto"/>
                <w:sz w:val="24"/>
                <w:szCs w:val="24"/>
              </w:rPr>
            </w:pPr>
            <w:r>
              <w:rPr>
                <w:rFonts w:hint="default"/>
                <w:color w:val="auto"/>
                <w:sz w:val="24"/>
                <w:szCs w:val="24"/>
              </w:rPr>
              <w:t>工作湿度：10%至90%（无凝结）</w:t>
            </w:r>
          </w:p>
          <w:p w14:paraId="30CCF3AF">
            <w:pPr>
              <w:pStyle w:val="8"/>
              <w:ind w:left="0" w:leftChars="0" w:firstLine="0" w:firstLineChars="0"/>
              <w:rPr>
                <w:rFonts w:hint="eastAsia" w:ascii="宋体" w:hAnsi="宋体" w:eastAsia="宋体" w:cs="宋体"/>
                <w:i w:val="0"/>
                <w:iCs w:val="0"/>
                <w:color w:val="auto"/>
                <w:sz w:val="24"/>
                <w:szCs w:val="24"/>
                <w:u w:val="none"/>
              </w:rPr>
            </w:pPr>
            <w:r>
              <w:rPr>
                <w:rFonts w:hint="default"/>
                <w:color w:val="auto"/>
                <w:sz w:val="24"/>
                <w:szCs w:val="24"/>
              </w:rPr>
              <w:t>存储湿度：5%至90%（无凝结）</w:t>
            </w:r>
          </w:p>
        </w:tc>
      </w:tr>
      <w:tr w14:paraId="70BCC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25" w:type="pct"/>
            <w:vMerge w:val="continue"/>
            <w:tcBorders>
              <w:top w:val="single" w:color="000000" w:sz="4" w:space="0"/>
              <w:left w:val="single" w:color="000000" w:sz="4" w:space="0"/>
              <w:bottom w:val="single" w:color="000000" w:sz="4" w:space="0"/>
              <w:right w:val="single" w:color="000000" w:sz="4" w:space="0"/>
            </w:tcBorders>
            <w:noWrap/>
            <w:vAlign w:val="center"/>
          </w:tcPr>
          <w:p w14:paraId="2D59AB37">
            <w:pPr>
              <w:jc w:val="center"/>
              <w:rPr>
                <w:rFonts w:hint="eastAsia" w:ascii="宋体" w:hAnsi="宋体" w:eastAsia="宋体" w:cs="宋体"/>
                <w:i w:val="0"/>
                <w:iCs w:val="0"/>
                <w:color w:val="000000"/>
                <w:sz w:val="24"/>
                <w:szCs w:val="24"/>
                <w:u w:val="none"/>
              </w:rPr>
            </w:pPr>
          </w:p>
        </w:tc>
        <w:tc>
          <w:tcPr>
            <w:tcW w:w="900" w:type="pct"/>
            <w:tcBorders>
              <w:top w:val="single" w:color="000000" w:sz="4" w:space="0"/>
              <w:left w:val="single" w:color="000000" w:sz="4" w:space="0"/>
              <w:bottom w:val="single" w:color="000000" w:sz="4" w:space="0"/>
              <w:right w:val="single" w:color="000000" w:sz="4" w:space="0"/>
            </w:tcBorders>
            <w:noWrap/>
            <w:vAlign w:val="center"/>
          </w:tcPr>
          <w:p w14:paraId="4E65D549">
            <w:pPr>
              <w:ind w:left="0" w:leftChars="0" w:firstLine="0" w:firstLineChars="0"/>
              <w:jc w:val="center"/>
              <w:rPr>
                <w:rFonts w:hint="eastAsia" w:ascii="宋体" w:hAnsi="宋体" w:eastAsia="宋体" w:cs="宋体"/>
                <w:i w:val="0"/>
                <w:iCs w:val="0"/>
                <w:color w:val="000000"/>
                <w:sz w:val="24"/>
                <w:szCs w:val="24"/>
                <w:u w:val="none"/>
              </w:rPr>
            </w:pPr>
            <w:r>
              <w:rPr>
                <w:rFonts w:hint="eastAsia" w:ascii="宋体" w:hAnsi="宋体" w:eastAsia="宋体" w:cs="宋体"/>
                <w:sz w:val="24"/>
                <w:szCs w:val="24"/>
                <w:lang w:val="en-US" w:eastAsia="zh-CN"/>
              </w:rPr>
              <w:t>网络布线工程</w:t>
            </w:r>
          </w:p>
        </w:tc>
        <w:tc>
          <w:tcPr>
            <w:tcW w:w="6651" w:type="dxa"/>
            <w:tcBorders>
              <w:top w:val="single" w:color="000000" w:sz="4" w:space="0"/>
              <w:left w:val="single" w:color="000000" w:sz="4" w:space="0"/>
              <w:bottom w:val="single" w:color="000000" w:sz="4" w:space="0"/>
              <w:right w:val="single" w:color="000000" w:sz="4" w:space="0"/>
            </w:tcBorders>
            <w:noWrap w:val="0"/>
            <w:vAlign w:val="center"/>
          </w:tcPr>
          <w:p w14:paraId="0ACF9477">
            <w:pPr>
              <w:ind w:left="0" w:leftChars="0" w:firstLine="0" w:firstLineChars="0"/>
              <w:rPr>
                <w:rFonts w:hint="eastAsia" w:ascii="宋体" w:hAnsi="宋体" w:eastAsia="宋体" w:cs="宋体"/>
                <w:i w:val="0"/>
                <w:iCs w:val="0"/>
                <w:color w:val="auto"/>
                <w:sz w:val="24"/>
                <w:szCs w:val="24"/>
                <w:u w:val="none"/>
              </w:rPr>
            </w:pPr>
            <w:r>
              <w:rPr>
                <w:rFonts w:hint="eastAsia" w:ascii="宋体" w:hAnsi="宋体" w:eastAsia="宋体" w:cs="宋体"/>
                <w:color w:val="auto"/>
                <w:sz w:val="24"/>
                <w:szCs w:val="24"/>
                <w:lang w:val="en-US" w:eastAsia="zh-CN"/>
              </w:rPr>
              <w:t>51台计算机网络布线，含六类网线、电源布线、插排等，含施工及辅材</w:t>
            </w:r>
          </w:p>
        </w:tc>
      </w:tr>
      <w:tr w14:paraId="5C607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25" w:type="pct"/>
            <w:tcBorders>
              <w:top w:val="single" w:color="000000" w:sz="4" w:space="0"/>
              <w:left w:val="single" w:color="000000" w:sz="4" w:space="0"/>
              <w:bottom w:val="single" w:color="000000" w:sz="4" w:space="0"/>
              <w:right w:val="single" w:color="000000" w:sz="4" w:space="0"/>
            </w:tcBorders>
            <w:noWrap/>
            <w:vAlign w:val="center"/>
          </w:tcPr>
          <w:p w14:paraId="70A6ACE9">
            <w:pPr>
              <w:jc w:val="center"/>
              <w:rPr>
                <w:rFonts w:hint="eastAsia" w:ascii="宋体" w:hAnsi="宋体" w:eastAsia="宋体" w:cs="宋体"/>
                <w:i w:val="0"/>
                <w:iCs w:val="0"/>
                <w:color w:val="000000"/>
                <w:sz w:val="24"/>
                <w:szCs w:val="24"/>
                <w:u w:val="none"/>
              </w:rPr>
            </w:pPr>
          </w:p>
        </w:tc>
        <w:tc>
          <w:tcPr>
            <w:tcW w:w="900" w:type="pct"/>
            <w:tcBorders>
              <w:top w:val="single" w:color="000000" w:sz="4" w:space="0"/>
              <w:left w:val="single" w:color="000000" w:sz="4" w:space="0"/>
              <w:bottom w:val="single" w:color="000000" w:sz="4" w:space="0"/>
              <w:right w:val="single" w:color="000000" w:sz="4" w:space="0"/>
            </w:tcBorders>
            <w:noWrap/>
            <w:vAlign w:val="center"/>
          </w:tcPr>
          <w:p w14:paraId="17091960">
            <w:pPr>
              <w:ind w:left="0" w:leftChars="0" w:firstLine="0" w:firstLineChars="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考场文化氛围布置</w:t>
            </w:r>
          </w:p>
        </w:tc>
        <w:tc>
          <w:tcPr>
            <w:tcW w:w="6651" w:type="dxa"/>
            <w:tcBorders>
              <w:top w:val="single" w:color="000000" w:sz="4" w:space="0"/>
              <w:left w:val="single" w:color="000000" w:sz="4" w:space="0"/>
              <w:bottom w:val="single" w:color="000000" w:sz="4" w:space="0"/>
              <w:right w:val="single" w:color="000000" w:sz="4" w:space="0"/>
            </w:tcBorders>
            <w:noWrap w:val="0"/>
            <w:vAlign w:val="center"/>
          </w:tcPr>
          <w:p w14:paraId="438CFA54">
            <w:pPr>
              <w:numPr>
                <w:ilvl w:val="0"/>
                <w:numId w:val="0"/>
              </w:numPr>
              <w:jc w:val="both"/>
              <w:textAlignment w:val="center"/>
              <w:rPr>
                <w:rFonts w:hint="eastAsia" w:ascii="宋体" w:hAnsi="宋体" w:eastAsia="宋体" w:cs="宋体"/>
                <w:color w:val="auto"/>
                <w:kern w:val="0"/>
                <w:sz w:val="21"/>
                <w:szCs w:val="21"/>
              </w:rPr>
            </w:pPr>
            <w:r>
              <w:rPr>
                <w:rFonts w:hint="default" w:ascii="宋体" w:hAnsi="宋体" w:cs="宋体"/>
                <w:color w:val="auto"/>
                <w:sz w:val="24"/>
                <w:szCs w:val="24"/>
                <w:lang w:eastAsia="zh-CN"/>
              </w:rPr>
              <w:t>1、</w:t>
            </w:r>
            <w:r>
              <w:rPr>
                <w:rFonts w:hint="eastAsia" w:ascii="宋体" w:hAnsi="宋体" w:eastAsia="宋体" w:cs="宋体"/>
                <w:color w:val="auto"/>
                <w:sz w:val="24"/>
                <w:szCs w:val="24"/>
                <w:lang w:val="en-US" w:eastAsia="zh-CN"/>
              </w:rPr>
              <w:t>内部环境布置，操作流程图、考场纪律标识、考试流程指引等展板，简约实用</w:t>
            </w:r>
            <w:r>
              <w:rPr>
                <w:rFonts w:hint="default" w:ascii="宋体" w:hAnsi="宋体" w:eastAsia="宋体" w:cs="宋体"/>
                <w:color w:val="auto"/>
                <w:sz w:val="24"/>
                <w:szCs w:val="24"/>
                <w:lang w:val="en-US" w:eastAsia="zh-CN"/>
              </w:rPr>
              <w:t>，约</w:t>
            </w:r>
            <w:r>
              <w:rPr>
                <w:rFonts w:hint="eastAsia" w:ascii="宋体" w:hAnsi="宋体" w:eastAsia="宋体" w:cs="宋体"/>
                <w:color w:val="auto"/>
                <w:sz w:val="24"/>
                <w:szCs w:val="24"/>
                <w:lang w:val="en-US" w:eastAsia="zh-CN"/>
              </w:rPr>
              <w:t>≥15平方（含KT版、亚克力板）；</w:t>
            </w:r>
          </w:p>
          <w:p w14:paraId="7AE6E9CE">
            <w:pPr>
              <w:numPr>
                <w:ilvl w:val="0"/>
                <w:numId w:val="0"/>
              </w:numPr>
              <w:jc w:val="both"/>
              <w:textAlignment w:val="center"/>
              <w:rPr>
                <w:rFonts w:hint="default" w:ascii="宋体" w:hAnsi="宋体" w:eastAsia="宋体" w:cs="宋体"/>
                <w:color w:val="auto"/>
                <w:sz w:val="24"/>
                <w:szCs w:val="24"/>
                <w:lang w:val="en-US" w:eastAsia="zh-CN"/>
              </w:rPr>
            </w:pPr>
            <w:r>
              <w:rPr>
                <w:rFonts w:hint="default" w:ascii="宋体" w:hAnsi="宋体" w:cs="宋体"/>
                <w:i w:val="0"/>
                <w:iCs w:val="0"/>
                <w:color w:val="auto"/>
                <w:sz w:val="24"/>
                <w:szCs w:val="24"/>
                <w:u w:val="none"/>
              </w:rPr>
              <w:t>2、</w:t>
            </w:r>
            <w:r>
              <w:rPr>
                <w:rFonts w:hint="default" w:ascii="宋体" w:hAnsi="宋体" w:eastAsia="宋体" w:cs="宋体"/>
                <w:color w:val="auto"/>
                <w:sz w:val="24"/>
                <w:szCs w:val="24"/>
                <w:lang w:val="en-US" w:eastAsia="zh-CN"/>
              </w:rPr>
              <w:t>含墙面瓷砖与乳胶漆铲除约190㎡； 玻璃地簧门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9.8㎡（含封门洞）</w:t>
            </w:r>
          </w:p>
          <w:p w14:paraId="76D0AC89">
            <w:pPr>
              <w:numPr>
                <w:ilvl w:val="0"/>
                <w:numId w:val="0"/>
              </w:numPr>
              <w:jc w:val="both"/>
              <w:textAlignment w:val="center"/>
              <w:rPr>
                <w:rFonts w:hint="default" w:ascii="Arial" w:hAnsi="Arial" w:cs="Arial"/>
                <w:i w:val="0"/>
                <w:iCs w:val="0"/>
                <w:color w:val="auto"/>
                <w:sz w:val="24"/>
                <w:szCs w:val="24"/>
                <w:u w:val="none"/>
              </w:rPr>
            </w:pPr>
            <w:r>
              <w:rPr>
                <w:rFonts w:hint="default" w:ascii="宋体" w:hAnsi="宋体" w:eastAsia="宋体" w:cs="宋体"/>
                <w:color w:val="auto"/>
                <w:sz w:val="24"/>
                <w:szCs w:val="24"/>
                <w:lang w:val="en-US" w:eastAsia="zh-CN"/>
              </w:rPr>
              <w:t>3、强电开关插座</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6</w:t>
            </w:r>
            <w:r>
              <w:rPr>
                <w:rFonts w:hint="default" w:ascii="Arial" w:hAnsi="Arial" w:cs="Arial"/>
                <w:i w:val="0"/>
                <w:iCs w:val="0"/>
                <w:color w:val="auto"/>
                <w:sz w:val="24"/>
                <w:szCs w:val="24"/>
                <w:u w:val="none"/>
              </w:rPr>
              <w:t>0个，电流</w:t>
            </w:r>
            <w:r>
              <w:rPr>
                <w:rFonts w:hint="eastAsia" w:ascii="东文宋体" w:hAnsi="东文宋体" w:eastAsia="东文宋体" w:cs="东文宋体"/>
                <w:i w:val="0"/>
                <w:iCs w:val="0"/>
                <w:color w:val="auto"/>
                <w:sz w:val="24"/>
                <w:szCs w:val="24"/>
                <w:u w:val="none"/>
              </w:rPr>
              <w:t>≥</w:t>
            </w:r>
            <w:r>
              <w:rPr>
                <w:rFonts w:hint="default" w:ascii="Arial" w:hAnsi="Arial" w:cs="Arial"/>
                <w:i w:val="0"/>
                <w:iCs w:val="0"/>
                <w:color w:val="auto"/>
                <w:sz w:val="24"/>
                <w:szCs w:val="24"/>
                <w:u w:val="none"/>
              </w:rPr>
              <w:t xml:space="preserve">10A（含配套的配电箱及空开）； </w:t>
            </w:r>
          </w:p>
          <w:p w14:paraId="348F5F3B">
            <w:pPr>
              <w:ind w:left="0" w:leftChars="0" w:firstLine="0" w:firstLineChars="0"/>
              <w:rPr>
                <w:rFonts w:hint="default" w:ascii="东文宋体" w:hAnsi="东文宋体" w:eastAsia="东文宋体" w:cs="东文宋体"/>
                <w:i w:val="0"/>
                <w:iCs w:val="0"/>
                <w:color w:val="auto"/>
                <w:sz w:val="24"/>
                <w:szCs w:val="24"/>
                <w:u w:val="none"/>
              </w:rPr>
            </w:pPr>
            <w:r>
              <w:rPr>
                <w:rFonts w:hint="default" w:ascii="宋体" w:hAnsi="宋体" w:eastAsia="宋体" w:cs="宋体"/>
                <w:color w:val="auto"/>
                <w:sz w:val="24"/>
                <w:szCs w:val="24"/>
                <w:lang w:val="en-US" w:eastAsia="zh-CN"/>
              </w:rPr>
              <w:t>4、</w:t>
            </w:r>
            <w:r>
              <w:rPr>
                <w:rFonts w:hint="default" w:ascii="Arial" w:hAnsi="Arial" w:cs="Arial"/>
                <w:i w:val="0"/>
                <w:iCs w:val="0"/>
                <w:color w:val="auto"/>
                <w:sz w:val="24"/>
                <w:szCs w:val="24"/>
                <w:u w:val="none"/>
              </w:rPr>
              <w:t>电源线：4㎡</w:t>
            </w:r>
            <w:r>
              <w:rPr>
                <w:rFonts w:hint="eastAsia" w:ascii="东文宋体" w:hAnsi="东文宋体" w:eastAsia="东文宋体" w:cs="东文宋体"/>
                <w:i w:val="0"/>
                <w:iCs w:val="0"/>
                <w:color w:val="auto"/>
                <w:sz w:val="24"/>
                <w:szCs w:val="24"/>
                <w:u w:val="none"/>
              </w:rPr>
              <w:t>≥</w:t>
            </w:r>
            <w:r>
              <w:rPr>
                <w:rFonts w:hint="default" w:ascii="东文宋体" w:hAnsi="东文宋体" w:eastAsia="东文宋体" w:cs="东文宋体"/>
                <w:i w:val="0"/>
                <w:iCs w:val="0"/>
                <w:color w:val="auto"/>
                <w:sz w:val="24"/>
                <w:szCs w:val="24"/>
                <w:u w:val="none"/>
              </w:rPr>
              <w:t>200米； 2.5</w:t>
            </w:r>
            <w:r>
              <w:rPr>
                <w:rFonts w:hint="default" w:ascii="Arial" w:hAnsi="Arial" w:cs="Arial"/>
                <w:i w:val="0"/>
                <w:iCs w:val="0"/>
                <w:color w:val="auto"/>
                <w:sz w:val="24"/>
                <w:szCs w:val="24"/>
                <w:u w:val="none"/>
              </w:rPr>
              <w:t>㎡</w:t>
            </w:r>
            <w:r>
              <w:rPr>
                <w:rFonts w:hint="eastAsia" w:ascii="东文宋体" w:hAnsi="东文宋体" w:eastAsia="东文宋体" w:cs="东文宋体"/>
                <w:i w:val="0"/>
                <w:iCs w:val="0"/>
                <w:color w:val="auto"/>
                <w:sz w:val="24"/>
                <w:szCs w:val="24"/>
                <w:u w:val="none"/>
              </w:rPr>
              <w:t>≥</w:t>
            </w:r>
            <w:r>
              <w:rPr>
                <w:rFonts w:hint="default" w:ascii="东文宋体" w:hAnsi="东文宋体" w:eastAsia="东文宋体" w:cs="东文宋体"/>
                <w:i w:val="0"/>
                <w:iCs w:val="0"/>
                <w:color w:val="auto"/>
                <w:sz w:val="24"/>
                <w:szCs w:val="24"/>
                <w:u w:val="none"/>
              </w:rPr>
              <w:t>200米； 6</w:t>
            </w:r>
            <w:r>
              <w:rPr>
                <w:rFonts w:hint="default" w:ascii="Arial" w:hAnsi="Arial" w:cs="Arial"/>
                <w:i w:val="0"/>
                <w:iCs w:val="0"/>
                <w:color w:val="auto"/>
                <w:sz w:val="24"/>
                <w:szCs w:val="24"/>
                <w:u w:val="none"/>
              </w:rPr>
              <w:t>㎡</w:t>
            </w:r>
            <w:r>
              <w:rPr>
                <w:rFonts w:hint="eastAsia" w:ascii="东文宋体" w:hAnsi="东文宋体" w:eastAsia="东文宋体" w:cs="东文宋体"/>
                <w:i w:val="0"/>
                <w:iCs w:val="0"/>
                <w:color w:val="auto"/>
                <w:sz w:val="24"/>
                <w:szCs w:val="24"/>
                <w:u w:val="none"/>
              </w:rPr>
              <w:t>≥</w:t>
            </w:r>
            <w:r>
              <w:rPr>
                <w:rFonts w:hint="default" w:ascii="东文宋体" w:hAnsi="东文宋体" w:eastAsia="东文宋体" w:cs="东文宋体"/>
                <w:i w:val="0"/>
                <w:iCs w:val="0"/>
                <w:color w:val="auto"/>
                <w:sz w:val="24"/>
                <w:szCs w:val="24"/>
                <w:u w:val="none"/>
              </w:rPr>
              <w:t xml:space="preserve">20米； </w:t>
            </w:r>
          </w:p>
          <w:p w14:paraId="2973179E">
            <w:pPr>
              <w:ind w:left="0" w:leftChars="0" w:firstLine="0" w:firstLineChars="0"/>
              <w:rPr>
                <w:rFonts w:hint="default" w:ascii="东文宋体" w:hAnsi="东文宋体" w:eastAsia="东文宋体" w:cs="东文宋体"/>
                <w:i w:val="0"/>
                <w:iCs w:val="0"/>
                <w:color w:val="auto"/>
                <w:sz w:val="24"/>
                <w:szCs w:val="24"/>
                <w:u w:val="none"/>
              </w:rPr>
            </w:pPr>
            <w:r>
              <w:rPr>
                <w:rFonts w:hint="default" w:ascii="东文宋体" w:hAnsi="东文宋体" w:eastAsia="东文宋体" w:cs="东文宋体"/>
                <w:i w:val="0"/>
                <w:iCs w:val="0"/>
                <w:color w:val="auto"/>
                <w:sz w:val="24"/>
                <w:szCs w:val="24"/>
                <w:u w:val="none"/>
              </w:rPr>
              <w:t>5、网线：</w:t>
            </w:r>
            <w:r>
              <w:rPr>
                <w:rFonts w:hint="eastAsia" w:ascii="东文宋体" w:hAnsi="东文宋体" w:eastAsia="东文宋体" w:cs="东文宋体"/>
                <w:i w:val="0"/>
                <w:iCs w:val="0"/>
                <w:color w:val="auto"/>
                <w:sz w:val="24"/>
                <w:szCs w:val="24"/>
                <w:u w:val="none"/>
              </w:rPr>
              <w:t>≥</w:t>
            </w:r>
            <w:r>
              <w:rPr>
                <w:rFonts w:hint="default" w:ascii="东文宋体" w:hAnsi="东文宋体" w:eastAsia="东文宋体" w:cs="东文宋体"/>
                <w:i w:val="0"/>
                <w:iCs w:val="0"/>
                <w:color w:val="auto"/>
                <w:sz w:val="24"/>
                <w:szCs w:val="24"/>
                <w:u w:val="none"/>
              </w:rPr>
              <w:t>UTP 6类网线</w:t>
            </w:r>
            <w:r>
              <w:rPr>
                <w:rFonts w:hint="eastAsia" w:ascii="东文宋体" w:hAnsi="东文宋体" w:eastAsia="东文宋体" w:cs="东文宋体"/>
                <w:i w:val="0"/>
                <w:iCs w:val="0"/>
                <w:color w:val="auto"/>
                <w:sz w:val="24"/>
                <w:szCs w:val="24"/>
                <w:u w:val="none"/>
              </w:rPr>
              <w:t>≥</w:t>
            </w:r>
            <w:r>
              <w:rPr>
                <w:rFonts w:hint="default" w:ascii="东文宋体" w:hAnsi="东文宋体" w:eastAsia="东文宋体" w:cs="东文宋体"/>
                <w:i w:val="0"/>
                <w:iCs w:val="0"/>
                <w:color w:val="auto"/>
                <w:sz w:val="24"/>
                <w:szCs w:val="24"/>
                <w:u w:val="none"/>
              </w:rPr>
              <w:t xml:space="preserve">3箱； </w:t>
            </w:r>
          </w:p>
        </w:tc>
      </w:tr>
      <w:tr w14:paraId="572FC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25" w:type="pct"/>
            <w:tcBorders>
              <w:top w:val="single" w:color="000000" w:sz="4" w:space="0"/>
              <w:left w:val="single" w:color="000000" w:sz="4" w:space="0"/>
              <w:bottom w:val="single" w:color="000000" w:sz="4" w:space="0"/>
              <w:right w:val="single" w:color="000000" w:sz="4" w:space="0"/>
            </w:tcBorders>
            <w:noWrap/>
            <w:vAlign w:val="center"/>
          </w:tcPr>
          <w:p w14:paraId="0021C0EA">
            <w:pPr>
              <w:jc w:val="center"/>
              <w:rPr>
                <w:rFonts w:hint="eastAsia" w:ascii="宋体" w:hAnsi="宋体" w:eastAsia="宋体" w:cs="宋体"/>
                <w:i w:val="0"/>
                <w:iCs w:val="0"/>
                <w:color w:val="000000"/>
                <w:sz w:val="24"/>
                <w:szCs w:val="24"/>
                <w:u w:val="none"/>
              </w:rPr>
            </w:pPr>
          </w:p>
        </w:tc>
        <w:tc>
          <w:tcPr>
            <w:tcW w:w="900" w:type="pct"/>
            <w:tcBorders>
              <w:top w:val="single" w:color="000000" w:sz="4" w:space="0"/>
              <w:left w:val="single" w:color="000000" w:sz="4" w:space="0"/>
              <w:bottom w:val="single" w:color="000000" w:sz="4" w:space="0"/>
              <w:right w:val="single" w:color="000000" w:sz="4" w:space="0"/>
            </w:tcBorders>
            <w:noWrap/>
            <w:vAlign w:val="center"/>
          </w:tcPr>
          <w:p w14:paraId="3706E24E">
            <w:pPr>
              <w:ind w:left="0" w:leftChars="0" w:firstLine="0" w:firstLineChars="0"/>
              <w:jc w:val="center"/>
              <w:rPr>
                <w:rFonts w:hint="default" w:ascii="宋体" w:hAnsi="宋体" w:eastAsia="宋体" w:cs="宋体"/>
                <w:color w:val="auto"/>
                <w:sz w:val="24"/>
                <w:szCs w:val="24"/>
                <w:lang w:eastAsia="zh-CN"/>
              </w:rPr>
            </w:pPr>
            <w:r>
              <w:rPr>
                <w:rFonts w:hint="default" w:ascii="宋体" w:hAnsi="宋体" w:cs="宋体"/>
                <w:color w:val="auto"/>
                <w:sz w:val="24"/>
                <w:szCs w:val="24"/>
                <w:lang w:eastAsia="zh-CN"/>
              </w:rPr>
              <w:t>静电地板</w:t>
            </w:r>
          </w:p>
        </w:tc>
        <w:tc>
          <w:tcPr>
            <w:tcW w:w="6651" w:type="dxa"/>
            <w:tcBorders>
              <w:top w:val="single" w:color="000000" w:sz="4" w:space="0"/>
              <w:left w:val="single" w:color="000000" w:sz="4" w:space="0"/>
              <w:bottom w:val="single" w:color="000000" w:sz="4" w:space="0"/>
              <w:right w:val="single" w:color="000000" w:sz="4" w:space="0"/>
            </w:tcBorders>
            <w:noWrap w:val="0"/>
            <w:vAlign w:val="center"/>
          </w:tcPr>
          <w:p w14:paraId="76F6E4FA">
            <w:pPr>
              <w:ind w:left="0" w:leftChars="0" w:firstLine="0" w:firstLineChars="0"/>
              <w:rPr>
                <w:rFonts w:hint="default" w:ascii="宋体" w:hAnsi="宋体" w:cs="宋体"/>
                <w:i w:val="0"/>
                <w:iCs w:val="0"/>
                <w:color w:val="auto"/>
                <w:sz w:val="24"/>
                <w:szCs w:val="24"/>
                <w:u w:val="none"/>
              </w:rPr>
            </w:pPr>
            <w:r>
              <w:rPr>
                <w:rFonts w:hint="eastAsia" w:ascii="宋体" w:hAnsi="宋体" w:cs="宋体"/>
                <w:color w:val="auto"/>
                <w:sz w:val="21"/>
                <w:szCs w:val="21"/>
                <w:lang w:val="zh-CN" w:eastAsia="zh-CN"/>
              </w:rPr>
              <w:t>≥</w:t>
            </w:r>
            <w:r>
              <w:rPr>
                <w:rFonts w:hint="eastAsia" w:ascii="宋体" w:hAnsi="宋体" w:eastAsia="宋体" w:cs="宋体"/>
                <w:color w:val="auto"/>
                <w:sz w:val="21"/>
                <w:szCs w:val="21"/>
                <w:lang w:val="en-US" w:eastAsia="zh-CN"/>
              </w:rPr>
              <w:t>600*600*30mm</w:t>
            </w:r>
            <w:r>
              <w:rPr>
                <w:rFonts w:hint="eastAsia" w:ascii="宋体" w:hAnsi="宋体" w:eastAsia="宋体" w:cs="宋体"/>
                <w:color w:val="auto"/>
                <w:sz w:val="21"/>
                <w:szCs w:val="21"/>
                <w:lang w:val="zh-CN" w:eastAsia="zh-CN"/>
              </w:rPr>
              <w:t>瓷砖面静电地板，含施工安装</w:t>
            </w:r>
          </w:p>
        </w:tc>
      </w:tr>
      <w:tr w14:paraId="741C3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25" w:type="pct"/>
            <w:tcBorders>
              <w:top w:val="single" w:color="000000" w:sz="4" w:space="0"/>
              <w:left w:val="single" w:color="000000" w:sz="4" w:space="0"/>
              <w:bottom w:val="single" w:color="000000" w:sz="4" w:space="0"/>
              <w:right w:val="single" w:color="000000" w:sz="4" w:space="0"/>
            </w:tcBorders>
            <w:noWrap/>
            <w:vAlign w:val="center"/>
          </w:tcPr>
          <w:p w14:paraId="49523774">
            <w:pPr>
              <w:jc w:val="center"/>
              <w:rPr>
                <w:rFonts w:hint="eastAsia" w:ascii="宋体" w:hAnsi="宋体" w:eastAsia="宋体" w:cs="宋体"/>
                <w:i w:val="0"/>
                <w:iCs w:val="0"/>
                <w:color w:val="000000"/>
                <w:sz w:val="24"/>
                <w:szCs w:val="24"/>
                <w:u w:val="none"/>
              </w:rPr>
            </w:pPr>
          </w:p>
        </w:tc>
        <w:tc>
          <w:tcPr>
            <w:tcW w:w="900" w:type="pct"/>
            <w:tcBorders>
              <w:top w:val="single" w:color="000000" w:sz="4" w:space="0"/>
              <w:left w:val="single" w:color="000000" w:sz="4" w:space="0"/>
              <w:bottom w:val="single" w:color="000000" w:sz="4" w:space="0"/>
              <w:right w:val="single" w:color="000000" w:sz="4" w:space="0"/>
            </w:tcBorders>
            <w:noWrap/>
            <w:vAlign w:val="center"/>
          </w:tcPr>
          <w:p w14:paraId="3D600A06">
            <w:pPr>
              <w:ind w:left="0" w:leftChars="0" w:firstLine="0" w:firstLineChars="0"/>
              <w:jc w:val="center"/>
              <w:rPr>
                <w:rFonts w:hint="default" w:ascii="宋体" w:hAnsi="宋体" w:eastAsia="宋体" w:cs="宋体"/>
                <w:color w:val="auto"/>
                <w:sz w:val="24"/>
                <w:szCs w:val="24"/>
                <w:lang w:eastAsia="zh-CN"/>
              </w:rPr>
            </w:pPr>
            <w:r>
              <w:rPr>
                <w:rFonts w:hint="default" w:ascii="宋体" w:hAnsi="宋体" w:cs="宋体"/>
                <w:color w:val="auto"/>
                <w:sz w:val="24"/>
                <w:szCs w:val="24"/>
                <w:lang w:eastAsia="zh-CN"/>
              </w:rPr>
              <w:t>网络机柜</w:t>
            </w:r>
          </w:p>
        </w:tc>
        <w:tc>
          <w:tcPr>
            <w:tcW w:w="6651" w:type="dxa"/>
            <w:tcBorders>
              <w:top w:val="single" w:color="000000" w:sz="4" w:space="0"/>
              <w:left w:val="single" w:color="000000" w:sz="4" w:space="0"/>
              <w:bottom w:val="single" w:color="000000" w:sz="4" w:space="0"/>
              <w:right w:val="single" w:color="000000" w:sz="4" w:space="0"/>
            </w:tcBorders>
            <w:noWrap w:val="0"/>
            <w:vAlign w:val="center"/>
          </w:tcPr>
          <w:p w14:paraId="53DCA212">
            <w:pPr>
              <w:ind w:left="0" w:leftChars="0"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22U标准网络机柜</w:t>
            </w:r>
            <w:r>
              <w:rPr>
                <w:rFonts w:hint="eastAsia" w:ascii="宋体" w:hAnsi="宋体" w:cs="宋体"/>
                <w:color w:val="auto"/>
                <w:sz w:val="21"/>
                <w:szCs w:val="21"/>
                <w:lang w:val="zh-CN" w:eastAsia="zh-CN"/>
              </w:rPr>
              <w:t>≥</w:t>
            </w:r>
            <w:r>
              <w:rPr>
                <w:rFonts w:hint="eastAsia" w:ascii="宋体" w:hAnsi="宋体" w:eastAsia="宋体" w:cs="宋体"/>
                <w:color w:val="auto"/>
                <w:sz w:val="24"/>
                <w:szCs w:val="24"/>
                <w:lang w:val="en-US" w:eastAsia="zh-CN"/>
              </w:rPr>
              <w:t>600</w:t>
            </w:r>
            <w:r>
              <w:rPr>
                <w:rFonts w:hint="eastAsia" w:ascii="宋体" w:hAnsi="宋体" w:cs="宋体"/>
                <w:color w:val="auto"/>
                <w:sz w:val="24"/>
                <w:szCs w:val="24"/>
                <w:lang w:val="en-US" w:eastAsia="zh-CN"/>
              </w:rPr>
              <w:t>mm</w:t>
            </w:r>
            <w:r>
              <w:rPr>
                <w:rFonts w:hint="eastAsia" w:ascii="宋体" w:hAnsi="宋体" w:eastAsia="宋体" w:cs="宋体"/>
                <w:color w:val="auto"/>
                <w:sz w:val="24"/>
                <w:szCs w:val="24"/>
                <w:lang w:val="en-US" w:eastAsia="zh-CN"/>
              </w:rPr>
              <w:t>*600</w:t>
            </w:r>
            <w:r>
              <w:rPr>
                <w:rFonts w:hint="eastAsia" w:ascii="宋体" w:hAnsi="宋体" w:cs="宋体"/>
                <w:color w:val="auto"/>
                <w:sz w:val="24"/>
                <w:szCs w:val="24"/>
                <w:lang w:val="en-US" w:eastAsia="zh-CN"/>
              </w:rPr>
              <w:t>mm</w:t>
            </w:r>
            <w:r>
              <w:rPr>
                <w:rFonts w:hint="eastAsia" w:ascii="宋体" w:hAnsi="宋体" w:eastAsia="宋体" w:cs="宋体"/>
                <w:color w:val="auto"/>
                <w:sz w:val="24"/>
                <w:szCs w:val="24"/>
                <w:lang w:val="en-US" w:eastAsia="zh-CN"/>
              </w:rPr>
              <w:t>*1200</w:t>
            </w:r>
            <w:r>
              <w:rPr>
                <w:rFonts w:hint="eastAsia" w:ascii="宋体" w:hAnsi="宋体" w:cs="宋体"/>
                <w:color w:val="auto"/>
                <w:sz w:val="24"/>
                <w:szCs w:val="24"/>
                <w:lang w:val="en-US" w:eastAsia="zh-CN"/>
              </w:rPr>
              <w:t>mm</w:t>
            </w:r>
            <w:r>
              <w:rPr>
                <w:rFonts w:hint="eastAsia" w:ascii="宋体" w:hAnsi="宋体" w:eastAsia="宋体" w:cs="宋体"/>
                <w:color w:val="auto"/>
                <w:sz w:val="24"/>
                <w:szCs w:val="24"/>
                <w:lang w:val="en-US" w:eastAsia="zh-CN"/>
              </w:rPr>
              <w:t>。</w:t>
            </w:r>
          </w:p>
        </w:tc>
      </w:tr>
    </w:tbl>
    <w:p w14:paraId="6B02712F">
      <w:pPr>
        <w:pStyle w:val="2"/>
        <w:ind w:firstLine="602"/>
        <w:rPr>
          <w:rFonts w:hint="eastAsia" w:eastAsia="宋体"/>
          <w:lang w:eastAsia="zh-CN"/>
        </w:rPr>
      </w:pPr>
      <w:r>
        <w:rPr>
          <w:rFonts w:hint="eastAsia"/>
          <w:sz w:val="30"/>
          <w:szCs w:val="30"/>
          <w:lang w:eastAsia="zh-CN"/>
        </w:rPr>
        <w:t>（四）</w:t>
      </w:r>
      <w:r>
        <w:rPr>
          <w:rFonts w:hint="eastAsia"/>
          <w:sz w:val="30"/>
          <w:szCs w:val="30"/>
        </w:rPr>
        <w:t>商务要求</w:t>
      </w:r>
      <w:bookmarkEnd w:id="11"/>
    </w:p>
    <w:bookmarkEnd w:id="12"/>
    <w:p w14:paraId="3C0D999A">
      <w:pPr>
        <w:pStyle w:val="9"/>
        <w:keepNext/>
        <w:keepLines w:val="0"/>
        <w:pageBreakBefore w:val="0"/>
        <w:widowControl/>
        <w:kinsoku/>
        <w:wordWrap w:val="0"/>
        <w:overflowPunct/>
        <w:topLinePunct/>
        <w:autoSpaceDE/>
        <w:autoSpaceDN/>
        <w:bidi w:val="0"/>
        <w:adjustRightInd w:val="0"/>
        <w:snapToGrid w:val="0"/>
        <w:spacing w:line="360" w:lineRule="auto"/>
        <w:ind w:firstLine="480" w:firstLineChars="200"/>
        <w:rPr>
          <w:rFonts w:hint="eastAsia"/>
          <w:color w:val="000000"/>
          <w:lang w:val="en-US" w:eastAsia="zh-CN"/>
        </w:rPr>
      </w:pPr>
      <w:bookmarkStart w:id="13" w:name="_Toc8660"/>
      <w:bookmarkStart w:id="14" w:name="_Toc1458937"/>
      <w:r>
        <w:rPr>
          <w:rFonts w:hint="eastAsia" w:ascii="Calibri" w:hAnsi="Calibri" w:eastAsia="宋体" w:cs="Times New Roman"/>
          <w:color w:val="auto"/>
          <w:kern w:val="2"/>
          <w:sz w:val="24"/>
          <w:szCs w:val="24"/>
          <w:lang w:val="en-US" w:eastAsia="zh-CN" w:bidi="ar-SA"/>
        </w:rPr>
        <w:t>1.合同履行期限：</w:t>
      </w:r>
      <w:r>
        <w:rPr>
          <w:rFonts w:hint="eastAsia" w:eastAsia="宋体"/>
          <w:color w:val="auto"/>
          <w:sz w:val="24"/>
          <w:lang w:val="en-US" w:eastAsia="zh-CN"/>
        </w:rPr>
        <w:t>合同签订之日起</w:t>
      </w:r>
      <w:r>
        <w:rPr>
          <w:rFonts w:hint="eastAsia"/>
          <w:color w:val="auto"/>
          <w:sz w:val="24"/>
          <w:lang w:val="en-US" w:eastAsia="zh-CN"/>
        </w:rPr>
        <w:t>45</w:t>
      </w:r>
      <w:r>
        <w:rPr>
          <w:rFonts w:hint="eastAsia" w:eastAsia="宋体"/>
          <w:color w:val="auto"/>
          <w:sz w:val="24"/>
          <w:lang w:val="en-US" w:eastAsia="zh-CN"/>
        </w:rPr>
        <w:t>天</w:t>
      </w:r>
      <w:r>
        <w:rPr>
          <w:rFonts w:hint="eastAsia"/>
          <w:color w:val="auto"/>
          <w:sz w:val="24"/>
          <w:lang w:val="en-US" w:eastAsia="zh-CN"/>
        </w:rPr>
        <w:t>内完成供货及安装、调试，从验收合格之日起3年质保</w:t>
      </w:r>
      <w:r>
        <w:rPr>
          <w:rFonts w:hint="eastAsia" w:eastAsia="宋体"/>
          <w:color w:val="auto"/>
          <w:sz w:val="24"/>
          <w:lang w:val="en-US" w:eastAsia="zh-CN"/>
        </w:rPr>
        <w:t>。</w:t>
      </w:r>
    </w:p>
    <w:p w14:paraId="6AE8AF23">
      <w:pPr>
        <w:pStyle w:val="9"/>
        <w:keepNext/>
        <w:keepLines w:val="0"/>
        <w:pageBreakBefore w:val="0"/>
        <w:widowControl/>
        <w:kinsoku/>
        <w:wordWrap w:val="0"/>
        <w:overflowPunct/>
        <w:topLinePunct/>
        <w:autoSpaceDE/>
        <w:autoSpaceDN/>
        <w:bidi w:val="0"/>
        <w:adjustRightInd w:val="0"/>
        <w:snapToGrid w:val="0"/>
        <w:spacing w:line="360" w:lineRule="auto"/>
        <w:ind w:firstLine="480" w:firstLineChars="200"/>
        <w:rPr>
          <w:rFonts w:hint="eastAsia" w:ascii="Calibri" w:hAnsi="Calibri" w:eastAsia="宋体" w:cs="Times New Roman"/>
          <w:color w:val="auto"/>
          <w:kern w:val="2"/>
          <w:sz w:val="24"/>
          <w:szCs w:val="24"/>
          <w:lang w:val="en-US" w:eastAsia="zh-CN" w:bidi="ar-SA"/>
        </w:rPr>
      </w:pPr>
      <w:r>
        <w:rPr>
          <w:rFonts w:hint="eastAsia" w:ascii="Calibri" w:hAnsi="Calibri" w:eastAsia="宋体" w:cs="Times New Roman"/>
          <w:color w:val="auto"/>
          <w:kern w:val="2"/>
          <w:sz w:val="24"/>
          <w:szCs w:val="24"/>
          <w:lang w:val="en-US" w:eastAsia="zh-CN" w:bidi="ar-SA"/>
        </w:rPr>
        <w:t>2.报价要求：</w:t>
      </w:r>
    </w:p>
    <w:p w14:paraId="31F5B0D9">
      <w:pPr>
        <w:pStyle w:val="9"/>
        <w:keepNext/>
        <w:keepLines w:val="0"/>
        <w:pageBreakBefore w:val="0"/>
        <w:widowControl/>
        <w:kinsoku/>
        <w:wordWrap w:val="0"/>
        <w:overflowPunct/>
        <w:topLinePunct/>
        <w:autoSpaceDE/>
        <w:autoSpaceDN/>
        <w:bidi w:val="0"/>
        <w:adjustRightInd w:val="0"/>
        <w:snapToGrid w:val="0"/>
        <w:spacing w:line="360" w:lineRule="auto"/>
        <w:ind w:firstLine="480" w:firstLineChars="200"/>
        <w:rPr>
          <w:rFonts w:hint="eastAsia" w:ascii="Calibri" w:hAnsi="Calibri" w:eastAsia="宋体" w:cs="Times New Roman"/>
          <w:color w:val="auto"/>
          <w:kern w:val="2"/>
          <w:sz w:val="24"/>
          <w:szCs w:val="24"/>
          <w:lang w:val="zh-CN" w:eastAsia="zh-CN" w:bidi="ar-SA"/>
        </w:rPr>
      </w:pPr>
      <w:r>
        <w:rPr>
          <w:rFonts w:hint="eastAsia" w:ascii="Calibri" w:hAnsi="Calibri" w:eastAsia="宋体" w:cs="Times New Roman"/>
          <w:color w:val="auto"/>
          <w:kern w:val="2"/>
          <w:sz w:val="24"/>
          <w:szCs w:val="24"/>
          <w:lang w:val="zh-CN" w:eastAsia="zh-CN" w:bidi="ar-SA"/>
        </w:rPr>
        <w:t>投标人的报价应包含为完成本招标文件提出的货物或服务等全部相关工作所有可能发生的费用，即投标总报价为“交钥匙”价。对在合同实施过程中可能发生的其他费用，采购人概不负责。</w:t>
      </w:r>
    </w:p>
    <w:p w14:paraId="587B11E9">
      <w:pPr>
        <w:pStyle w:val="9"/>
        <w:keepNext/>
        <w:keepLines w:val="0"/>
        <w:pageBreakBefore w:val="0"/>
        <w:widowControl/>
        <w:kinsoku/>
        <w:wordWrap w:val="0"/>
        <w:overflowPunct/>
        <w:topLinePunct/>
        <w:autoSpaceDE/>
        <w:autoSpaceDN/>
        <w:bidi w:val="0"/>
        <w:adjustRightInd w:val="0"/>
        <w:snapToGrid w:val="0"/>
        <w:spacing w:line="360" w:lineRule="auto"/>
        <w:ind w:firstLine="480" w:firstLineChars="200"/>
        <w:rPr>
          <w:rFonts w:hint="eastAsia" w:ascii="Calibri" w:hAnsi="Calibri" w:eastAsia="宋体" w:cs="Times New Roman"/>
          <w:color w:val="auto"/>
          <w:kern w:val="2"/>
          <w:sz w:val="24"/>
          <w:szCs w:val="24"/>
          <w:lang w:val="zh-CN" w:eastAsia="zh-CN" w:bidi="ar-SA"/>
        </w:rPr>
      </w:pPr>
      <w:r>
        <w:rPr>
          <w:rFonts w:hint="eastAsia" w:ascii="Calibri" w:hAnsi="Calibri" w:eastAsia="宋体" w:cs="Times New Roman"/>
          <w:color w:val="auto"/>
          <w:kern w:val="2"/>
          <w:sz w:val="24"/>
          <w:szCs w:val="24"/>
          <w:lang w:val="zh-CN" w:eastAsia="zh-CN" w:bidi="ar-SA"/>
        </w:rPr>
        <w:t>对本文件未列明，而投标人认为必需的费用也需列入投标总报价。在合同实施时，采购人将不予支付中标人没有列入的项目费用，并认为此项目的费用已包含在投标总报价中。</w:t>
      </w:r>
    </w:p>
    <w:p w14:paraId="0D2AF511">
      <w:pPr>
        <w:pStyle w:val="9"/>
        <w:keepNext/>
        <w:keepLines w:val="0"/>
        <w:pageBreakBefore w:val="0"/>
        <w:widowControl/>
        <w:kinsoku/>
        <w:wordWrap w:val="0"/>
        <w:overflowPunct/>
        <w:topLinePunct/>
        <w:autoSpaceDE/>
        <w:autoSpaceDN/>
        <w:bidi w:val="0"/>
        <w:adjustRightInd w:val="0"/>
        <w:snapToGrid w:val="0"/>
        <w:spacing w:line="360" w:lineRule="auto"/>
        <w:ind w:firstLine="480" w:firstLineChars="200"/>
        <w:rPr>
          <w:rFonts w:hint="eastAsia" w:ascii="Calibri" w:hAnsi="Calibri" w:eastAsia="宋体" w:cs="Times New Roman"/>
          <w:color w:val="auto"/>
          <w:kern w:val="2"/>
          <w:sz w:val="24"/>
          <w:szCs w:val="24"/>
          <w:lang w:val="en-US" w:eastAsia="zh-CN" w:bidi="ar-SA"/>
        </w:rPr>
      </w:pPr>
      <w:r>
        <w:rPr>
          <w:rFonts w:hint="eastAsia" w:ascii="Calibri" w:hAnsi="Calibri" w:eastAsia="宋体" w:cs="Times New Roman"/>
          <w:color w:val="auto"/>
          <w:kern w:val="2"/>
          <w:sz w:val="24"/>
          <w:szCs w:val="24"/>
          <w:lang w:val="en-US" w:eastAsia="zh-CN" w:bidi="ar-SA"/>
        </w:rPr>
        <w:t>3.付款要求：收到货物且安装调试验收合格后，中标供应商按照采购人的需要完成技术培训后，采购人收到中标供应商开具本项目合同全额增值税发票，按合同金额100%办理支付。</w:t>
      </w:r>
    </w:p>
    <w:p w14:paraId="5D5C3BEF">
      <w:pPr>
        <w:widowControl w:val="0"/>
        <w:spacing w:line="240" w:lineRule="auto"/>
        <w:ind w:firstLine="480" w:firstLineChars="200"/>
        <w:jc w:val="both"/>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4.</w:t>
      </w:r>
      <w:r>
        <w:rPr>
          <w:rFonts w:hint="eastAsia" w:ascii="宋体" w:hAnsi="宋体" w:eastAsia="宋体" w:cs="宋体"/>
          <w:color w:val="000000"/>
          <w:sz w:val="24"/>
          <w:szCs w:val="24"/>
          <w:lang w:val="en-US" w:eastAsia="zh-CN"/>
        </w:rPr>
        <w:t>投标人提供近三年（20</w:t>
      </w:r>
      <w:r>
        <w:rPr>
          <w:rFonts w:hint="eastAsia" w:ascii="宋体" w:hAnsi="宋体" w:cs="宋体"/>
          <w:color w:val="000000"/>
          <w:sz w:val="24"/>
          <w:szCs w:val="24"/>
          <w:lang w:val="en-US" w:eastAsia="zh-CN"/>
        </w:rPr>
        <w:t>23</w:t>
      </w:r>
      <w:r>
        <w:rPr>
          <w:rFonts w:hint="eastAsia" w:ascii="宋体" w:hAnsi="宋体" w:eastAsia="宋体" w:cs="宋体"/>
          <w:color w:val="000000"/>
          <w:sz w:val="24"/>
          <w:szCs w:val="24"/>
          <w:lang w:val="en-US" w:eastAsia="zh-CN"/>
        </w:rPr>
        <w:t>年4月至投标文件递交截止时间，以合同签订时间为准）承接过类似项目业绩</w:t>
      </w:r>
    </w:p>
    <w:p w14:paraId="50345CC2">
      <w:pPr>
        <w:widowControl w:val="0"/>
        <w:spacing w:line="240" w:lineRule="auto"/>
        <w:ind w:firstLine="480" w:firstLineChars="200"/>
        <w:jc w:val="both"/>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5.</w:t>
      </w:r>
      <w:r>
        <w:rPr>
          <w:rFonts w:hint="eastAsia" w:ascii="宋体" w:hAnsi="宋体" w:eastAsia="宋体" w:cs="宋体"/>
          <w:color w:val="000000"/>
          <w:sz w:val="24"/>
          <w:szCs w:val="24"/>
          <w:lang w:val="en-US" w:eastAsia="zh-CN"/>
        </w:rPr>
        <w:t>投标人拟派技术人员具备教育行政部门主办的汽修技能高考培训经验</w:t>
      </w:r>
    </w:p>
    <w:p w14:paraId="12649017">
      <w:pPr>
        <w:widowControl w:val="0"/>
        <w:spacing w:line="240" w:lineRule="auto"/>
        <w:ind w:firstLine="480" w:firstLineChars="200"/>
        <w:jc w:val="both"/>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6.</w:t>
      </w:r>
      <w:r>
        <w:rPr>
          <w:rFonts w:hint="eastAsia" w:ascii="宋体" w:hAnsi="宋体" w:eastAsia="宋体" w:cs="宋体"/>
          <w:color w:val="000000"/>
          <w:sz w:val="24"/>
          <w:szCs w:val="24"/>
          <w:lang w:val="en-US" w:eastAsia="zh-CN"/>
        </w:rPr>
        <w:t>投标人需提供汽修技能高考虚拟仿真和课程软件著作权登记证书</w:t>
      </w:r>
    </w:p>
    <w:p w14:paraId="6054F12F">
      <w:pPr>
        <w:pStyle w:val="8"/>
        <w:ind w:left="0" w:leftChars="0" w:firstLine="480" w:firstLineChars="200"/>
        <w:rPr>
          <w:rFonts w:hint="eastAsia" w:ascii="宋体" w:hAnsi="宋体" w:eastAsia="宋体" w:cs="宋体"/>
          <w:color w:val="000000"/>
          <w:kern w:val="2"/>
          <w:sz w:val="24"/>
          <w:szCs w:val="24"/>
          <w:lang w:val="en-US" w:eastAsia="zh-CN" w:bidi="ar-SA"/>
        </w:rPr>
      </w:pPr>
      <w:r>
        <w:rPr>
          <w:rFonts w:hint="eastAsia" w:ascii="宋体" w:hAnsi="宋体" w:cs="宋体"/>
          <w:color w:val="000000"/>
          <w:kern w:val="2"/>
          <w:sz w:val="24"/>
          <w:szCs w:val="24"/>
          <w:lang w:val="en-US" w:eastAsia="zh-CN" w:bidi="ar-SA"/>
        </w:rPr>
        <w:t>7.</w:t>
      </w:r>
      <w:r>
        <w:rPr>
          <w:rFonts w:hint="eastAsia" w:ascii="宋体" w:hAnsi="宋体" w:eastAsia="宋体" w:cs="宋体"/>
          <w:color w:val="000000"/>
          <w:kern w:val="2"/>
          <w:sz w:val="24"/>
          <w:szCs w:val="24"/>
          <w:lang w:val="en-US" w:eastAsia="zh-CN" w:bidi="ar-SA"/>
        </w:rPr>
        <w:t>投标人提供质量控制和安全文明措施，内容包含但不限于：</w:t>
      </w:r>
    </w:p>
    <w:p w14:paraId="24CE2860">
      <w:pPr>
        <w:pStyle w:val="8"/>
        <w:ind w:left="0" w:leftChars="0" w:firstLine="0" w:firstLineChars="0"/>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（1）提供完整的质量保证体系文件（含组织架构、岗位职责、质量控制流程）；</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（2）关键控制措施（如原材料检验、过程检验、成品检验）均有明确的操作标准及责任人；</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（3）安全措施涵盖用电、消防、施工、数据安全等，并有应急预案；文明施工方案包含人员管理、场地管理、噪音及垃圾处理等具体措施。</w:t>
      </w:r>
      <w:r>
        <w:rPr>
          <w:rFonts w:hint="eastAsia" w:ascii="宋体" w:hAnsi="宋体" w:eastAsia="宋体" w:cs="宋体"/>
          <w:color w:val="000000"/>
          <w:kern w:val="2"/>
          <w:sz w:val="24"/>
          <w:szCs w:val="24"/>
          <w:lang w:val="en-US" w:eastAsia="zh-CN" w:bidi="ar-SA"/>
        </w:rPr>
        <w:br w:type="textWrapping"/>
      </w:r>
      <w:r>
        <w:rPr>
          <w:rFonts w:hint="eastAsia" w:ascii="宋体" w:hAnsi="宋体" w:cs="宋体"/>
          <w:color w:val="000000"/>
          <w:kern w:val="2"/>
          <w:sz w:val="24"/>
          <w:szCs w:val="24"/>
          <w:lang w:val="en-US" w:eastAsia="zh-CN" w:bidi="ar-SA"/>
        </w:rPr>
        <w:t xml:space="preserve">   8.</w:t>
      </w:r>
      <w:r>
        <w:rPr>
          <w:rFonts w:hint="eastAsia" w:ascii="宋体" w:hAnsi="宋体" w:eastAsia="宋体" w:cs="宋体"/>
          <w:color w:val="000000"/>
          <w:kern w:val="2"/>
          <w:sz w:val="24"/>
          <w:szCs w:val="24"/>
          <w:lang w:val="en-US" w:eastAsia="zh-CN" w:bidi="ar-SA"/>
        </w:rPr>
        <w:t>投标人提供工期及进度计划方案，内容包含但不限于：</w:t>
      </w:r>
    </w:p>
    <w:p w14:paraId="227B4578">
      <w:pPr>
        <w:pStyle w:val="8"/>
        <w:ind w:left="0" w:leftChars="0" w:firstLine="0" w:firstLineChars="0"/>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（1）承诺工期完全满足招标文件要求并提供详细的进度计划表（以日历天为单位，含各阶段起止时间）；</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（2）进度计划与工期安排完全衔接对应（如：第X天完成XX工作，累计XX天）；保障措施具体可行（如：人员配置、物资储备、应急预案等）。</w:t>
      </w:r>
    </w:p>
    <w:p w14:paraId="42EBFFCB">
      <w:pPr>
        <w:pStyle w:val="8"/>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9.</w:t>
      </w:r>
      <w:r>
        <w:rPr>
          <w:rFonts w:hint="eastAsia" w:ascii="宋体" w:hAnsi="宋体" w:eastAsia="宋体" w:cs="宋体"/>
          <w:kern w:val="2"/>
          <w:sz w:val="24"/>
          <w:szCs w:val="24"/>
          <w:lang w:val="en-US" w:eastAsia="zh-CN" w:bidi="ar-SA"/>
        </w:rPr>
        <w:t>投标人提供的售后服务方案，方案包含但不限于：</w:t>
      </w:r>
    </w:p>
    <w:p w14:paraId="62FA76F3">
      <w:pPr>
        <w:pStyle w:val="8"/>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（1）针对学校实训室的培训计划</w:t>
      </w:r>
      <w:r>
        <w:rPr>
          <w:rFonts w:hint="eastAsia" w:ascii="宋体" w:hAnsi="宋体" w:cs="宋体"/>
          <w:kern w:val="2"/>
          <w:sz w:val="24"/>
          <w:szCs w:val="24"/>
          <w:lang w:val="en-US" w:eastAsia="zh-CN" w:bidi="ar-SA"/>
        </w:rPr>
        <w:t>；故障</w:t>
      </w:r>
      <w:r>
        <w:rPr>
          <w:rFonts w:hint="eastAsia" w:ascii="宋体" w:hAnsi="宋体" w:eastAsia="宋体" w:cs="宋体"/>
          <w:kern w:val="2"/>
          <w:sz w:val="24"/>
          <w:szCs w:val="24"/>
          <w:lang w:val="en-US" w:eastAsia="zh-CN" w:bidi="ar-SA"/>
        </w:rPr>
        <w:t>及时响应保障，接到故障通知后到达时间、处理</w:t>
      </w:r>
      <w:r>
        <w:rPr>
          <w:rFonts w:hint="eastAsia" w:ascii="宋体" w:hAnsi="宋体" w:cs="宋体"/>
          <w:kern w:val="2"/>
          <w:sz w:val="24"/>
          <w:szCs w:val="24"/>
          <w:lang w:val="en-US" w:eastAsia="zh-CN" w:bidi="ar-SA"/>
        </w:rPr>
        <w:t>各类</w:t>
      </w:r>
      <w:r>
        <w:rPr>
          <w:rFonts w:hint="eastAsia" w:ascii="宋体" w:hAnsi="宋体" w:eastAsia="宋体" w:cs="宋体"/>
          <w:kern w:val="2"/>
          <w:sz w:val="24"/>
          <w:szCs w:val="24"/>
          <w:lang w:val="en-US" w:eastAsia="zh-CN" w:bidi="ar-SA"/>
        </w:rPr>
        <w:t>故障时间；</w:t>
      </w:r>
    </w:p>
    <w:p w14:paraId="1A0F7DBA">
      <w:pPr>
        <w:pStyle w:val="8"/>
        <w:ind w:left="0" w:leftChars="0" w:firstLine="0" w:firstLineChars="0"/>
        <w:rPr>
          <w:rFonts w:hint="eastAsia" w:ascii="宋体" w:hAnsi="宋体" w:eastAsia="宋体" w:cs="宋体"/>
          <w:color w:val="000000"/>
          <w:kern w:val="2"/>
          <w:sz w:val="24"/>
          <w:szCs w:val="24"/>
          <w:lang w:val="en-US" w:eastAsia="zh-CN" w:bidi="ar-SA"/>
        </w:rPr>
      </w:pPr>
      <w:r>
        <w:rPr>
          <w:rFonts w:hint="eastAsia" w:ascii="宋体" w:hAnsi="宋体" w:eastAsia="宋体" w:cs="宋体"/>
          <w:kern w:val="2"/>
          <w:sz w:val="24"/>
          <w:szCs w:val="24"/>
          <w:lang w:val="en-US" w:eastAsia="zh-CN" w:bidi="ar-SA"/>
        </w:rPr>
        <w:t>（2）售后服务专业技术人员技术保障，备品备件的供应，定期回访机制。</w:t>
      </w:r>
    </w:p>
    <w:p w14:paraId="2D34D477">
      <w:pPr>
        <w:pStyle w:val="8"/>
        <w:ind w:left="0" w:leftChars="0" w:firstLine="240" w:firstLineChars="100"/>
        <w:rPr>
          <w:rFonts w:hint="eastAsia"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10.</w:t>
      </w:r>
      <w:r>
        <w:rPr>
          <w:rFonts w:hint="eastAsia" w:ascii="宋体" w:hAnsi="宋体" w:eastAsia="宋体" w:cs="宋体"/>
          <w:kern w:val="2"/>
          <w:sz w:val="24"/>
          <w:szCs w:val="24"/>
          <w:lang w:val="en-US" w:eastAsia="zh-CN" w:bidi="ar-SA"/>
        </w:rPr>
        <w:t>投标人提供的</w:t>
      </w:r>
      <w:r>
        <w:rPr>
          <w:rFonts w:hint="eastAsia" w:ascii="宋体" w:hAnsi="宋体" w:eastAsia="宋体" w:cs="宋体"/>
          <w:kern w:val="2"/>
          <w:sz w:val="24"/>
          <w:szCs w:val="24"/>
          <w:lang w:val="zh-CN" w:eastAsia="zh-CN" w:bidi="ar-SA"/>
        </w:rPr>
        <w:t>安装、调试及验收方案</w:t>
      </w:r>
      <w:r>
        <w:rPr>
          <w:rFonts w:hint="eastAsia" w:ascii="宋体" w:hAnsi="宋体" w:eastAsia="宋体" w:cs="宋体"/>
          <w:kern w:val="2"/>
          <w:sz w:val="24"/>
          <w:szCs w:val="24"/>
          <w:lang w:val="en-US" w:eastAsia="zh-CN" w:bidi="ar-SA"/>
        </w:rPr>
        <w:t>，方案包含但不限于：</w:t>
      </w:r>
    </w:p>
    <w:p w14:paraId="0D138AD5">
      <w:pPr>
        <w:pStyle w:val="8"/>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（1）针对学校实训室设备的安装布局图、安装布署方案、调试步骤流程；</w:t>
      </w:r>
    </w:p>
    <w:p w14:paraId="4CDBBB16">
      <w:pPr>
        <w:numPr>
          <w:ilvl w:val="0"/>
          <w:numId w:val="0"/>
        </w:numPr>
        <w:rPr>
          <w:rFonts w:hint="eastAsia" w:ascii="宋体" w:hAnsi="宋体"/>
          <w:color w:val="auto"/>
          <w:sz w:val="24"/>
          <w:szCs w:val="24"/>
          <w:lang w:eastAsia="zh-CN"/>
        </w:rPr>
      </w:pPr>
      <w:r>
        <w:rPr>
          <w:rFonts w:hint="eastAsia" w:ascii="宋体" w:hAnsi="宋体" w:eastAsia="宋体" w:cs="宋体"/>
          <w:kern w:val="2"/>
          <w:sz w:val="24"/>
          <w:szCs w:val="24"/>
          <w:lang w:val="en-US" w:eastAsia="zh-CN" w:bidi="ar-SA"/>
        </w:rPr>
        <w:t>（2）建议的验收方法或方案，流程可操作，有明确的验收量化标准。</w:t>
      </w:r>
    </w:p>
    <w:p w14:paraId="07B3417D">
      <w:pPr>
        <w:rPr>
          <w:rFonts w:hint="eastAsia"/>
          <w:sz w:val="30"/>
          <w:szCs w:val="30"/>
          <w:lang w:eastAsia="zh-CN"/>
        </w:rPr>
      </w:pPr>
      <w:r>
        <w:rPr>
          <w:rFonts w:hint="eastAsia"/>
          <w:sz w:val="30"/>
          <w:szCs w:val="30"/>
          <w:lang w:eastAsia="zh-CN"/>
        </w:rPr>
        <w:br w:type="page"/>
      </w:r>
    </w:p>
    <w:p w14:paraId="6C4CC2D1">
      <w:pPr>
        <w:pStyle w:val="2"/>
        <w:ind w:firstLine="602"/>
        <w:rPr>
          <w:rFonts w:hint="default" w:eastAsia="宋体"/>
          <w:sz w:val="30"/>
          <w:szCs w:val="30"/>
          <w:lang w:val="en-US" w:eastAsia="zh-CN"/>
        </w:rPr>
      </w:pPr>
      <w:r>
        <w:rPr>
          <w:rFonts w:hint="eastAsia"/>
          <w:sz w:val="30"/>
          <w:szCs w:val="30"/>
          <w:lang w:eastAsia="zh-CN"/>
        </w:rPr>
        <w:t>三</w:t>
      </w:r>
      <w:r>
        <w:rPr>
          <w:rFonts w:hint="eastAsia"/>
          <w:sz w:val="30"/>
          <w:szCs w:val="30"/>
        </w:rPr>
        <w:t>、</w:t>
      </w:r>
      <w:r>
        <w:rPr>
          <w:rFonts w:hint="eastAsia"/>
          <w:sz w:val="30"/>
          <w:szCs w:val="30"/>
          <w:lang w:eastAsia="zh-CN"/>
        </w:rPr>
        <w:t>第</w:t>
      </w:r>
      <w:r>
        <w:rPr>
          <w:rFonts w:hint="eastAsia"/>
          <w:sz w:val="30"/>
          <w:szCs w:val="30"/>
          <w:lang w:val="en-US" w:eastAsia="zh-CN"/>
        </w:rPr>
        <w:t>3</w:t>
      </w:r>
      <w:r>
        <w:rPr>
          <w:rFonts w:hint="eastAsia"/>
          <w:sz w:val="30"/>
          <w:szCs w:val="30"/>
          <w:lang w:eastAsia="zh-CN"/>
        </w:rPr>
        <w:t>包：武汉市东西湖职业技术学校数控专业机房建设项目</w:t>
      </w:r>
      <w:r>
        <w:rPr>
          <w:rFonts w:hint="eastAsia"/>
          <w:sz w:val="30"/>
          <w:szCs w:val="30"/>
          <w:lang w:val="en-US" w:eastAsia="zh-CN"/>
        </w:rPr>
        <w:t>63.9万元。</w:t>
      </w:r>
    </w:p>
    <w:p w14:paraId="113FB3F8">
      <w:pPr>
        <w:pStyle w:val="2"/>
        <w:ind w:firstLine="602"/>
        <w:rPr>
          <w:rFonts w:hint="eastAsia"/>
          <w:sz w:val="30"/>
          <w:szCs w:val="30"/>
          <w:lang w:eastAsia="zh-CN"/>
        </w:rPr>
      </w:pPr>
      <w:r>
        <w:rPr>
          <w:rFonts w:hint="eastAsia"/>
          <w:sz w:val="30"/>
          <w:szCs w:val="30"/>
          <w:lang w:eastAsia="zh-CN"/>
        </w:rPr>
        <w:t>（一）项目概况</w:t>
      </w:r>
    </w:p>
    <w:p w14:paraId="67D78AD6">
      <w:pPr>
        <w:numPr>
          <w:ilvl w:val="0"/>
          <w:numId w:val="0"/>
        </w:numPr>
        <w:ind w:leftChars="200" w:firstLine="480" w:firstLineChars="200"/>
        <w:rPr>
          <w:rFonts w:hint="eastAsia" w:ascii="宋体" w:hAnsi="宋体" w:cs="宋体"/>
          <w:sz w:val="24"/>
          <w:szCs w:val="24"/>
          <w:lang w:val="zh-CN"/>
        </w:rPr>
      </w:pPr>
      <w:r>
        <w:rPr>
          <w:rFonts w:hint="eastAsia" w:ascii="宋体" w:hAnsi="宋体" w:cs="宋体"/>
          <w:sz w:val="24"/>
          <w:szCs w:val="24"/>
          <w:lang w:val="zh-CN"/>
        </w:rPr>
        <w:t>数控专业建设一间标准化教学机房，需要购买管理服务器、实训计算机、主控计算机、接入交换机、机柜、多媒体教学应用软件授权、智慧黑板等设备，以及实训室改造等服务，配套双工位桌椅、教师椅、静电地板等设施，满足50名学生同时开展数控专业教学实践活动。</w:t>
      </w:r>
    </w:p>
    <w:p w14:paraId="61839E59">
      <w:pPr>
        <w:pStyle w:val="2"/>
        <w:ind w:firstLine="602"/>
        <w:rPr>
          <w:rFonts w:hint="eastAsia"/>
          <w:sz w:val="30"/>
          <w:szCs w:val="30"/>
          <w:lang w:val="en-US" w:eastAsia="zh-CN"/>
        </w:rPr>
      </w:pPr>
      <w:r>
        <w:rPr>
          <w:rFonts w:hint="eastAsia"/>
          <w:sz w:val="30"/>
          <w:szCs w:val="30"/>
          <w:lang w:eastAsia="zh-CN"/>
        </w:rPr>
        <w:t>（二）采购内容</w:t>
      </w:r>
      <w:r>
        <w:rPr>
          <w:rFonts w:hint="eastAsia"/>
          <w:sz w:val="30"/>
          <w:szCs w:val="30"/>
          <w:lang w:val="en-US" w:eastAsia="zh-CN"/>
        </w:rPr>
        <w:t>清单</w:t>
      </w:r>
    </w:p>
    <w:tbl>
      <w:tblPr>
        <w:tblStyle w:val="2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6"/>
        <w:gridCol w:w="3556"/>
        <w:gridCol w:w="1518"/>
        <w:gridCol w:w="1156"/>
        <w:gridCol w:w="1778"/>
      </w:tblGrid>
      <w:tr w14:paraId="632A7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vAlign w:val="center"/>
          </w:tcPr>
          <w:p w14:paraId="3A22AE1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r>
              <w:rPr>
                <w:rFonts w:hint="eastAsia"/>
                <w:sz w:val="24"/>
                <w:szCs w:val="24"/>
                <w:vertAlign w:val="baseline"/>
                <w:lang w:eastAsia="zh-CN"/>
              </w:rPr>
              <w:t>标的序号</w:t>
            </w:r>
          </w:p>
        </w:tc>
        <w:tc>
          <w:tcPr>
            <w:tcW w:w="1886" w:type="pct"/>
            <w:vAlign w:val="center"/>
          </w:tcPr>
          <w:p w14:paraId="5CD07D2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sz w:val="24"/>
                <w:szCs w:val="24"/>
                <w:vertAlign w:val="baseline"/>
                <w:lang w:val="en-US" w:eastAsia="zh-CN"/>
              </w:rPr>
            </w:pPr>
            <w:r>
              <w:rPr>
                <w:rFonts w:hint="eastAsia"/>
                <w:sz w:val="24"/>
                <w:szCs w:val="24"/>
                <w:vertAlign w:val="baseline"/>
                <w:lang w:eastAsia="zh-CN"/>
              </w:rPr>
              <w:t>标的名称</w:t>
            </w:r>
          </w:p>
        </w:tc>
        <w:tc>
          <w:tcPr>
            <w:tcW w:w="805" w:type="pct"/>
            <w:vAlign w:val="center"/>
          </w:tcPr>
          <w:p w14:paraId="427AFC9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r>
              <w:rPr>
                <w:rFonts w:hint="eastAsia"/>
                <w:sz w:val="24"/>
                <w:szCs w:val="24"/>
                <w:vertAlign w:val="baseline"/>
                <w:lang w:eastAsia="zh-CN"/>
              </w:rPr>
              <w:t>计量</w:t>
            </w:r>
          </w:p>
          <w:p w14:paraId="0C33805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r>
              <w:rPr>
                <w:rFonts w:hint="eastAsia"/>
                <w:sz w:val="24"/>
                <w:szCs w:val="24"/>
                <w:vertAlign w:val="baseline"/>
                <w:lang w:eastAsia="zh-CN"/>
              </w:rPr>
              <w:t>单位</w:t>
            </w:r>
          </w:p>
        </w:tc>
        <w:tc>
          <w:tcPr>
            <w:tcW w:w="613" w:type="pct"/>
            <w:vAlign w:val="center"/>
          </w:tcPr>
          <w:p w14:paraId="1F3262D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r>
              <w:rPr>
                <w:rFonts w:hint="eastAsia"/>
                <w:sz w:val="24"/>
                <w:szCs w:val="24"/>
                <w:vertAlign w:val="baseline"/>
                <w:lang w:eastAsia="zh-CN"/>
              </w:rPr>
              <w:t>数量</w:t>
            </w:r>
          </w:p>
        </w:tc>
        <w:tc>
          <w:tcPr>
            <w:tcW w:w="943" w:type="pct"/>
            <w:vAlign w:val="center"/>
          </w:tcPr>
          <w:p w14:paraId="1209FE4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sz w:val="24"/>
                <w:szCs w:val="24"/>
                <w:vertAlign w:val="baseline"/>
                <w:lang w:val="en-US" w:eastAsia="zh-CN"/>
              </w:rPr>
            </w:pPr>
            <w:r>
              <w:rPr>
                <w:rFonts w:hint="eastAsia"/>
                <w:sz w:val="24"/>
                <w:szCs w:val="24"/>
                <w:vertAlign w:val="baseline"/>
                <w:lang w:eastAsia="zh-CN"/>
              </w:rPr>
              <w:t>要求</w:t>
            </w:r>
            <w:r>
              <w:rPr>
                <w:rFonts w:hint="eastAsia"/>
                <w:sz w:val="24"/>
                <w:szCs w:val="24"/>
                <w:vertAlign w:val="baseline"/>
                <w:lang w:val="en-US" w:eastAsia="zh-CN"/>
              </w:rPr>
              <w:t>/备注</w:t>
            </w:r>
          </w:p>
        </w:tc>
      </w:tr>
      <w:tr w14:paraId="07B10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shd w:val="clear" w:color="auto" w:fill="auto"/>
            <w:vAlign w:val="center"/>
          </w:tcPr>
          <w:p w14:paraId="26A9B4BB">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1</w:t>
            </w:r>
          </w:p>
        </w:tc>
        <w:tc>
          <w:tcPr>
            <w:tcW w:w="1886" w:type="pct"/>
            <w:shd w:val="clear" w:color="auto" w:fill="auto"/>
            <w:vAlign w:val="center"/>
          </w:tcPr>
          <w:p w14:paraId="58B660EB">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管理服务器</w:t>
            </w:r>
          </w:p>
        </w:tc>
        <w:tc>
          <w:tcPr>
            <w:tcW w:w="805" w:type="pct"/>
            <w:shd w:val="clear" w:color="auto" w:fill="auto"/>
            <w:vAlign w:val="center"/>
          </w:tcPr>
          <w:p w14:paraId="4F04D8B9">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台</w:t>
            </w:r>
          </w:p>
        </w:tc>
        <w:tc>
          <w:tcPr>
            <w:tcW w:w="613" w:type="pct"/>
            <w:shd w:val="clear" w:color="auto" w:fill="auto"/>
            <w:vAlign w:val="center"/>
          </w:tcPr>
          <w:p w14:paraId="748AB27D">
            <w:pPr>
              <w:keepNext w:val="0"/>
              <w:keepLines w:val="0"/>
              <w:widowControl/>
              <w:suppressLineNumbers w:val="0"/>
              <w:ind w:left="0" w:leftChars="0" w:firstLine="0" w:firstLineChars="0"/>
              <w:jc w:val="center"/>
              <w:textAlignment w:val="center"/>
              <w:rPr>
                <w:rFonts w:hint="eastAsia" w:ascii="Calibri" w:hAnsi="Calibri" w:eastAsia="宋体" w:cs="Times New Roman"/>
                <w:kern w:val="2"/>
                <w:sz w:val="24"/>
                <w:szCs w:val="24"/>
                <w:lang w:val="en-US" w:eastAsia="zh-CN" w:bidi="ar-SA"/>
              </w:rPr>
            </w:pPr>
            <w:r>
              <w:rPr>
                <w:rFonts w:hint="eastAsia" w:ascii="等线" w:hAnsi="等线" w:eastAsia="等线" w:cs="等线"/>
                <w:i w:val="0"/>
                <w:iCs w:val="0"/>
                <w:color w:val="000000"/>
                <w:kern w:val="0"/>
                <w:sz w:val="24"/>
                <w:szCs w:val="24"/>
                <w:u w:val="none"/>
                <w:lang w:val="en-US" w:eastAsia="zh-CN" w:bidi="ar"/>
              </w:rPr>
              <w:t>1</w:t>
            </w:r>
          </w:p>
        </w:tc>
        <w:tc>
          <w:tcPr>
            <w:tcW w:w="943" w:type="pct"/>
            <w:vAlign w:val="center"/>
          </w:tcPr>
          <w:p w14:paraId="38C0CC9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p>
        </w:tc>
      </w:tr>
      <w:tr w14:paraId="76B6C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shd w:val="clear" w:color="auto" w:fill="auto"/>
            <w:vAlign w:val="center"/>
          </w:tcPr>
          <w:p w14:paraId="7DB1D55B">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2</w:t>
            </w:r>
          </w:p>
        </w:tc>
        <w:tc>
          <w:tcPr>
            <w:tcW w:w="1886" w:type="pct"/>
            <w:shd w:val="clear" w:color="auto" w:fill="auto"/>
            <w:vAlign w:val="center"/>
          </w:tcPr>
          <w:p w14:paraId="6EA55029">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b/>
                <w:bCs/>
                <w:sz w:val="24"/>
                <w:szCs w:val="24"/>
                <w:lang w:val="en-US" w:eastAsia="zh-CN"/>
              </w:rPr>
              <w:t>实训计算机</w:t>
            </w:r>
          </w:p>
        </w:tc>
        <w:tc>
          <w:tcPr>
            <w:tcW w:w="805" w:type="pct"/>
            <w:shd w:val="clear" w:color="auto" w:fill="auto"/>
            <w:vAlign w:val="center"/>
          </w:tcPr>
          <w:p w14:paraId="70161531">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台</w:t>
            </w:r>
          </w:p>
        </w:tc>
        <w:tc>
          <w:tcPr>
            <w:tcW w:w="613" w:type="pct"/>
            <w:shd w:val="clear" w:color="auto" w:fill="auto"/>
            <w:vAlign w:val="center"/>
          </w:tcPr>
          <w:p w14:paraId="5C04F782">
            <w:pPr>
              <w:keepNext w:val="0"/>
              <w:keepLines w:val="0"/>
              <w:widowControl/>
              <w:suppressLineNumbers w:val="0"/>
              <w:ind w:left="0" w:leftChars="0" w:firstLine="0" w:firstLineChars="0"/>
              <w:jc w:val="center"/>
              <w:textAlignment w:val="center"/>
              <w:rPr>
                <w:rFonts w:hint="eastAsia" w:ascii="Calibri" w:hAnsi="Calibri" w:eastAsia="宋体" w:cs="Times New Roman"/>
                <w:kern w:val="2"/>
                <w:sz w:val="24"/>
                <w:szCs w:val="24"/>
                <w:lang w:val="en-US" w:eastAsia="zh-CN" w:bidi="ar-SA"/>
              </w:rPr>
            </w:pPr>
            <w:r>
              <w:rPr>
                <w:rFonts w:hint="eastAsia" w:ascii="等线" w:hAnsi="等线" w:eastAsia="等线" w:cs="等线"/>
                <w:i w:val="0"/>
                <w:iCs w:val="0"/>
                <w:color w:val="000000"/>
                <w:kern w:val="0"/>
                <w:sz w:val="24"/>
                <w:szCs w:val="24"/>
                <w:u w:val="none"/>
                <w:lang w:val="en-US" w:eastAsia="zh-CN" w:bidi="ar"/>
              </w:rPr>
              <w:t>50</w:t>
            </w:r>
          </w:p>
        </w:tc>
        <w:tc>
          <w:tcPr>
            <w:tcW w:w="943" w:type="pct"/>
            <w:vAlign w:val="center"/>
          </w:tcPr>
          <w:p w14:paraId="3F07283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b/>
                <w:bCs/>
                <w:sz w:val="24"/>
                <w:szCs w:val="24"/>
                <w:vertAlign w:val="baseline"/>
                <w:lang w:val="en-US" w:eastAsia="zh-CN"/>
              </w:rPr>
            </w:pPr>
            <w:r>
              <w:rPr>
                <w:rFonts w:hint="eastAsia"/>
                <w:b/>
                <w:bCs/>
                <w:sz w:val="24"/>
                <w:szCs w:val="24"/>
                <w:vertAlign w:val="baseline"/>
                <w:lang w:val="en-US" w:eastAsia="zh-CN"/>
              </w:rPr>
              <w:t>核心产品</w:t>
            </w:r>
          </w:p>
          <w:p w14:paraId="42A2F6D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b/>
                <w:bCs/>
                <w:sz w:val="24"/>
                <w:szCs w:val="24"/>
                <w:vertAlign w:val="baseline"/>
                <w:lang w:val="en-US" w:eastAsia="zh-CN"/>
              </w:rPr>
            </w:pPr>
            <w:r>
              <w:rPr>
                <w:rFonts w:hint="eastAsia"/>
                <w:b/>
                <w:bCs/>
                <w:sz w:val="24"/>
                <w:szCs w:val="24"/>
                <w:vertAlign w:val="baseline"/>
                <w:lang w:val="en-US" w:eastAsia="zh-CN"/>
              </w:rPr>
              <w:t>强制节能产品</w:t>
            </w:r>
          </w:p>
        </w:tc>
      </w:tr>
      <w:tr w14:paraId="722B3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shd w:val="clear" w:color="auto" w:fill="auto"/>
            <w:vAlign w:val="center"/>
          </w:tcPr>
          <w:p w14:paraId="76A9BBE1">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3</w:t>
            </w:r>
          </w:p>
        </w:tc>
        <w:tc>
          <w:tcPr>
            <w:tcW w:w="1886" w:type="pct"/>
            <w:shd w:val="clear" w:color="auto" w:fill="auto"/>
            <w:vAlign w:val="center"/>
          </w:tcPr>
          <w:p w14:paraId="5086ED3E">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主控计算机</w:t>
            </w:r>
          </w:p>
        </w:tc>
        <w:tc>
          <w:tcPr>
            <w:tcW w:w="805" w:type="pct"/>
            <w:shd w:val="clear" w:color="auto" w:fill="auto"/>
            <w:vAlign w:val="center"/>
          </w:tcPr>
          <w:p w14:paraId="1A422692">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台</w:t>
            </w:r>
          </w:p>
        </w:tc>
        <w:tc>
          <w:tcPr>
            <w:tcW w:w="613" w:type="pct"/>
            <w:shd w:val="clear" w:color="auto" w:fill="auto"/>
            <w:vAlign w:val="center"/>
          </w:tcPr>
          <w:p w14:paraId="4DB97AC1">
            <w:pPr>
              <w:keepNext w:val="0"/>
              <w:keepLines w:val="0"/>
              <w:widowControl/>
              <w:suppressLineNumbers w:val="0"/>
              <w:ind w:left="0" w:leftChars="0" w:firstLine="0" w:firstLineChars="0"/>
              <w:jc w:val="center"/>
              <w:textAlignment w:val="center"/>
              <w:rPr>
                <w:rFonts w:hint="eastAsia" w:ascii="Calibri" w:hAnsi="Calibri" w:eastAsia="宋体" w:cs="Times New Roman"/>
                <w:kern w:val="2"/>
                <w:sz w:val="24"/>
                <w:szCs w:val="24"/>
                <w:lang w:val="en-US" w:eastAsia="zh-CN" w:bidi="ar-SA"/>
              </w:rPr>
            </w:pPr>
            <w:r>
              <w:rPr>
                <w:rFonts w:hint="eastAsia" w:ascii="等线" w:hAnsi="等线" w:eastAsia="等线" w:cs="等线"/>
                <w:i w:val="0"/>
                <w:iCs w:val="0"/>
                <w:color w:val="000000"/>
                <w:kern w:val="0"/>
                <w:sz w:val="24"/>
                <w:szCs w:val="24"/>
                <w:u w:val="none"/>
                <w:lang w:val="en-US" w:eastAsia="zh-CN" w:bidi="ar"/>
              </w:rPr>
              <w:t>1</w:t>
            </w:r>
          </w:p>
        </w:tc>
        <w:tc>
          <w:tcPr>
            <w:tcW w:w="943" w:type="pct"/>
            <w:vAlign w:val="center"/>
          </w:tcPr>
          <w:p w14:paraId="7EDF886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r>
              <w:rPr>
                <w:rFonts w:hint="eastAsia"/>
                <w:b/>
                <w:bCs/>
                <w:sz w:val="24"/>
                <w:szCs w:val="24"/>
                <w:vertAlign w:val="baseline"/>
                <w:lang w:val="en-US" w:eastAsia="zh-CN"/>
              </w:rPr>
              <w:t>强制节能产品</w:t>
            </w:r>
          </w:p>
        </w:tc>
      </w:tr>
      <w:tr w14:paraId="3EE76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shd w:val="clear" w:color="auto" w:fill="auto"/>
            <w:vAlign w:val="center"/>
          </w:tcPr>
          <w:p w14:paraId="75865253">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4</w:t>
            </w:r>
          </w:p>
        </w:tc>
        <w:tc>
          <w:tcPr>
            <w:tcW w:w="1886" w:type="pct"/>
            <w:shd w:val="clear" w:color="auto" w:fill="auto"/>
            <w:vAlign w:val="center"/>
          </w:tcPr>
          <w:p w14:paraId="2279EBAD">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接入交换机</w:t>
            </w:r>
          </w:p>
        </w:tc>
        <w:tc>
          <w:tcPr>
            <w:tcW w:w="805" w:type="pct"/>
            <w:shd w:val="clear" w:color="auto" w:fill="auto"/>
            <w:vAlign w:val="center"/>
          </w:tcPr>
          <w:p w14:paraId="6BFFCA28">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台</w:t>
            </w:r>
          </w:p>
        </w:tc>
        <w:tc>
          <w:tcPr>
            <w:tcW w:w="613" w:type="pct"/>
            <w:shd w:val="clear" w:color="auto" w:fill="auto"/>
            <w:vAlign w:val="center"/>
          </w:tcPr>
          <w:p w14:paraId="59D35BA5">
            <w:pPr>
              <w:keepNext w:val="0"/>
              <w:keepLines w:val="0"/>
              <w:widowControl/>
              <w:suppressLineNumbers w:val="0"/>
              <w:ind w:left="0" w:leftChars="0" w:firstLine="0" w:firstLineChars="0"/>
              <w:jc w:val="center"/>
              <w:textAlignment w:val="center"/>
              <w:rPr>
                <w:rFonts w:hint="eastAsia" w:ascii="Calibri" w:hAnsi="Calibri" w:eastAsia="宋体" w:cs="Times New Roman"/>
                <w:kern w:val="2"/>
                <w:sz w:val="24"/>
                <w:szCs w:val="24"/>
                <w:lang w:val="en-US" w:eastAsia="zh-CN" w:bidi="ar-SA"/>
              </w:rPr>
            </w:pPr>
            <w:r>
              <w:rPr>
                <w:rFonts w:hint="eastAsia" w:ascii="等线" w:hAnsi="等线" w:eastAsia="等线" w:cs="等线"/>
                <w:i w:val="0"/>
                <w:iCs w:val="0"/>
                <w:color w:val="000000"/>
                <w:kern w:val="0"/>
                <w:sz w:val="24"/>
                <w:szCs w:val="24"/>
                <w:u w:val="none"/>
                <w:lang w:val="en-US" w:eastAsia="zh-CN" w:bidi="ar"/>
              </w:rPr>
              <w:t>2</w:t>
            </w:r>
          </w:p>
        </w:tc>
        <w:tc>
          <w:tcPr>
            <w:tcW w:w="943" w:type="pct"/>
            <w:vAlign w:val="center"/>
          </w:tcPr>
          <w:p w14:paraId="109A1D5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p>
        </w:tc>
      </w:tr>
      <w:tr w14:paraId="15A5F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shd w:val="clear" w:color="auto" w:fill="auto"/>
            <w:vAlign w:val="center"/>
          </w:tcPr>
          <w:p w14:paraId="0560A0FB">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5</w:t>
            </w:r>
          </w:p>
        </w:tc>
        <w:tc>
          <w:tcPr>
            <w:tcW w:w="1886" w:type="pct"/>
            <w:shd w:val="clear" w:color="auto" w:fill="auto"/>
            <w:vAlign w:val="center"/>
          </w:tcPr>
          <w:p w14:paraId="6ED57CDD">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机柜</w:t>
            </w:r>
          </w:p>
        </w:tc>
        <w:tc>
          <w:tcPr>
            <w:tcW w:w="805" w:type="pct"/>
            <w:shd w:val="clear" w:color="auto" w:fill="auto"/>
            <w:vAlign w:val="center"/>
          </w:tcPr>
          <w:p w14:paraId="0D094EFE">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台</w:t>
            </w:r>
          </w:p>
        </w:tc>
        <w:tc>
          <w:tcPr>
            <w:tcW w:w="613" w:type="pct"/>
            <w:shd w:val="clear" w:color="auto" w:fill="auto"/>
            <w:vAlign w:val="center"/>
          </w:tcPr>
          <w:p w14:paraId="28716A3E">
            <w:pPr>
              <w:keepNext w:val="0"/>
              <w:keepLines w:val="0"/>
              <w:widowControl/>
              <w:suppressLineNumbers w:val="0"/>
              <w:ind w:left="0" w:leftChars="0" w:firstLine="0" w:firstLineChars="0"/>
              <w:jc w:val="center"/>
              <w:textAlignment w:val="center"/>
              <w:rPr>
                <w:rFonts w:hint="eastAsia" w:ascii="Calibri" w:hAnsi="Calibri" w:eastAsia="宋体" w:cs="Times New Roman"/>
                <w:kern w:val="2"/>
                <w:sz w:val="24"/>
                <w:szCs w:val="24"/>
                <w:lang w:val="en-US" w:eastAsia="zh-CN" w:bidi="ar-SA"/>
              </w:rPr>
            </w:pPr>
            <w:r>
              <w:rPr>
                <w:rFonts w:hint="eastAsia" w:ascii="等线" w:hAnsi="等线" w:eastAsia="等线" w:cs="等线"/>
                <w:i w:val="0"/>
                <w:iCs w:val="0"/>
                <w:color w:val="000000"/>
                <w:kern w:val="0"/>
                <w:sz w:val="24"/>
                <w:szCs w:val="24"/>
                <w:u w:val="none"/>
                <w:lang w:val="en-US" w:eastAsia="zh-CN" w:bidi="ar"/>
              </w:rPr>
              <w:t>1</w:t>
            </w:r>
          </w:p>
        </w:tc>
        <w:tc>
          <w:tcPr>
            <w:tcW w:w="943" w:type="pct"/>
            <w:vAlign w:val="center"/>
          </w:tcPr>
          <w:p w14:paraId="79AF973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p>
        </w:tc>
      </w:tr>
      <w:tr w14:paraId="40EA6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shd w:val="clear" w:color="auto" w:fill="auto"/>
            <w:vAlign w:val="center"/>
          </w:tcPr>
          <w:p w14:paraId="2AC1B6FA">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6</w:t>
            </w:r>
          </w:p>
        </w:tc>
        <w:tc>
          <w:tcPr>
            <w:tcW w:w="1886" w:type="pct"/>
            <w:shd w:val="clear" w:color="auto" w:fill="auto"/>
            <w:vAlign w:val="center"/>
          </w:tcPr>
          <w:p w14:paraId="340773FA">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布线及施工服务</w:t>
            </w:r>
          </w:p>
        </w:tc>
        <w:tc>
          <w:tcPr>
            <w:tcW w:w="805" w:type="pct"/>
            <w:shd w:val="clear" w:color="auto" w:fill="auto"/>
            <w:vAlign w:val="center"/>
          </w:tcPr>
          <w:p w14:paraId="005EA176">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点</w:t>
            </w:r>
          </w:p>
        </w:tc>
        <w:tc>
          <w:tcPr>
            <w:tcW w:w="613" w:type="pct"/>
            <w:shd w:val="clear" w:color="auto" w:fill="auto"/>
            <w:vAlign w:val="center"/>
          </w:tcPr>
          <w:p w14:paraId="00A196C1">
            <w:pPr>
              <w:keepNext w:val="0"/>
              <w:keepLines w:val="0"/>
              <w:widowControl/>
              <w:suppressLineNumbers w:val="0"/>
              <w:ind w:left="0" w:leftChars="0" w:firstLine="0" w:firstLineChars="0"/>
              <w:jc w:val="center"/>
              <w:textAlignment w:val="center"/>
              <w:rPr>
                <w:rFonts w:hint="eastAsia" w:ascii="Calibri" w:hAnsi="Calibri" w:eastAsia="宋体" w:cs="Times New Roman"/>
                <w:kern w:val="2"/>
                <w:sz w:val="24"/>
                <w:szCs w:val="24"/>
                <w:lang w:val="en-US" w:eastAsia="zh-CN" w:bidi="ar-SA"/>
              </w:rPr>
            </w:pPr>
            <w:r>
              <w:rPr>
                <w:rFonts w:hint="eastAsia" w:ascii="等线" w:hAnsi="等线" w:eastAsia="等线" w:cs="等线"/>
                <w:i w:val="0"/>
                <w:iCs w:val="0"/>
                <w:color w:val="000000"/>
                <w:kern w:val="0"/>
                <w:sz w:val="24"/>
                <w:szCs w:val="24"/>
                <w:u w:val="none"/>
                <w:lang w:val="en-US" w:eastAsia="zh-CN" w:bidi="ar"/>
              </w:rPr>
              <w:t>51</w:t>
            </w:r>
          </w:p>
        </w:tc>
        <w:tc>
          <w:tcPr>
            <w:tcW w:w="943" w:type="pct"/>
            <w:vAlign w:val="center"/>
          </w:tcPr>
          <w:p w14:paraId="5A7DA33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p>
        </w:tc>
      </w:tr>
      <w:tr w14:paraId="0C65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shd w:val="clear" w:color="auto" w:fill="auto"/>
            <w:vAlign w:val="center"/>
          </w:tcPr>
          <w:p w14:paraId="02711015">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7</w:t>
            </w:r>
          </w:p>
        </w:tc>
        <w:tc>
          <w:tcPr>
            <w:tcW w:w="1886" w:type="pct"/>
            <w:shd w:val="clear" w:color="auto" w:fill="auto"/>
            <w:vAlign w:val="center"/>
          </w:tcPr>
          <w:p w14:paraId="2B6226A8">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多媒体教学应用软件授权</w:t>
            </w:r>
          </w:p>
        </w:tc>
        <w:tc>
          <w:tcPr>
            <w:tcW w:w="805" w:type="pct"/>
            <w:shd w:val="clear" w:color="auto" w:fill="auto"/>
            <w:vAlign w:val="center"/>
          </w:tcPr>
          <w:p w14:paraId="2E9D1E55">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点</w:t>
            </w:r>
          </w:p>
        </w:tc>
        <w:tc>
          <w:tcPr>
            <w:tcW w:w="613" w:type="pct"/>
            <w:shd w:val="clear" w:color="auto" w:fill="auto"/>
            <w:vAlign w:val="center"/>
          </w:tcPr>
          <w:p w14:paraId="44756A3D">
            <w:pPr>
              <w:keepNext w:val="0"/>
              <w:keepLines w:val="0"/>
              <w:widowControl/>
              <w:suppressLineNumbers w:val="0"/>
              <w:ind w:left="0" w:leftChars="0" w:firstLine="0" w:firstLineChars="0"/>
              <w:jc w:val="center"/>
              <w:textAlignment w:val="center"/>
              <w:rPr>
                <w:rFonts w:hint="eastAsia" w:ascii="Calibri" w:hAnsi="Calibri" w:eastAsia="宋体" w:cs="Times New Roman"/>
                <w:kern w:val="2"/>
                <w:sz w:val="24"/>
                <w:szCs w:val="24"/>
                <w:lang w:val="en-US" w:eastAsia="zh-CN" w:bidi="ar-SA"/>
              </w:rPr>
            </w:pPr>
            <w:r>
              <w:rPr>
                <w:rFonts w:hint="eastAsia" w:ascii="等线" w:hAnsi="等线" w:eastAsia="等线" w:cs="等线"/>
                <w:i w:val="0"/>
                <w:iCs w:val="0"/>
                <w:color w:val="000000"/>
                <w:kern w:val="0"/>
                <w:sz w:val="24"/>
                <w:szCs w:val="24"/>
                <w:u w:val="none"/>
                <w:lang w:val="en-US" w:eastAsia="zh-CN" w:bidi="ar"/>
              </w:rPr>
              <w:t>51</w:t>
            </w:r>
          </w:p>
        </w:tc>
        <w:tc>
          <w:tcPr>
            <w:tcW w:w="943" w:type="pct"/>
            <w:vAlign w:val="center"/>
          </w:tcPr>
          <w:p w14:paraId="76DF160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p>
        </w:tc>
      </w:tr>
      <w:tr w14:paraId="05B81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shd w:val="clear" w:color="auto" w:fill="auto"/>
            <w:vAlign w:val="center"/>
          </w:tcPr>
          <w:p w14:paraId="6C6409B3">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8</w:t>
            </w:r>
          </w:p>
        </w:tc>
        <w:tc>
          <w:tcPr>
            <w:tcW w:w="1886" w:type="pct"/>
            <w:shd w:val="clear" w:color="auto" w:fill="auto"/>
            <w:vAlign w:val="center"/>
          </w:tcPr>
          <w:p w14:paraId="22B63AD2">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智慧黑板</w:t>
            </w:r>
          </w:p>
        </w:tc>
        <w:tc>
          <w:tcPr>
            <w:tcW w:w="805" w:type="pct"/>
            <w:shd w:val="clear" w:color="auto" w:fill="auto"/>
            <w:vAlign w:val="center"/>
          </w:tcPr>
          <w:p w14:paraId="4556ABD2">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台</w:t>
            </w:r>
          </w:p>
        </w:tc>
        <w:tc>
          <w:tcPr>
            <w:tcW w:w="613" w:type="pct"/>
            <w:shd w:val="clear" w:color="auto" w:fill="auto"/>
            <w:vAlign w:val="center"/>
          </w:tcPr>
          <w:p w14:paraId="6994EE5B">
            <w:pPr>
              <w:keepNext w:val="0"/>
              <w:keepLines w:val="0"/>
              <w:widowControl/>
              <w:suppressLineNumbers w:val="0"/>
              <w:ind w:left="0" w:leftChars="0" w:firstLine="0" w:firstLineChars="0"/>
              <w:jc w:val="center"/>
              <w:textAlignment w:val="center"/>
              <w:rPr>
                <w:rFonts w:hint="eastAsia" w:ascii="Calibri" w:hAnsi="Calibri" w:eastAsia="宋体" w:cs="Times New Roman"/>
                <w:kern w:val="2"/>
                <w:sz w:val="24"/>
                <w:szCs w:val="24"/>
                <w:lang w:val="en-US" w:eastAsia="zh-CN" w:bidi="ar-SA"/>
              </w:rPr>
            </w:pPr>
            <w:r>
              <w:rPr>
                <w:rFonts w:hint="eastAsia" w:ascii="等线" w:hAnsi="等线" w:eastAsia="等线" w:cs="等线"/>
                <w:i w:val="0"/>
                <w:iCs w:val="0"/>
                <w:color w:val="000000"/>
                <w:kern w:val="0"/>
                <w:sz w:val="24"/>
                <w:szCs w:val="24"/>
                <w:u w:val="none"/>
                <w:lang w:val="en-US" w:eastAsia="zh-CN" w:bidi="ar"/>
              </w:rPr>
              <w:t>1</w:t>
            </w:r>
          </w:p>
        </w:tc>
        <w:tc>
          <w:tcPr>
            <w:tcW w:w="943" w:type="pct"/>
            <w:vAlign w:val="center"/>
          </w:tcPr>
          <w:p w14:paraId="6895C22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r>
              <w:rPr>
                <w:rFonts w:hint="eastAsia"/>
                <w:b/>
                <w:bCs/>
                <w:sz w:val="24"/>
                <w:szCs w:val="24"/>
                <w:vertAlign w:val="baseline"/>
                <w:lang w:val="en-US" w:eastAsia="zh-CN"/>
              </w:rPr>
              <w:t>强制节能产品</w:t>
            </w:r>
          </w:p>
        </w:tc>
      </w:tr>
      <w:tr w14:paraId="413D3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shd w:val="clear" w:color="auto" w:fill="auto"/>
            <w:vAlign w:val="center"/>
          </w:tcPr>
          <w:p w14:paraId="25832526">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9</w:t>
            </w:r>
          </w:p>
        </w:tc>
        <w:tc>
          <w:tcPr>
            <w:tcW w:w="1886" w:type="pct"/>
            <w:shd w:val="clear" w:color="auto" w:fill="auto"/>
            <w:vAlign w:val="center"/>
          </w:tcPr>
          <w:p w14:paraId="5825DF2A">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电容触控笔</w:t>
            </w:r>
          </w:p>
        </w:tc>
        <w:tc>
          <w:tcPr>
            <w:tcW w:w="805" w:type="pct"/>
            <w:shd w:val="clear" w:color="auto" w:fill="auto"/>
            <w:vAlign w:val="center"/>
          </w:tcPr>
          <w:p w14:paraId="693CA163">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套</w:t>
            </w:r>
          </w:p>
        </w:tc>
        <w:tc>
          <w:tcPr>
            <w:tcW w:w="613" w:type="pct"/>
            <w:shd w:val="clear" w:color="auto" w:fill="auto"/>
            <w:vAlign w:val="center"/>
          </w:tcPr>
          <w:p w14:paraId="0F4F7DC3">
            <w:pPr>
              <w:keepNext w:val="0"/>
              <w:keepLines w:val="0"/>
              <w:widowControl/>
              <w:suppressLineNumbers w:val="0"/>
              <w:ind w:left="0" w:leftChars="0" w:firstLine="0" w:firstLineChars="0"/>
              <w:jc w:val="center"/>
              <w:textAlignment w:val="center"/>
              <w:rPr>
                <w:rFonts w:hint="eastAsia" w:ascii="Calibri" w:hAnsi="Calibri" w:eastAsia="宋体" w:cs="Times New Roman"/>
                <w:kern w:val="2"/>
                <w:sz w:val="24"/>
                <w:szCs w:val="24"/>
                <w:lang w:val="en-US" w:eastAsia="zh-CN" w:bidi="ar-SA"/>
              </w:rPr>
            </w:pPr>
            <w:r>
              <w:rPr>
                <w:rFonts w:hint="eastAsia" w:ascii="等线" w:hAnsi="等线" w:eastAsia="等线" w:cs="等线"/>
                <w:i w:val="0"/>
                <w:iCs w:val="0"/>
                <w:color w:val="000000"/>
                <w:kern w:val="0"/>
                <w:sz w:val="24"/>
                <w:szCs w:val="24"/>
                <w:u w:val="none"/>
                <w:lang w:val="en-US" w:eastAsia="zh-CN" w:bidi="ar"/>
              </w:rPr>
              <w:t>1</w:t>
            </w:r>
          </w:p>
        </w:tc>
        <w:tc>
          <w:tcPr>
            <w:tcW w:w="943" w:type="pct"/>
            <w:vAlign w:val="center"/>
          </w:tcPr>
          <w:p w14:paraId="2820362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p>
        </w:tc>
      </w:tr>
      <w:tr w14:paraId="5183E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shd w:val="clear" w:color="auto" w:fill="auto"/>
            <w:vAlign w:val="center"/>
          </w:tcPr>
          <w:p w14:paraId="467F9FB0">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10</w:t>
            </w:r>
          </w:p>
        </w:tc>
        <w:tc>
          <w:tcPr>
            <w:tcW w:w="1886" w:type="pct"/>
            <w:shd w:val="clear" w:color="auto" w:fill="auto"/>
            <w:vAlign w:val="center"/>
          </w:tcPr>
          <w:p w14:paraId="3515C2B3">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扩音系统</w:t>
            </w:r>
          </w:p>
        </w:tc>
        <w:tc>
          <w:tcPr>
            <w:tcW w:w="805" w:type="pct"/>
            <w:shd w:val="clear" w:color="auto" w:fill="auto"/>
            <w:vAlign w:val="center"/>
          </w:tcPr>
          <w:p w14:paraId="4FFB553E">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套</w:t>
            </w:r>
          </w:p>
        </w:tc>
        <w:tc>
          <w:tcPr>
            <w:tcW w:w="613" w:type="pct"/>
            <w:shd w:val="clear" w:color="auto" w:fill="auto"/>
            <w:vAlign w:val="center"/>
          </w:tcPr>
          <w:p w14:paraId="2B13CACD">
            <w:pPr>
              <w:keepNext w:val="0"/>
              <w:keepLines w:val="0"/>
              <w:widowControl/>
              <w:suppressLineNumbers w:val="0"/>
              <w:ind w:left="0" w:leftChars="0" w:firstLine="0" w:firstLineChars="0"/>
              <w:jc w:val="center"/>
              <w:textAlignment w:val="center"/>
              <w:rPr>
                <w:rFonts w:hint="eastAsia" w:ascii="Calibri" w:hAnsi="Calibri" w:eastAsia="宋体" w:cs="Times New Roman"/>
                <w:kern w:val="2"/>
                <w:sz w:val="24"/>
                <w:szCs w:val="24"/>
                <w:lang w:val="en-US" w:eastAsia="zh-CN" w:bidi="ar-SA"/>
              </w:rPr>
            </w:pPr>
            <w:r>
              <w:rPr>
                <w:rFonts w:hint="eastAsia" w:ascii="等线" w:hAnsi="等线" w:eastAsia="等线" w:cs="等线"/>
                <w:i w:val="0"/>
                <w:iCs w:val="0"/>
                <w:color w:val="000000"/>
                <w:kern w:val="0"/>
                <w:sz w:val="24"/>
                <w:szCs w:val="24"/>
                <w:u w:val="none"/>
                <w:lang w:val="en-US" w:eastAsia="zh-CN" w:bidi="ar"/>
              </w:rPr>
              <w:t>1</w:t>
            </w:r>
          </w:p>
        </w:tc>
        <w:tc>
          <w:tcPr>
            <w:tcW w:w="943" w:type="pct"/>
            <w:vAlign w:val="center"/>
          </w:tcPr>
          <w:p w14:paraId="6560002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p>
        </w:tc>
      </w:tr>
      <w:tr w14:paraId="2958F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shd w:val="clear" w:color="auto" w:fill="auto"/>
            <w:vAlign w:val="center"/>
          </w:tcPr>
          <w:p w14:paraId="5B4B688F">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11</w:t>
            </w:r>
          </w:p>
        </w:tc>
        <w:tc>
          <w:tcPr>
            <w:tcW w:w="1886" w:type="pct"/>
            <w:shd w:val="clear" w:color="auto" w:fill="auto"/>
            <w:vAlign w:val="center"/>
          </w:tcPr>
          <w:p w14:paraId="6A329202">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集中控制管理平台</w:t>
            </w:r>
          </w:p>
        </w:tc>
        <w:tc>
          <w:tcPr>
            <w:tcW w:w="805" w:type="pct"/>
            <w:shd w:val="clear" w:color="auto" w:fill="auto"/>
            <w:vAlign w:val="center"/>
          </w:tcPr>
          <w:p w14:paraId="0B6D50A4">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套</w:t>
            </w:r>
          </w:p>
        </w:tc>
        <w:tc>
          <w:tcPr>
            <w:tcW w:w="613" w:type="pct"/>
            <w:shd w:val="clear" w:color="auto" w:fill="auto"/>
            <w:vAlign w:val="center"/>
          </w:tcPr>
          <w:p w14:paraId="6C194045">
            <w:pPr>
              <w:keepNext w:val="0"/>
              <w:keepLines w:val="0"/>
              <w:widowControl/>
              <w:suppressLineNumbers w:val="0"/>
              <w:ind w:left="0" w:leftChars="0" w:firstLine="0" w:firstLineChars="0"/>
              <w:jc w:val="center"/>
              <w:textAlignment w:val="center"/>
              <w:rPr>
                <w:rFonts w:hint="eastAsia" w:ascii="Calibri" w:hAnsi="Calibri" w:eastAsia="宋体" w:cs="Times New Roman"/>
                <w:kern w:val="2"/>
                <w:sz w:val="24"/>
                <w:szCs w:val="24"/>
                <w:lang w:val="en-US" w:eastAsia="zh-CN" w:bidi="ar-SA"/>
              </w:rPr>
            </w:pPr>
            <w:r>
              <w:rPr>
                <w:rFonts w:hint="eastAsia" w:ascii="等线" w:hAnsi="等线" w:eastAsia="等线" w:cs="等线"/>
                <w:i w:val="0"/>
                <w:iCs w:val="0"/>
                <w:color w:val="000000"/>
                <w:kern w:val="0"/>
                <w:sz w:val="24"/>
                <w:szCs w:val="24"/>
                <w:u w:val="none"/>
                <w:lang w:val="en-US" w:eastAsia="zh-CN" w:bidi="ar"/>
              </w:rPr>
              <w:t>1</w:t>
            </w:r>
          </w:p>
        </w:tc>
        <w:tc>
          <w:tcPr>
            <w:tcW w:w="943" w:type="pct"/>
            <w:vAlign w:val="center"/>
          </w:tcPr>
          <w:p w14:paraId="70E7A7D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p>
        </w:tc>
      </w:tr>
      <w:tr w14:paraId="69E3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shd w:val="clear" w:color="auto" w:fill="auto"/>
            <w:vAlign w:val="center"/>
          </w:tcPr>
          <w:p w14:paraId="1895939A">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12</w:t>
            </w:r>
          </w:p>
        </w:tc>
        <w:tc>
          <w:tcPr>
            <w:tcW w:w="1886" w:type="pct"/>
            <w:shd w:val="clear" w:color="auto" w:fill="auto"/>
            <w:vAlign w:val="center"/>
          </w:tcPr>
          <w:p w14:paraId="2F971218">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桌面式扩音麦克风</w:t>
            </w:r>
          </w:p>
        </w:tc>
        <w:tc>
          <w:tcPr>
            <w:tcW w:w="805" w:type="pct"/>
            <w:shd w:val="clear" w:color="auto" w:fill="auto"/>
            <w:vAlign w:val="center"/>
          </w:tcPr>
          <w:p w14:paraId="7364805A">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套</w:t>
            </w:r>
          </w:p>
        </w:tc>
        <w:tc>
          <w:tcPr>
            <w:tcW w:w="613" w:type="pct"/>
            <w:shd w:val="clear" w:color="auto" w:fill="auto"/>
            <w:vAlign w:val="center"/>
          </w:tcPr>
          <w:p w14:paraId="0E9DDE8C">
            <w:pPr>
              <w:keepNext w:val="0"/>
              <w:keepLines w:val="0"/>
              <w:widowControl/>
              <w:suppressLineNumbers w:val="0"/>
              <w:ind w:left="0" w:leftChars="0" w:firstLine="0" w:firstLineChars="0"/>
              <w:jc w:val="center"/>
              <w:textAlignment w:val="center"/>
              <w:rPr>
                <w:rFonts w:hint="eastAsia" w:ascii="Calibri" w:hAnsi="Calibri" w:eastAsia="宋体" w:cs="Times New Roman"/>
                <w:kern w:val="2"/>
                <w:sz w:val="24"/>
                <w:szCs w:val="24"/>
                <w:lang w:val="en-US" w:eastAsia="zh-CN" w:bidi="ar-SA"/>
              </w:rPr>
            </w:pPr>
            <w:r>
              <w:rPr>
                <w:rFonts w:hint="eastAsia" w:ascii="等线" w:hAnsi="等线" w:eastAsia="等线" w:cs="等线"/>
                <w:i w:val="0"/>
                <w:iCs w:val="0"/>
                <w:color w:val="000000"/>
                <w:kern w:val="0"/>
                <w:sz w:val="24"/>
                <w:szCs w:val="24"/>
                <w:u w:val="none"/>
                <w:lang w:val="en-US" w:eastAsia="zh-CN" w:bidi="ar"/>
              </w:rPr>
              <w:t>1</w:t>
            </w:r>
          </w:p>
        </w:tc>
        <w:tc>
          <w:tcPr>
            <w:tcW w:w="943" w:type="pct"/>
            <w:vAlign w:val="center"/>
          </w:tcPr>
          <w:p w14:paraId="0F9A432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p>
        </w:tc>
      </w:tr>
      <w:tr w14:paraId="4AD3D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shd w:val="clear" w:color="auto" w:fill="auto"/>
            <w:vAlign w:val="center"/>
          </w:tcPr>
          <w:p w14:paraId="20BE57A7">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13</w:t>
            </w:r>
          </w:p>
        </w:tc>
        <w:tc>
          <w:tcPr>
            <w:tcW w:w="1886" w:type="pct"/>
            <w:shd w:val="clear" w:color="auto" w:fill="auto"/>
            <w:vAlign w:val="center"/>
          </w:tcPr>
          <w:p w14:paraId="7FA5029C">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日夜型半球型网络摄像机</w:t>
            </w:r>
          </w:p>
        </w:tc>
        <w:tc>
          <w:tcPr>
            <w:tcW w:w="805" w:type="pct"/>
            <w:shd w:val="clear" w:color="auto" w:fill="auto"/>
            <w:vAlign w:val="center"/>
          </w:tcPr>
          <w:p w14:paraId="38DCAD40">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套</w:t>
            </w:r>
          </w:p>
        </w:tc>
        <w:tc>
          <w:tcPr>
            <w:tcW w:w="613" w:type="pct"/>
            <w:shd w:val="clear" w:color="auto" w:fill="auto"/>
            <w:vAlign w:val="center"/>
          </w:tcPr>
          <w:p w14:paraId="2B37561A">
            <w:pPr>
              <w:keepNext w:val="0"/>
              <w:keepLines w:val="0"/>
              <w:widowControl/>
              <w:suppressLineNumbers w:val="0"/>
              <w:ind w:left="0" w:leftChars="0" w:firstLine="0" w:firstLineChars="0"/>
              <w:jc w:val="center"/>
              <w:textAlignment w:val="center"/>
              <w:rPr>
                <w:rFonts w:hint="eastAsia" w:ascii="Calibri" w:hAnsi="Calibri" w:eastAsia="宋体" w:cs="Times New Roman"/>
                <w:kern w:val="2"/>
                <w:sz w:val="24"/>
                <w:szCs w:val="24"/>
                <w:lang w:val="en-US" w:eastAsia="zh-CN" w:bidi="ar-SA"/>
              </w:rPr>
            </w:pPr>
            <w:r>
              <w:rPr>
                <w:rFonts w:hint="eastAsia" w:ascii="等线" w:hAnsi="等线" w:eastAsia="等线" w:cs="等线"/>
                <w:i w:val="0"/>
                <w:iCs w:val="0"/>
                <w:color w:val="000000"/>
                <w:kern w:val="0"/>
                <w:sz w:val="24"/>
                <w:szCs w:val="24"/>
                <w:u w:val="none"/>
                <w:lang w:val="en-US" w:eastAsia="zh-CN" w:bidi="ar"/>
              </w:rPr>
              <w:t>4</w:t>
            </w:r>
          </w:p>
        </w:tc>
        <w:tc>
          <w:tcPr>
            <w:tcW w:w="943" w:type="pct"/>
            <w:vAlign w:val="center"/>
          </w:tcPr>
          <w:p w14:paraId="0B8E16E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p>
        </w:tc>
      </w:tr>
      <w:tr w14:paraId="7DDA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shd w:val="clear" w:color="auto" w:fill="auto"/>
            <w:vAlign w:val="center"/>
          </w:tcPr>
          <w:p w14:paraId="20F85449">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14</w:t>
            </w:r>
          </w:p>
        </w:tc>
        <w:tc>
          <w:tcPr>
            <w:tcW w:w="1886" w:type="pct"/>
            <w:shd w:val="clear" w:color="auto" w:fill="auto"/>
            <w:vAlign w:val="center"/>
          </w:tcPr>
          <w:p w14:paraId="3973EF70">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硬盘录像机（NVR）</w:t>
            </w:r>
          </w:p>
        </w:tc>
        <w:tc>
          <w:tcPr>
            <w:tcW w:w="805" w:type="pct"/>
            <w:shd w:val="clear" w:color="auto" w:fill="auto"/>
            <w:vAlign w:val="center"/>
          </w:tcPr>
          <w:p w14:paraId="695F18DD">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套</w:t>
            </w:r>
          </w:p>
        </w:tc>
        <w:tc>
          <w:tcPr>
            <w:tcW w:w="613" w:type="pct"/>
            <w:shd w:val="clear" w:color="auto" w:fill="auto"/>
            <w:vAlign w:val="center"/>
          </w:tcPr>
          <w:p w14:paraId="449021E7">
            <w:pPr>
              <w:keepNext w:val="0"/>
              <w:keepLines w:val="0"/>
              <w:widowControl/>
              <w:suppressLineNumbers w:val="0"/>
              <w:ind w:left="0" w:leftChars="0" w:firstLine="0" w:firstLineChars="0"/>
              <w:jc w:val="center"/>
              <w:textAlignment w:val="center"/>
              <w:rPr>
                <w:rFonts w:hint="eastAsia" w:ascii="Calibri" w:hAnsi="Calibri" w:eastAsia="宋体" w:cs="Times New Roman"/>
                <w:kern w:val="2"/>
                <w:sz w:val="24"/>
                <w:szCs w:val="24"/>
                <w:lang w:val="en-US" w:eastAsia="zh-CN" w:bidi="ar-SA"/>
              </w:rPr>
            </w:pPr>
            <w:r>
              <w:rPr>
                <w:rFonts w:hint="eastAsia" w:ascii="等线" w:hAnsi="等线" w:eastAsia="等线" w:cs="等线"/>
                <w:i w:val="0"/>
                <w:iCs w:val="0"/>
                <w:color w:val="000000"/>
                <w:kern w:val="0"/>
                <w:sz w:val="24"/>
                <w:szCs w:val="24"/>
                <w:u w:val="none"/>
                <w:lang w:val="en-US" w:eastAsia="zh-CN" w:bidi="ar"/>
              </w:rPr>
              <w:t>1</w:t>
            </w:r>
          </w:p>
        </w:tc>
        <w:tc>
          <w:tcPr>
            <w:tcW w:w="943" w:type="pct"/>
            <w:vAlign w:val="center"/>
          </w:tcPr>
          <w:p w14:paraId="152D5DB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p>
        </w:tc>
      </w:tr>
      <w:tr w14:paraId="72455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shd w:val="clear" w:color="auto" w:fill="auto"/>
            <w:vAlign w:val="center"/>
          </w:tcPr>
          <w:p w14:paraId="72CF8F91">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15</w:t>
            </w:r>
          </w:p>
        </w:tc>
        <w:tc>
          <w:tcPr>
            <w:tcW w:w="1886" w:type="pct"/>
            <w:shd w:val="clear" w:color="auto" w:fill="auto"/>
            <w:vAlign w:val="center"/>
          </w:tcPr>
          <w:p w14:paraId="1C799AF0">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监控电脑主机</w:t>
            </w:r>
          </w:p>
        </w:tc>
        <w:tc>
          <w:tcPr>
            <w:tcW w:w="805" w:type="pct"/>
            <w:shd w:val="clear" w:color="auto" w:fill="auto"/>
            <w:vAlign w:val="center"/>
          </w:tcPr>
          <w:p w14:paraId="055B864D">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台</w:t>
            </w:r>
          </w:p>
        </w:tc>
        <w:tc>
          <w:tcPr>
            <w:tcW w:w="613" w:type="pct"/>
            <w:shd w:val="clear" w:color="auto" w:fill="auto"/>
            <w:vAlign w:val="center"/>
          </w:tcPr>
          <w:p w14:paraId="7289E7A9">
            <w:pPr>
              <w:keepNext w:val="0"/>
              <w:keepLines w:val="0"/>
              <w:widowControl/>
              <w:suppressLineNumbers w:val="0"/>
              <w:ind w:left="0" w:leftChars="0" w:firstLine="0" w:firstLineChars="0"/>
              <w:jc w:val="center"/>
              <w:textAlignment w:val="center"/>
              <w:rPr>
                <w:rFonts w:hint="eastAsia" w:ascii="Calibri" w:hAnsi="Calibri" w:eastAsia="宋体" w:cs="Times New Roman"/>
                <w:kern w:val="2"/>
                <w:sz w:val="24"/>
                <w:szCs w:val="24"/>
                <w:lang w:val="en-US" w:eastAsia="zh-CN" w:bidi="ar-SA"/>
              </w:rPr>
            </w:pPr>
            <w:r>
              <w:rPr>
                <w:rFonts w:hint="eastAsia" w:ascii="等线" w:hAnsi="等线" w:eastAsia="等线" w:cs="等线"/>
                <w:i w:val="0"/>
                <w:iCs w:val="0"/>
                <w:color w:val="000000"/>
                <w:kern w:val="0"/>
                <w:sz w:val="24"/>
                <w:szCs w:val="24"/>
                <w:u w:val="none"/>
                <w:lang w:val="en-US" w:eastAsia="zh-CN" w:bidi="ar"/>
              </w:rPr>
              <w:t>1</w:t>
            </w:r>
          </w:p>
        </w:tc>
        <w:tc>
          <w:tcPr>
            <w:tcW w:w="943" w:type="pct"/>
            <w:vAlign w:val="center"/>
          </w:tcPr>
          <w:p w14:paraId="16256F7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r>
              <w:rPr>
                <w:rFonts w:hint="eastAsia"/>
                <w:b/>
                <w:bCs/>
                <w:sz w:val="24"/>
                <w:szCs w:val="24"/>
                <w:vertAlign w:val="baseline"/>
                <w:lang w:val="en-US" w:eastAsia="zh-CN"/>
              </w:rPr>
              <w:t>强制节能产品</w:t>
            </w:r>
          </w:p>
        </w:tc>
      </w:tr>
      <w:tr w14:paraId="2B0D0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shd w:val="clear" w:color="auto" w:fill="auto"/>
            <w:vAlign w:val="center"/>
          </w:tcPr>
          <w:p w14:paraId="04F38870">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16</w:t>
            </w:r>
          </w:p>
        </w:tc>
        <w:tc>
          <w:tcPr>
            <w:tcW w:w="1886" w:type="pct"/>
            <w:shd w:val="clear" w:color="auto" w:fill="auto"/>
            <w:vAlign w:val="center"/>
          </w:tcPr>
          <w:p w14:paraId="73C8F29A">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监控电脑显示器</w:t>
            </w:r>
          </w:p>
        </w:tc>
        <w:tc>
          <w:tcPr>
            <w:tcW w:w="805" w:type="pct"/>
            <w:shd w:val="clear" w:color="auto" w:fill="auto"/>
            <w:vAlign w:val="center"/>
          </w:tcPr>
          <w:p w14:paraId="3962E2B4">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台</w:t>
            </w:r>
          </w:p>
        </w:tc>
        <w:tc>
          <w:tcPr>
            <w:tcW w:w="613" w:type="pct"/>
            <w:shd w:val="clear" w:color="auto" w:fill="auto"/>
            <w:vAlign w:val="center"/>
          </w:tcPr>
          <w:p w14:paraId="249C0802">
            <w:pPr>
              <w:keepNext w:val="0"/>
              <w:keepLines w:val="0"/>
              <w:widowControl/>
              <w:suppressLineNumbers w:val="0"/>
              <w:ind w:left="0" w:leftChars="0" w:firstLine="0" w:firstLineChars="0"/>
              <w:jc w:val="center"/>
              <w:textAlignment w:val="center"/>
              <w:rPr>
                <w:rFonts w:hint="eastAsia" w:ascii="Calibri" w:hAnsi="Calibri" w:eastAsia="宋体" w:cs="Times New Roman"/>
                <w:kern w:val="2"/>
                <w:sz w:val="24"/>
                <w:szCs w:val="24"/>
                <w:lang w:val="en-US" w:eastAsia="zh-CN" w:bidi="ar-SA"/>
              </w:rPr>
            </w:pPr>
            <w:r>
              <w:rPr>
                <w:rFonts w:hint="eastAsia" w:ascii="等线" w:hAnsi="等线" w:eastAsia="等线" w:cs="等线"/>
                <w:i w:val="0"/>
                <w:iCs w:val="0"/>
                <w:color w:val="000000"/>
                <w:kern w:val="0"/>
                <w:sz w:val="24"/>
                <w:szCs w:val="24"/>
                <w:u w:val="none"/>
                <w:lang w:val="en-US" w:eastAsia="zh-CN" w:bidi="ar"/>
              </w:rPr>
              <w:t>1</w:t>
            </w:r>
          </w:p>
        </w:tc>
        <w:tc>
          <w:tcPr>
            <w:tcW w:w="943" w:type="pct"/>
            <w:vAlign w:val="center"/>
          </w:tcPr>
          <w:p w14:paraId="3541B4B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r>
              <w:rPr>
                <w:rFonts w:hint="eastAsia"/>
                <w:b/>
                <w:bCs/>
                <w:sz w:val="24"/>
                <w:szCs w:val="24"/>
                <w:vertAlign w:val="baseline"/>
                <w:lang w:val="en-US" w:eastAsia="zh-CN"/>
              </w:rPr>
              <w:t>强制节能产品</w:t>
            </w:r>
          </w:p>
        </w:tc>
      </w:tr>
      <w:tr w14:paraId="4AA2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shd w:val="clear" w:color="auto" w:fill="auto"/>
            <w:vAlign w:val="center"/>
          </w:tcPr>
          <w:p w14:paraId="09ACEA33">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17</w:t>
            </w:r>
          </w:p>
        </w:tc>
        <w:tc>
          <w:tcPr>
            <w:tcW w:w="1886" w:type="pct"/>
            <w:shd w:val="clear" w:color="auto" w:fill="auto"/>
            <w:vAlign w:val="center"/>
          </w:tcPr>
          <w:p w14:paraId="58BEE301">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学生凳</w:t>
            </w:r>
          </w:p>
        </w:tc>
        <w:tc>
          <w:tcPr>
            <w:tcW w:w="805" w:type="pct"/>
            <w:shd w:val="clear" w:color="auto" w:fill="auto"/>
            <w:vAlign w:val="center"/>
          </w:tcPr>
          <w:p w14:paraId="41567F9B">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把</w:t>
            </w:r>
          </w:p>
        </w:tc>
        <w:tc>
          <w:tcPr>
            <w:tcW w:w="613" w:type="pct"/>
            <w:shd w:val="clear" w:color="auto" w:fill="auto"/>
            <w:vAlign w:val="center"/>
          </w:tcPr>
          <w:p w14:paraId="1FB45690">
            <w:pPr>
              <w:keepNext w:val="0"/>
              <w:keepLines w:val="0"/>
              <w:widowControl/>
              <w:suppressLineNumbers w:val="0"/>
              <w:ind w:left="0" w:leftChars="0" w:firstLine="0" w:firstLineChars="0"/>
              <w:jc w:val="center"/>
              <w:textAlignment w:val="center"/>
              <w:rPr>
                <w:rFonts w:hint="eastAsia" w:ascii="Calibri" w:hAnsi="Calibri" w:eastAsia="宋体" w:cs="Times New Roman"/>
                <w:kern w:val="2"/>
                <w:sz w:val="24"/>
                <w:szCs w:val="24"/>
                <w:lang w:val="en-US" w:eastAsia="zh-CN" w:bidi="ar-SA"/>
              </w:rPr>
            </w:pPr>
            <w:r>
              <w:rPr>
                <w:rFonts w:hint="eastAsia" w:ascii="等线" w:hAnsi="等线" w:eastAsia="等线" w:cs="等线"/>
                <w:i w:val="0"/>
                <w:iCs w:val="0"/>
                <w:color w:val="000000"/>
                <w:kern w:val="0"/>
                <w:sz w:val="24"/>
                <w:szCs w:val="24"/>
                <w:u w:val="none"/>
                <w:lang w:val="en-US" w:eastAsia="zh-CN" w:bidi="ar"/>
              </w:rPr>
              <w:t>50</w:t>
            </w:r>
          </w:p>
        </w:tc>
        <w:tc>
          <w:tcPr>
            <w:tcW w:w="943" w:type="pct"/>
            <w:vAlign w:val="center"/>
          </w:tcPr>
          <w:p w14:paraId="2196147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p>
        </w:tc>
      </w:tr>
      <w:tr w14:paraId="7996F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shd w:val="clear" w:color="auto" w:fill="auto"/>
            <w:vAlign w:val="center"/>
          </w:tcPr>
          <w:p w14:paraId="7C983EE9">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18</w:t>
            </w:r>
          </w:p>
        </w:tc>
        <w:tc>
          <w:tcPr>
            <w:tcW w:w="1886" w:type="pct"/>
            <w:shd w:val="clear" w:color="auto" w:fill="auto"/>
            <w:vAlign w:val="center"/>
          </w:tcPr>
          <w:p w14:paraId="4D90F3F7">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实训椅</w:t>
            </w:r>
          </w:p>
        </w:tc>
        <w:tc>
          <w:tcPr>
            <w:tcW w:w="805" w:type="pct"/>
            <w:shd w:val="clear" w:color="auto" w:fill="auto"/>
            <w:vAlign w:val="center"/>
          </w:tcPr>
          <w:p w14:paraId="51490168">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把</w:t>
            </w:r>
          </w:p>
        </w:tc>
        <w:tc>
          <w:tcPr>
            <w:tcW w:w="613" w:type="pct"/>
            <w:shd w:val="clear" w:color="auto" w:fill="auto"/>
            <w:vAlign w:val="center"/>
          </w:tcPr>
          <w:p w14:paraId="7C407981">
            <w:pPr>
              <w:keepNext w:val="0"/>
              <w:keepLines w:val="0"/>
              <w:widowControl/>
              <w:suppressLineNumbers w:val="0"/>
              <w:ind w:left="0" w:leftChars="0" w:firstLine="0" w:firstLineChars="0"/>
              <w:jc w:val="center"/>
              <w:textAlignment w:val="center"/>
              <w:rPr>
                <w:rFonts w:hint="eastAsia" w:ascii="Calibri" w:hAnsi="Calibri" w:eastAsia="宋体" w:cs="Times New Roman"/>
                <w:kern w:val="2"/>
                <w:sz w:val="24"/>
                <w:szCs w:val="24"/>
                <w:lang w:val="en-US" w:eastAsia="zh-CN" w:bidi="ar-SA"/>
              </w:rPr>
            </w:pPr>
            <w:r>
              <w:rPr>
                <w:rFonts w:hint="eastAsia" w:ascii="等线" w:hAnsi="等线" w:eastAsia="等线" w:cs="等线"/>
                <w:i w:val="0"/>
                <w:iCs w:val="0"/>
                <w:color w:val="000000"/>
                <w:kern w:val="0"/>
                <w:sz w:val="24"/>
                <w:szCs w:val="24"/>
                <w:u w:val="none"/>
                <w:lang w:val="en-US" w:eastAsia="zh-CN" w:bidi="ar"/>
              </w:rPr>
              <w:t>1</w:t>
            </w:r>
          </w:p>
        </w:tc>
        <w:tc>
          <w:tcPr>
            <w:tcW w:w="943" w:type="pct"/>
            <w:vAlign w:val="center"/>
          </w:tcPr>
          <w:p w14:paraId="3ABA29F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p>
        </w:tc>
      </w:tr>
      <w:tr w14:paraId="4A0D5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shd w:val="clear" w:color="auto" w:fill="auto"/>
            <w:vAlign w:val="center"/>
          </w:tcPr>
          <w:p w14:paraId="70DC0220">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19</w:t>
            </w:r>
          </w:p>
        </w:tc>
        <w:tc>
          <w:tcPr>
            <w:tcW w:w="1886" w:type="pct"/>
            <w:shd w:val="clear" w:color="auto" w:fill="auto"/>
            <w:vAlign w:val="center"/>
          </w:tcPr>
          <w:p w14:paraId="5378B0E1">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双工位桌子</w:t>
            </w:r>
          </w:p>
        </w:tc>
        <w:tc>
          <w:tcPr>
            <w:tcW w:w="805" w:type="pct"/>
            <w:shd w:val="clear" w:color="auto" w:fill="auto"/>
            <w:vAlign w:val="center"/>
          </w:tcPr>
          <w:p w14:paraId="07852A02">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张</w:t>
            </w:r>
          </w:p>
        </w:tc>
        <w:tc>
          <w:tcPr>
            <w:tcW w:w="613" w:type="pct"/>
            <w:shd w:val="clear" w:color="auto" w:fill="auto"/>
            <w:vAlign w:val="center"/>
          </w:tcPr>
          <w:p w14:paraId="67DAEDF4">
            <w:pPr>
              <w:keepNext w:val="0"/>
              <w:keepLines w:val="0"/>
              <w:widowControl/>
              <w:suppressLineNumbers w:val="0"/>
              <w:ind w:left="0" w:leftChars="0" w:firstLine="0" w:firstLineChars="0"/>
              <w:jc w:val="center"/>
              <w:textAlignment w:val="center"/>
              <w:rPr>
                <w:rFonts w:hint="eastAsia" w:ascii="Calibri" w:hAnsi="Calibri" w:eastAsia="宋体" w:cs="Times New Roman"/>
                <w:kern w:val="2"/>
                <w:sz w:val="24"/>
                <w:szCs w:val="24"/>
                <w:lang w:val="en-US" w:eastAsia="zh-CN" w:bidi="ar-SA"/>
              </w:rPr>
            </w:pPr>
            <w:r>
              <w:rPr>
                <w:rFonts w:hint="eastAsia" w:ascii="等线" w:hAnsi="等线" w:eastAsia="等线" w:cs="等线"/>
                <w:i w:val="0"/>
                <w:iCs w:val="0"/>
                <w:color w:val="000000"/>
                <w:kern w:val="0"/>
                <w:sz w:val="24"/>
                <w:szCs w:val="24"/>
                <w:u w:val="none"/>
                <w:lang w:val="en-US" w:eastAsia="zh-CN" w:bidi="ar"/>
              </w:rPr>
              <w:t>25</w:t>
            </w:r>
          </w:p>
        </w:tc>
        <w:tc>
          <w:tcPr>
            <w:tcW w:w="943" w:type="pct"/>
            <w:vAlign w:val="center"/>
          </w:tcPr>
          <w:p w14:paraId="6860141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p>
        </w:tc>
      </w:tr>
      <w:tr w14:paraId="7B781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shd w:val="clear" w:color="auto" w:fill="auto"/>
            <w:vAlign w:val="center"/>
          </w:tcPr>
          <w:p w14:paraId="0D488E7C">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20</w:t>
            </w:r>
          </w:p>
        </w:tc>
        <w:tc>
          <w:tcPr>
            <w:tcW w:w="1886" w:type="pct"/>
            <w:shd w:val="clear" w:color="auto" w:fill="auto"/>
            <w:vAlign w:val="center"/>
          </w:tcPr>
          <w:p w14:paraId="26A32B0F">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静电地板</w:t>
            </w:r>
          </w:p>
        </w:tc>
        <w:tc>
          <w:tcPr>
            <w:tcW w:w="805" w:type="pct"/>
            <w:shd w:val="clear" w:color="auto" w:fill="auto"/>
            <w:vAlign w:val="center"/>
          </w:tcPr>
          <w:p w14:paraId="40341E62">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平方</w:t>
            </w:r>
          </w:p>
        </w:tc>
        <w:tc>
          <w:tcPr>
            <w:tcW w:w="613" w:type="pct"/>
            <w:shd w:val="clear" w:color="auto" w:fill="auto"/>
            <w:vAlign w:val="center"/>
          </w:tcPr>
          <w:p w14:paraId="7FB6DA74">
            <w:pPr>
              <w:keepNext w:val="0"/>
              <w:keepLines w:val="0"/>
              <w:widowControl/>
              <w:suppressLineNumbers w:val="0"/>
              <w:ind w:left="0" w:leftChars="0" w:firstLine="0" w:firstLineChars="0"/>
              <w:jc w:val="center"/>
              <w:textAlignment w:val="center"/>
              <w:rPr>
                <w:rFonts w:hint="eastAsia" w:ascii="Calibri" w:hAnsi="Calibri" w:eastAsia="宋体" w:cs="Times New Roman"/>
                <w:kern w:val="2"/>
                <w:sz w:val="24"/>
                <w:szCs w:val="24"/>
                <w:lang w:val="en-US" w:eastAsia="zh-CN" w:bidi="ar-SA"/>
              </w:rPr>
            </w:pPr>
            <w:r>
              <w:rPr>
                <w:rFonts w:hint="eastAsia" w:ascii="等线" w:hAnsi="等线" w:eastAsia="等线" w:cs="等线"/>
                <w:i w:val="0"/>
                <w:iCs w:val="0"/>
                <w:color w:val="000000"/>
                <w:kern w:val="0"/>
                <w:sz w:val="24"/>
                <w:szCs w:val="24"/>
                <w:u w:val="none"/>
                <w:lang w:val="en-US" w:eastAsia="zh-CN" w:bidi="ar"/>
              </w:rPr>
              <w:t>125</w:t>
            </w:r>
          </w:p>
        </w:tc>
        <w:tc>
          <w:tcPr>
            <w:tcW w:w="943" w:type="pct"/>
            <w:vAlign w:val="center"/>
          </w:tcPr>
          <w:p w14:paraId="7403EC3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p>
        </w:tc>
      </w:tr>
      <w:tr w14:paraId="24E20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pct"/>
            <w:shd w:val="clear" w:color="auto" w:fill="auto"/>
            <w:vAlign w:val="center"/>
          </w:tcPr>
          <w:p w14:paraId="778466C3">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21</w:t>
            </w:r>
          </w:p>
        </w:tc>
        <w:tc>
          <w:tcPr>
            <w:tcW w:w="1886" w:type="pct"/>
            <w:shd w:val="clear" w:color="auto" w:fill="auto"/>
            <w:vAlign w:val="center"/>
          </w:tcPr>
          <w:p w14:paraId="27470CA9">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实训室改造</w:t>
            </w:r>
          </w:p>
        </w:tc>
        <w:tc>
          <w:tcPr>
            <w:tcW w:w="805" w:type="pct"/>
            <w:shd w:val="clear" w:color="auto" w:fill="auto"/>
            <w:vAlign w:val="center"/>
          </w:tcPr>
          <w:p w14:paraId="0B82863F">
            <w:pPr>
              <w:ind w:left="0" w:leftChars="0" w:firstLine="0" w:firstLineChars="0"/>
              <w:jc w:val="center"/>
              <w:rPr>
                <w:rFonts w:hint="eastAsia" w:ascii="Calibri" w:hAnsi="Calibri" w:eastAsia="宋体" w:cs="Times New Roman"/>
                <w:kern w:val="2"/>
                <w:sz w:val="24"/>
                <w:szCs w:val="24"/>
                <w:lang w:val="en-US" w:eastAsia="zh-CN" w:bidi="ar-SA"/>
              </w:rPr>
            </w:pPr>
            <w:r>
              <w:rPr>
                <w:rFonts w:hint="eastAsia"/>
                <w:sz w:val="24"/>
                <w:szCs w:val="24"/>
                <w:lang w:val="en-US" w:eastAsia="zh-CN"/>
              </w:rPr>
              <w:t>项</w:t>
            </w:r>
          </w:p>
        </w:tc>
        <w:tc>
          <w:tcPr>
            <w:tcW w:w="613" w:type="pct"/>
            <w:shd w:val="clear" w:color="auto" w:fill="auto"/>
            <w:vAlign w:val="center"/>
          </w:tcPr>
          <w:p w14:paraId="715DDC4C">
            <w:pPr>
              <w:keepNext w:val="0"/>
              <w:keepLines w:val="0"/>
              <w:widowControl/>
              <w:suppressLineNumbers w:val="0"/>
              <w:ind w:left="0" w:leftChars="0" w:firstLine="0" w:firstLineChars="0"/>
              <w:jc w:val="center"/>
              <w:textAlignment w:val="center"/>
              <w:rPr>
                <w:rFonts w:hint="eastAsia" w:ascii="Calibri" w:hAnsi="Calibri" w:eastAsia="宋体" w:cs="Times New Roman"/>
                <w:kern w:val="2"/>
                <w:sz w:val="24"/>
                <w:szCs w:val="24"/>
                <w:lang w:val="en-US" w:eastAsia="zh-CN" w:bidi="ar-SA"/>
              </w:rPr>
            </w:pPr>
            <w:r>
              <w:rPr>
                <w:rFonts w:hint="eastAsia" w:ascii="等线" w:hAnsi="等线" w:eastAsia="等线" w:cs="等线"/>
                <w:i w:val="0"/>
                <w:iCs w:val="0"/>
                <w:color w:val="000000"/>
                <w:kern w:val="0"/>
                <w:sz w:val="24"/>
                <w:szCs w:val="24"/>
                <w:u w:val="none"/>
                <w:lang w:val="en-US" w:eastAsia="zh-CN" w:bidi="ar"/>
              </w:rPr>
              <w:t>1</w:t>
            </w:r>
          </w:p>
        </w:tc>
        <w:tc>
          <w:tcPr>
            <w:tcW w:w="943" w:type="pct"/>
            <w:vAlign w:val="center"/>
          </w:tcPr>
          <w:p w14:paraId="2D19854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sz w:val="24"/>
                <w:szCs w:val="24"/>
                <w:vertAlign w:val="baseline"/>
                <w:lang w:eastAsia="zh-CN"/>
              </w:rPr>
            </w:pPr>
          </w:p>
        </w:tc>
      </w:tr>
    </w:tbl>
    <w:p w14:paraId="65BA11A5">
      <w:pPr>
        <w:pStyle w:val="2"/>
        <w:ind w:firstLine="602"/>
        <w:rPr>
          <w:rFonts w:hint="eastAsia" w:ascii="Calibri" w:hAnsi="Calibri" w:eastAsia="宋体" w:cs="Times New Roman"/>
          <w:b w:val="0"/>
          <w:kern w:val="2"/>
          <w:sz w:val="24"/>
          <w:szCs w:val="24"/>
          <w:lang w:val="en-US" w:eastAsia="zh-CN" w:bidi="ar-SA"/>
        </w:rPr>
      </w:pPr>
      <w:r>
        <w:rPr>
          <w:rFonts w:hint="eastAsia" w:ascii="Calibri" w:hAnsi="Calibri" w:eastAsia="宋体" w:cs="Times New Roman"/>
          <w:b w:val="0"/>
          <w:kern w:val="2"/>
          <w:sz w:val="24"/>
          <w:szCs w:val="24"/>
          <w:lang w:val="en-US" w:eastAsia="zh-CN" w:bidi="ar-SA"/>
        </w:rPr>
        <w:t>备注：（1） 为落实政府采购强制、优先采购节能产品政策的要求，本项目采购标的物中，需实施政府强制采购的节能品目清单产品类别为</w:t>
      </w:r>
      <w:r>
        <w:rPr>
          <w:rFonts w:hint="eastAsia" w:ascii="Calibri" w:hAnsi="Calibri" w:eastAsia="宋体" w:cs="Times New Roman"/>
          <w:b/>
          <w:bCs/>
          <w:color w:val="FF0000"/>
          <w:kern w:val="2"/>
          <w:sz w:val="24"/>
          <w:szCs w:val="24"/>
          <w:lang w:val="en-US" w:eastAsia="zh-CN" w:bidi="ar-SA"/>
        </w:rPr>
        <w:t>实训计算机</w:t>
      </w:r>
      <w:r>
        <w:rPr>
          <w:rFonts w:hint="eastAsia" w:ascii="Calibri" w:hAnsi="Calibri" w:cs="Times New Roman"/>
          <w:b/>
          <w:bCs/>
          <w:color w:val="FF0000"/>
          <w:kern w:val="2"/>
          <w:sz w:val="24"/>
          <w:szCs w:val="24"/>
          <w:lang w:val="en-US" w:eastAsia="zh-CN" w:bidi="ar-SA"/>
        </w:rPr>
        <w:t>、</w:t>
      </w:r>
      <w:r>
        <w:rPr>
          <w:rFonts w:hint="eastAsia" w:ascii="Calibri" w:hAnsi="Calibri" w:eastAsia="宋体" w:cs="Times New Roman"/>
          <w:b/>
          <w:bCs/>
          <w:color w:val="FF0000"/>
          <w:kern w:val="2"/>
          <w:sz w:val="24"/>
          <w:szCs w:val="24"/>
          <w:lang w:val="en-US" w:eastAsia="zh-CN" w:bidi="ar-SA"/>
        </w:rPr>
        <w:t>实训计算机</w:t>
      </w:r>
      <w:r>
        <w:rPr>
          <w:rFonts w:hint="eastAsia" w:ascii="Calibri" w:hAnsi="Calibri" w:cs="Times New Roman"/>
          <w:b/>
          <w:bCs/>
          <w:color w:val="FF0000"/>
          <w:kern w:val="2"/>
          <w:sz w:val="24"/>
          <w:szCs w:val="24"/>
          <w:lang w:val="en-US" w:eastAsia="zh-CN" w:bidi="ar-SA"/>
        </w:rPr>
        <w:t>显示屏、主控计算机、主控计算机显示屏、智慧黑板、监控电脑主机</w:t>
      </w:r>
      <w:r>
        <w:rPr>
          <w:rFonts w:hint="eastAsia" w:ascii="Calibri" w:hAnsi="Calibri" w:eastAsia="宋体" w:cs="Times New Roman"/>
          <w:b/>
          <w:bCs/>
          <w:color w:val="FF0000"/>
          <w:kern w:val="2"/>
          <w:sz w:val="24"/>
          <w:szCs w:val="24"/>
          <w:lang w:val="en-US" w:eastAsia="zh-CN" w:bidi="ar-SA"/>
        </w:rPr>
        <w:t>，监控电脑显示器</w:t>
      </w:r>
      <w:r>
        <w:rPr>
          <w:rFonts w:hint="eastAsia" w:ascii="Calibri" w:hAnsi="Calibri" w:cs="Times New Roman"/>
          <w:b/>
          <w:bCs/>
          <w:color w:val="FF0000"/>
          <w:kern w:val="2"/>
          <w:sz w:val="24"/>
          <w:szCs w:val="24"/>
          <w:lang w:val="en-US" w:eastAsia="zh-CN" w:bidi="ar-SA"/>
        </w:rPr>
        <w:t>，</w:t>
      </w:r>
      <w:r>
        <w:rPr>
          <w:rFonts w:hint="eastAsia" w:ascii="Calibri" w:hAnsi="Calibri" w:eastAsia="宋体" w:cs="Times New Roman"/>
          <w:b w:val="0"/>
          <w:kern w:val="2"/>
          <w:sz w:val="24"/>
          <w:szCs w:val="24"/>
          <w:lang w:val="en-US" w:eastAsia="zh-CN" w:bidi="ar-SA"/>
        </w:rPr>
        <w:t>供应商须提供《参与实施政府采购节能产品认证机构名录》中相应认证机构出具的产品认证证书。</w:t>
      </w:r>
    </w:p>
    <w:p w14:paraId="0A2FC2BE">
      <w:pPr>
        <w:pStyle w:val="2"/>
        <w:ind w:firstLine="602"/>
        <w:rPr>
          <w:rFonts w:hint="eastAsia" w:ascii="Calibri" w:hAnsi="Calibri" w:eastAsia="宋体" w:cs="Times New Roman"/>
          <w:b/>
          <w:bCs/>
          <w:kern w:val="2"/>
          <w:sz w:val="24"/>
          <w:szCs w:val="24"/>
          <w:lang w:val="en-US" w:eastAsia="zh-CN" w:bidi="ar-SA"/>
        </w:rPr>
      </w:pPr>
      <w:r>
        <w:rPr>
          <w:rFonts w:hint="eastAsia" w:ascii="Calibri" w:hAnsi="Calibri" w:eastAsia="宋体" w:cs="Times New Roman"/>
          <w:b/>
          <w:bCs/>
          <w:kern w:val="2"/>
          <w:sz w:val="24"/>
          <w:szCs w:val="24"/>
          <w:lang w:val="en-US" w:eastAsia="zh-CN" w:bidi="ar-SA"/>
        </w:rPr>
        <w:t>★（2）供应商提供承诺函，承诺</w:t>
      </w:r>
      <w:r>
        <w:rPr>
          <w:rFonts w:hint="eastAsia" w:ascii="Calibri" w:hAnsi="Calibri" w:eastAsia="宋体" w:cs="Times New Roman"/>
          <w:b/>
          <w:bCs/>
          <w:color w:val="FF0000"/>
          <w:kern w:val="2"/>
          <w:sz w:val="24"/>
          <w:szCs w:val="24"/>
          <w:lang w:val="en-US" w:eastAsia="zh-CN" w:bidi="ar-SA"/>
        </w:rPr>
        <w:t>实训计算机</w:t>
      </w:r>
      <w:r>
        <w:rPr>
          <w:rFonts w:hint="eastAsia" w:ascii="Calibri" w:hAnsi="Calibri" w:cs="Times New Roman"/>
          <w:b/>
          <w:bCs/>
          <w:color w:val="FF0000"/>
          <w:kern w:val="2"/>
          <w:sz w:val="24"/>
          <w:szCs w:val="24"/>
          <w:lang w:val="en-US" w:eastAsia="zh-CN" w:bidi="ar-SA"/>
        </w:rPr>
        <w:t>、主控计算机、监控电脑主机</w:t>
      </w:r>
      <w:r>
        <w:rPr>
          <w:rFonts w:hint="eastAsia" w:ascii="Calibri" w:hAnsi="Calibri" w:eastAsia="宋体" w:cs="Times New Roman"/>
          <w:b/>
          <w:bCs/>
          <w:kern w:val="2"/>
          <w:sz w:val="24"/>
          <w:szCs w:val="24"/>
          <w:lang w:val="en-US" w:eastAsia="zh-CN" w:bidi="ar-SA"/>
        </w:rPr>
        <w:t>满足财政部《台式计算机政府采购需求标准（2023 年版）》（财库〔2023〕29号）通知全部*指标（不包括序号183关于</w:t>
      </w:r>
      <w:r>
        <w:rPr>
          <w:rFonts w:hint="eastAsia" w:ascii="Calibri" w:hAnsi="Calibri" w:cs="Times New Roman"/>
          <w:b/>
          <w:bCs/>
          <w:kern w:val="2"/>
          <w:sz w:val="24"/>
          <w:szCs w:val="24"/>
          <w:lang w:val="en-US" w:eastAsia="zh-CN" w:bidi="ar-SA"/>
        </w:rPr>
        <w:t>CPU</w:t>
      </w:r>
      <w:r>
        <w:rPr>
          <w:rFonts w:hint="eastAsia" w:ascii="Calibri" w:hAnsi="Calibri" w:eastAsia="宋体" w:cs="Times New Roman"/>
          <w:b/>
          <w:bCs/>
          <w:kern w:val="2"/>
          <w:sz w:val="24"/>
          <w:szCs w:val="24"/>
          <w:lang w:val="en-US" w:eastAsia="zh-CN" w:bidi="ar-SA"/>
        </w:rPr>
        <w:t>和操作系统安全可靠测评要求）。</w:t>
      </w:r>
    </w:p>
    <w:p w14:paraId="0B46FB2C">
      <w:pPr>
        <w:rPr>
          <w:rFonts w:hint="eastAsia"/>
          <w:sz w:val="24"/>
          <w:szCs w:val="24"/>
          <w:lang w:val="en-US" w:eastAsia="zh-CN"/>
        </w:rPr>
      </w:pPr>
      <w:r>
        <w:rPr>
          <w:rFonts w:hint="eastAsia" w:ascii="Calibri" w:hAnsi="Calibri" w:eastAsia="宋体" w:cs="Times New Roman"/>
          <w:b/>
          <w:bCs/>
          <w:kern w:val="2"/>
          <w:sz w:val="24"/>
          <w:szCs w:val="24"/>
          <w:lang w:val="en-US" w:eastAsia="zh-CN" w:bidi="ar-SA"/>
        </w:rPr>
        <w:t>★</w:t>
      </w:r>
      <w:r>
        <w:rPr>
          <w:rFonts w:hint="eastAsia" w:cs="Times New Roman"/>
          <w:b/>
          <w:bCs/>
          <w:kern w:val="2"/>
          <w:sz w:val="24"/>
          <w:szCs w:val="24"/>
          <w:lang w:val="en-US" w:eastAsia="zh-CN" w:bidi="ar-SA"/>
        </w:rPr>
        <w:t>（3）</w:t>
      </w:r>
      <w:r>
        <w:rPr>
          <w:rFonts w:hint="eastAsia" w:ascii="Calibri" w:hAnsi="Calibri" w:eastAsia="宋体" w:cs="Times New Roman"/>
          <w:b/>
          <w:bCs/>
          <w:kern w:val="2"/>
          <w:sz w:val="24"/>
          <w:szCs w:val="24"/>
          <w:lang w:val="en-US" w:eastAsia="zh-CN" w:bidi="ar-SA"/>
        </w:rPr>
        <w:t>供应商提供承诺函，承诺</w:t>
      </w:r>
      <w:r>
        <w:rPr>
          <w:rFonts w:hint="eastAsia" w:ascii="Calibri" w:hAnsi="Calibri" w:eastAsia="宋体" w:cs="Times New Roman"/>
          <w:b/>
          <w:bCs/>
          <w:color w:val="FF0000"/>
          <w:kern w:val="2"/>
          <w:sz w:val="24"/>
          <w:szCs w:val="24"/>
          <w:lang w:val="en-US" w:eastAsia="zh-CN" w:bidi="ar-SA"/>
        </w:rPr>
        <w:t>管理服务器</w:t>
      </w:r>
      <w:r>
        <w:rPr>
          <w:rFonts w:hint="eastAsia" w:cs="Times New Roman"/>
          <w:b/>
          <w:bCs/>
          <w:color w:val="FF0000"/>
          <w:kern w:val="2"/>
          <w:sz w:val="24"/>
          <w:szCs w:val="24"/>
          <w:lang w:val="en-US" w:eastAsia="zh-CN" w:bidi="ar-SA"/>
        </w:rPr>
        <w:t>（通用服务器）</w:t>
      </w:r>
      <w:r>
        <w:rPr>
          <w:rFonts w:hint="eastAsia" w:cs="Times New Roman"/>
          <w:b/>
          <w:bCs/>
          <w:kern w:val="2"/>
          <w:sz w:val="24"/>
          <w:szCs w:val="24"/>
          <w:lang w:val="en-US" w:eastAsia="zh-CN" w:bidi="ar-SA"/>
        </w:rPr>
        <w:t>满足财政部《通用服务器政府采购需求标准（2023年版）》（财库〔2023〕33号）通知全部*指标</w:t>
      </w:r>
      <w:r>
        <w:rPr>
          <w:rFonts w:hint="eastAsia" w:ascii="Calibri" w:hAnsi="Calibri" w:eastAsia="宋体" w:cs="Times New Roman"/>
          <w:b/>
          <w:bCs/>
          <w:kern w:val="2"/>
          <w:sz w:val="24"/>
          <w:szCs w:val="24"/>
          <w:lang w:val="en-US" w:eastAsia="zh-CN" w:bidi="ar-SA"/>
        </w:rPr>
        <w:t>（不包括序号</w:t>
      </w:r>
      <w:r>
        <w:rPr>
          <w:rFonts w:hint="eastAsia" w:eastAsia="宋体" w:cs="Times New Roman"/>
          <w:b/>
          <w:bCs/>
          <w:kern w:val="2"/>
          <w:sz w:val="24"/>
          <w:szCs w:val="24"/>
          <w:lang w:val="en-US" w:eastAsia="zh-CN" w:bidi="ar-SA"/>
        </w:rPr>
        <w:t>75</w:t>
      </w:r>
      <w:r>
        <w:rPr>
          <w:rFonts w:hint="eastAsia" w:ascii="Calibri" w:hAnsi="Calibri" w:eastAsia="宋体" w:cs="Times New Roman"/>
          <w:b/>
          <w:bCs/>
          <w:kern w:val="2"/>
          <w:sz w:val="24"/>
          <w:szCs w:val="24"/>
          <w:lang w:val="en-US" w:eastAsia="zh-CN" w:bidi="ar-SA"/>
        </w:rPr>
        <w:t>关于</w:t>
      </w:r>
      <w:r>
        <w:rPr>
          <w:rFonts w:hint="eastAsia" w:cs="Times New Roman"/>
          <w:b/>
          <w:bCs/>
          <w:kern w:val="2"/>
          <w:sz w:val="24"/>
          <w:szCs w:val="24"/>
          <w:lang w:val="en-US" w:eastAsia="zh-CN" w:bidi="ar-SA"/>
        </w:rPr>
        <w:t>CPU</w:t>
      </w:r>
      <w:r>
        <w:rPr>
          <w:rFonts w:hint="eastAsia" w:ascii="Calibri" w:hAnsi="Calibri" w:eastAsia="宋体" w:cs="Times New Roman"/>
          <w:b/>
          <w:bCs/>
          <w:kern w:val="2"/>
          <w:sz w:val="24"/>
          <w:szCs w:val="24"/>
          <w:lang w:val="en-US" w:eastAsia="zh-CN" w:bidi="ar-SA"/>
        </w:rPr>
        <w:t>和操作系统安全可靠测评要求）</w:t>
      </w:r>
      <w:r>
        <w:rPr>
          <w:rFonts w:hint="eastAsia" w:cs="Times New Roman"/>
          <w:b/>
          <w:bCs/>
          <w:kern w:val="2"/>
          <w:sz w:val="24"/>
          <w:szCs w:val="24"/>
          <w:lang w:val="en-US" w:eastAsia="zh-CN" w:bidi="ar-SA"/>
        </w:rPr>
        <w:t>。</w:t>
      </w:r>
    </w:p>
    <w:p w14:paraId="678DDDC9">
      <w:pPr>
        <w:rPr>
          <w:rFonts w:hint="eastAsia" w:eastAsia="宋体"/>
          <w:sz w:val="30"/>
          <w:szCs w:val="30"/>
          <w:lang w:eastAsia="zh-CN"/>
        </w:rPr>
      </w:pPr>
      <w:r>
        <w:rPr>
          <w:rFonts w:hint="eastAsia"/>
          <w:sz w:val="24"/>
          <w:szCs w:val="24"/>
          <w:lang w:val="en-US" w:eastAsia="zh-CN"/>
        </w:rPr>
        <w:t>（4）核心产品为</w:t>
      </w:r>
      <w:r>
        <w:rPr>
          <w:rFonts w:hint="eastAsia"/>
          <w:b/>
          <w:bCs/>
          <w:sz w:val="24"/>
          <w:szCs w:val="24"/>
          <w:lang w:val="en-US" w:eastAsia="zh-CN"/>
        </w:rPr>
        <w:t>实训计算机，</w:t>
      </w:r>
      <w:r>
        <w:rPr>
          <w:rFonts w:hint="eastAsia"/>
          <w:sz w:val="24"/>
          <w:szCs w:val="24"/>
          <w:lang w:val="en-US" w:eastAsia="zh-CN"/>
        </w:rPr>
        <w:t>提供相同品牌的不同投标人按一家投标人计算，核心产品不足三个品牌会导致废标。</w:t>
      </w:r>
    </w:p>
    <w:p w14:paraId="3E804722">
      <w:pPr>
        <w:rPr>
          <w:rFonts w:hint="eastAsia" w:eastAsia="宋体"/>
          <w:sz w:val="30"/>
          <w:szCs w:val="30"/>
          <w:lang w:eastAsia="zh-CN"/>
        </w:rPr>
      </w:pPr>
      <w:r>
        <w:rPr>
          <w:rFonts w:hint="eastAsia" w:eastAsia="宋体"/>
          <w:sz w:val="30"/>
          <w:szCs w:val="30"/>
          <w:lang w:eastAsia="zh-CN"/>
        </w:rPr>
        <w:br w:type="page"/>
      </w:r>
    </w:p>
    <w:p w14:paraId="6B69EA02">
      <w:pPr>
        <w:pStyle w:val="2"/>
        <w:ind w:firstLine="602"/>
        <w:rPr>
          <w:rFonts w:hint="eastAsia" w:eastAsia="宋体"/>
          <w:sz w:val="30"/>
          <w:szCs w:val="30"/>
          <w:lang w:eastAsia="zh-CN"/>
        </w:rPr>
      </w:pPr>
      <w:r>
        <w:rPr>
          <w:rFonts w:hint="eastAsia" w:eastAsia="宋体"/>
          <w:sz w:val="30"/>
          <w:szCs w:val="30"/>
          <w:lang w:eastAsia="zh-CN"/>
        </w:rPr>
        <w:t>（三）技术、服务要求</w:t>
      </w:r>
    </w:p>
    <w:tbl>
      <w:tblPr>
        <w:tblStyle w:val="21"/>
        <w:tblW w:w="4996" w:type="pct"/>
        <w:jc w:val="center"/>
        <w:tblLayout w:type="autofit"/>
        <w:tblCellMar>
          <w:top w:w="15" w:type="dxa"/>
          <w:left w:w="15" w:type="dxa"/>
          <w:bottom w:w="15" w:type="dxa"/>
          <w:right w:w="15" w:type="dxa"/>
        </w:tblCellMar>
      </w:tblPr>
      <w:tblGrid>
        <w:gridCol w:w="769"/>
        <w:gridCol w:w="1428"/>
        <w:gridCol w:w="7040"/>
      </w:tblGrid>
      <w:tr w14:paraId="6F34C05E">
        <w:tblPrEx>
          <w:tblCellMar>
            <w:top w:w="15" w:type="dxa"/>
            <w:left w:w="15" w:type="dxa"/>
            <w:bottom w:w="15" w:type="dxa"/>
            <w:right w:w="15" w:type="dxa"/>
          </w:tblCellMar>
        </w:tblPrEx>
        <w:trPr>
          <w:trHeight w:val="90" w:hRule="atLeast"/>
          <w:jc w:val="center"/>
        </w:trPr>
        <w:tc>
          <w:tcPr>
            <w:tcW w:w="416" w:type="pct"/>
            <w:tcBorders>
              <w:top w:val="single" w:color="000000" w:sz="4" w:space="0"/>
              <w:left w:val="single" w:color="000000" w:sz="4" w:space="0"/>
              <w:bottom w:val="single" w:color="auto" w:sz="4" w:space="0"/>
              <w:right w:val="single" w:color="000000" w:sz="4" w:space="0"/>
            </w:tcBorders>
            <w:noWrap w:val="0"/>
            <w:vAlign w:val="center"/>
          </w:tcPr>
          <w:p w14:paraId="199A28EF">
            <w:pPr>
              <w:ind w:firstLine="0" w:firstLineChars="0"/>
              <w:jc w:val="center"/>
              <w:textAlignment w:val="center"/>
              <w:rPr>
                <w:rFonts w:hint="eastAsia" w:ascii="宋体" w:hAnsi="宋体" w:cs="宋体"/>
                <w:color w:val="000000"/>
                <w:kern w:val="0"/>
                <w:sz w:val="24"/>
                <w:szCs w:val="24"/>
              </w:rPr>
            </w:pPr>
            <w:r>
              <w:rPr>
                <w:rFonts w:hint="eastAsia" w:ascii="宋体" w:hAnsi="宋体" w:cs="宋体"/>
                <w:b/>
                <w:bCs/>
                <w:color w:val="000000"/>
                <w:kern w:val="0"/>
                <w:sz w:val="24"/>
                <w:szCs w:val="24"/>
              </w:rPr>
              <w:t>序号</w:t>
            </w:r>
          </w:p>
        </w:tc>
        <w:tc>
          <w:tcPr>
            <w:tcW w:w="773" w:type="pct"/>
            <w:tcBorders>
              <w:top w:val="single" w:color="000000" w:sz="4" w:space="0"/>
              <w:left w:val="single" w:color="000000" w:sz="4" w:space="0"/>
              <w:bottom w:val="single" w:color="auto" w:sz="4" w:space="0"/>
              <w:right w:val="single" w:color="000000" w:sz="4" w:space="0"/>
            </w:tcBorders>
            <w:noWrap w:val="0"/>
            <w:vAlign w:val="center"/>
          </w:tcPr>
          <w:p w14:paraId="1D3067D5">
            <w:pPr>
              <w:ind w:firstLine="0" w:firstLineChars="0"/>
              <w:jc w:val="center"/>
              <w:textAlignment w:val="center"/>
              <w:rPr>
                <w:rFonts w:hint="eastAsia" w:ascii="宋体" w:hAnsi="宋体" w:cs="宋体"/>
                <w:color w:val="000000"/>
                <w:kern w:val="0"/>
                <w:sz w:val="24"/>
                <w:szCs w:val="24"/>
              </w:rPr>
            </w:pPr>
            <w:r>
              <w:rPr>
                <w:rFonts w:hint="eastAsia" w:ascii="宋体" w:hAnsi="宋体" w:cs="宋体"/>
                <w:b/>
                <w:color w:val="000000"/>
                <w:kern w:val="0"/>
                <w:sz w:val="24"/>
                <w:szCs w:val="24"/>
              </w:rPr>
              <w:t>名称</w:t>
            </w:r>
          </w:p>
        </w:tc>
        <w:tc>
          <w:tcPr>
            <w:tcW w:w="3810" w:type="pct"/>
            <w:tcBorders>
              <w:top w:val="single" w:color="000000" w:sz="4" w:space="0"/>
              <w:left w:val="single" w:color="000000" w:sz="4" w:space="0"/>
              <w:bottom w:val="single" w:color="auto" w:sz="4" w:space="0"/>
              <w:right w:val="single" w:color="000000" w:sz="4" w:space="0"/>
            </w:tcBorders>
            <w:noWrap w:val="0"/>
            <w:vAlign w:val="center"/>
          </w:tcPr>
          <w:p w14:paraId="68AEFE48">
            <w:pPr>
              <w:ind w:firstLine="0" w:firstLineChars="0"/>
              <w:jc w:val="center"/>
              <w:textAlignment w:val="center"/>
              <w:rPr>
                <w:rFonts w:hint="eastAsia" w:ascii="宋体" w:hAnsi="宋体" w:cs="宋体"/>
                <w:color w:val="000000"/>
                <w:sz w:val="24"/>
                <w:szCs w:val="24"/>
              </w:rPr>
            </w:pPr>
            <w:r>
              <w:rPr>
                <w:rFonts w:hint="eastAsia" w:ascii="宋体" w:hAnsi="宋体" w:cs="宋体"/>
                <w:b/>
                <w:color w:val="000000"/>
                <w:kern w:val="0"/>
                <w:sz w:val="24"/>
                <w:szCs w:val="24"/>
              </w:rPr>
              <w:t>性能/配置</w:t>
            </w:r>
          </w:p>
        </w:tc>
      </w:tr>
      <w:tr w14:paraId="0FA73202">
        <w:tblPrEx>
          <w:tblCellMar>
            <w:top w:w="15" w:type="dxa"/>
            <w:left w:w="15" w:type="dxa"/>
            <w:bottom w:w="15" w:type="dxa"/>
            <w:right w:w="15" w:type="dxa"/>
          </w:tblCellMar>
        </w:tblPrEx>
        <w:trPr>
          <w:trHeight w:val="576" w:hRule="atLeast"/>
          <w:jc w:val="center"/>
        </w:trPr>
        <w:tc>
          <w:tcPr>
            <w:tcW w:w="416" w:type="pct"/>
            <w:tcBorders>
              <w:top w:val="single" w:color="auto" w:sz="4" w:space="0"/>
              <w:left w:val="single" w:color="auto" w:sz="4" w:space="0"/>
              <w:bottom w:val="single" w:color="auto" w:sz="4" w:space="0"/>
              <w:right w:val="single" w:color="auto" w:sz="4" w:space="0"/>
            </w:tcBorders>
            <w:noWrap w:val="0"/>
            <w:vAlign w:val="center"/>
          </w:tcPr>
          <w:p w14:paraId="55E314D4">
            <w:pPr>
              <w:numPr>
                <w:ilvl w:val="0"/>
                <w:numId w:val="0"/>
              </w:numPr>
              <w:ind w:leftChars="200"/>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1</w:t>
            </w:r>
          </w:p>
        </w:tc>
        <w:tc>
          <w:tcPr>
            <w:tcW w:w="773" w:type="pct"/>
            <w:tcBorders>
              <w:top w:val="single" w:color="auto" w:sz="4" w:space="0"/>
              <w:left w:val="single" w:color="auto" w:sz="4" w:space="0"/>
              <w:bottom w:val="single" w:color="auto" w:sz="4" w:space="0"/>
              <w:right w:val="single" w:color="auto" w:sz="4" w:space="0"/>
            </w:tcBorders>
            <w:noWrap w:val="0"/>
            <w:vAlign w:val="center"/>
          </w:tcPr>
          <w:p w14:paraId="6A628E06">
            <w:pPr>
              <w:numPr>
                <w:ilvl w:val="0"/>
                <w:numId w:val="0"/>
              </w:numPr>
              <w:jc w:val="cente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管理服务器</w:t>
            </w:r>
          </w:p>
        </w:tc>
        <w:tc>
          <w:tcPr>
            <w:tcW w:w="3810" w:type="pct"/>
            <w:tcBorders>
              <w:top w:val="single" w:color="auto" w:sz="4" w:space="0"/>
              <w:left w:val="single" w:color="auto" w:sz="4" w:space="0"/>
              <w:bottom w:val="single" w:color="auto" w:sz="4" w:space="0"/>
              <w:right w:val="single" w:color="auto" w:sz="4" w:space="0"/>
            </w:tcBorders>
            <w:noWrap w:val="0"/>
            <w:vAlign w:val="center"/>
          </w:tcPr>
          <w:p w14:paraId="39CF0C89">
            <w:pPr>
              <w:ind w:firstLine="0" w:firstLineChars="0"/>
              <w:rPr>
                <w:rFonts w:hint="eastAsia" w:ascii="宋体" w:hAnsi="宋体" w:eastAsia="宋体" w:cs="宋体"/>
                <w:sz w:val="24"/>
                <w:szCs w:val="24"/>
                <w:lang w:val="zh-CN"/>
              </w:rPr>
            </w:pPr>
            <w:r>
              <w:rPr>
                <w:rFonts w:hint="eastAsia" w:ascii="宋体" w:hAnsi="宋体" w:eastAsia="宋体" w:cs="宋体"/>
                <w:sz w:val="24"/>
                <w:szCs w:val="24"/>
                <w:lang w:val="zh-CN"/>
              </w:rPr>
              <w:t>1、规格：2U</w:t>
            </w:r>
            <w:r>
              <w:rPr>
                <w:rFonts w:hint="eastAsia" w:ascii="宋体" w:hAnsi="宋体" w:eastAsia="宋体" w:cs="宋体"/>
                <w:sz w:val="24"/>
                <w:szCs w:val="24"/>
                <w:lang w:val="en-US" w:eastAsia="zh-CN"/>
              </w:rPr>
              <w:t>通用</w:t>
            </w:r>
            <w:r>
              <w:rPr>
                <w:rFonts w:hint="eastAsia" w:ascii="宋体" w:hAnsi="宋体" w:eastAsia="宋体" w:cs="宋体"/>
                <w:sz w:val="24"/>
                <w:szCs w:val="24"/>
                <w:lang w:val="zh-CN"/>
              </w:rPr>
              <w:t>服务器。</w:t>
            </w:r>
          </w:p>
          <w:p w14:paraId="612FA530">
            <w:pPr>
              <w:ind w:firstLine="0" w:firstLineChars="0"/>
              <w:rPr>
                <w:rFonts w:hint="eastAsia" w:ascii="宋体" w:hAnsi="宋体" w:eastAsia="宋体" w:cs="宋体"/>
                <w:sz w:val="24"/>
                <w:szCs w:val="24"/>
                <w:lang w:val="zh-CN"/>
              </w:rPr>
            </w:pPr>
            <w:r>
              <w:rPr>
                <w:rFonts w:hint="eastAsia" w:ascii="宋体" w:hAnsi="宋体" w:eastAsia="宋体" w:cs="宋体"/>
                <w:sz w:val="24"/>
                <w:szCs w:val="24"/>
                <w:lang w:val="en-US" w:eastAsia="zh-CN"/>
              </w:rPr>
              <w:t>2</w:t>
            </w:r>
            <w:r>
              <w:rPr>
                <w:rFonts w:hint="eastAsia" w:ascii="宋体" w:hAnsi="宋体" w:eastAsia="宋体" w:cs="宋体"/>
                <w:sz w:val="24"/>
                <w:szCs w:val="24"/>
                <w:lang w:val="zh-CN"/>
              </w:rPr>
              <w:t>、处理器：单颗</w:t>
            </w:r>
            <w:r>
              <w:rPr>
                <w:rFonts w:hint="default" w:ascii="宋体" w:hAnsi="宋体" w:cs="宋体"/>
                <w:sz w:val="24"/>
                <w:szCs w:val="24"/>
              </w:rPr>
              <w:t>处理器</w:t>
            </w:r>
            <w:r>
              <w:rPr>
                <w:rFonts w:hint="eastAsia" w:ascii="宋体" w:hAnsi="宋体" w:eastAsia="宋体" w:cs="宋体"/>
                <w:sz w:val="24"/>
                <w:szCs w:val="24"/>
                <w:lang w:val="zh-CN"/>
              </w:rPr>
              <w:t>主频≥2.1GHz，≥12核，缓存≥18MB，可选最大可支持至32核处理器，支持≥205W处理器。</w:t>
            </w:r>
          </w:p>
          <w:p w14:paraId="529C1DC4">
            <w:pPr>
              <w:ind w:firstLine="0" w:firstLineChars="0"/>
              <w:rPr>
                <w:rFonts w:hint="eastAsia" w:ascii="宋体" w:hAnsi="宋体" w:eastAsia="宋体" w:cs="宋体"/>
                <w:sz w:val="24"/>
                <w:szCs w:val="24"/>
                <w:lang w:val="zh-CN"/>
              </w:rPr>
            </w:pPr>
            <w:r>
              <w:rPr>
                <w:rFonts w:hint="eastAsia" w:ascii="宋体" w:hAnsi="宋体" w:eastAsia="宋体" w:cs="宋体"/>
                <w:sz w:val="24"/>
                <w:szCs w:val="24"/>
                <w:lang w:val="en-US" w:eastAsia="zh-CN"/>
              </w:rPr>
              <w:t>3</w:t>
            </w:r>
            <w:r>
              <w:rPr>
                <w:rFonts w:hint="eastAsia" w:ascii="宋体" w:hAnsi="宋体" w:eastAsia="宋体" w:cs="宋体"/>
                <w:sz w:val="24"/>
                <w:szCs w:val="24"/>
                <w:lang w:val="zh-CN"/>
              </w:rPr>
              <w:t>、内存：≥</w:t>
            </w:r>
            <w:r>
              <w:rPr>
                <w:rFonts w:hint="eastAsia" w:ascii="宋体" w:hAnsi="宋体" w:eastAsia="宋体" w:cs="宋体"/>
                <w:sz w:val="24"/>
                <w:szCs w:val="24"/>
                <w:lang w:val="en-US" w:eastAsia="zh-CN"/>
              </w:rPr>
              <w:t>1*</w:t>
            </w:r>
            <w:r>
              <w:rPr>
                <w:rFonts w:hint="eastAsia" w:ascii="宋体" w:hAnsi="宋体" w:eastAsia="宋体" w:cs="宋体"/>
                <w:sz w:val="24"/>
                <w:szCs w:val="24"/>
                <w:lang w:val="zh-CN"/>
              </w:rPr>
              <w:t>32G DDR4 3200MHz内存，最多支持16个TruDDR4 3200MHz内存插槽，最大支持≥1TB内存扩展。</w:t>
            </w:r>
          </w:p>
          <w:p w14:paraId="432DFD7C">
            <w:pPr>
              <w:ind w:firstLine="0" w:firstLineChars="0"/>
              <w:rPr>
                <w:rFonts w:hint="eastAsia" w:ascii="宋体" w:hAnsi="宋体" w:eastAsia="宋体" w:cs="宋体"/>
                <w:sz w:val="24"/>
                <w:szCs w:val="24"/>
                <w:lang w:val="zh-CN"/>
              </w:rPr>
            </w:pPr>
            <w:r>
              <w:rPr>
                <w:rFonts w:hint="eastAsia" w:ascii="宋体" w:hAnsi="宋体" w:eastAsia="宋体" w:cs="宋体"/>
                <w:sz w:val="24"/>
                <w:szCs w:val="24"/>
                <w:lang w:val="en-US" w:eastAsia="zh-CN"/>
              </w:rPr>
              <w:t>4</w:t>
            </w:r>
            <w:r>
              <w:rPr>
                <w:rFonts w:hint="eastAsia" w:ascii="宋体" w:hAnsi="宋体" w:eastAsia="宋体" w:cs="宋体"/>
                <w:sz w:val="24"/>
                <w:szCs w:val="24"/>
                <w:lang w:val="zh-CN"/>
              </w:rPr>
              <w:t>、硬盘：≥1*960G SSD+1*8T SATA机械硬盘，≥8个2.5英寸热插拔SAS/SATA/NVME硬盘，≥2个内置M.2固态硬盘。</w:t>
            </w:r>
          </w:p>
          <w:p w14:paraId="48A5B6DE">
            <w:pPr>
              <w:ind w:firstLine="0" w:firstLineChars="0"/>
              <w:rPr>
                <w:rFonts w:hint="eastAsia" w:ascii="宋体" w:hAnsi="宋体" w:eastAsia="宋体" w:cs="宋体"/>
                <w:sz w:val="24"/>
                <w:szCs w:val="24"/>
                <w:lang w:val="zh-CN"/>
              </w:rPr>
            </w:pPr>
            <w:r>
              <w:rPr>
                <w:rFonts w:hint="eastAsia" w:ascii="宋体" w:hAnsi="宋体" w:eastAsia="宋体" w:cs="宋体"/>
                <w:sz w:val="24"/>
                <w:szCs w:val="24"/>
                <w:lang w:val="en-US" w:eastAsia="zh-CN"/>
              </w:rPr>
              <w:t>5</w:t>
            </w:r>
            <w:r>
              <w:rPr>
                <w:rFonts w:hint="eastAsia" w:ascii="宋体" w:hAnsi="宋体" w:eastAsia="宋体" w:cs="宋体"/>
                <w:sz w:val="24"/>
                <w:szCs w:val="24"/>
                <w:lang w:val="zh-CN"/>
              </w:rPr>
              <w:t>、阵列卡：支持Broadcom Riad卡</w:t>
            </w:r>
            <w:r>
              <w:rPr>
                <w:rFonts w:hint="default" w:ascii="宋体" w:hAnsi="宋体" w:cs="宋体"/>
                <w:sz w:val="24"/>
                <w:szCs w:val="24"/>
              </w:rPr>
              <w:t>、</w:t>
            </w:r>
            <w:r>
              <w:rPr>
                <w:rFonts w:hint="eastAsia" w:ascii="宋体" w:hAnsi="宋体" w:eastAsia="宋体" w:cs="宋体"/>
                <w:sz w:val="24"/>
                <w:szCs w:val="24"/>
                <w:lang w:val="zh-CN"/>
              </w:rPr>
              <w:t>支持JBOD模式和RAID级别0、1、5、10、50和60或0、1、5、6、10、50、60。</w:t>
            </w:r>
          </w:p>
          <w:p w14:paraId="16F3B40B">
            <w:pPr>
              <w:ind w:firstLine="0" w:firstLineChars="0"/>
              <w:rPr>
                <w:rFonts w:hint="eastAsia" w:ascii="宋体" w:hAnsi="宋体" w:eastAsia="宋体" w:cs="宋体"/>
                <w:sz w:val="24"/>
                <w:szCs w:val="24"/>
                <w:lang w:val="zh-CN"/>
              </w:rPr>
            </w:pPr>
            <w:r>
              <w:rPr>
                <w:rFonts w:hint="eastAsia" w:ascii="宋体" w:hAnsi="宋体" w:eastAsia="宋体" w:cs="宋体"/>
                <w:sz w:val="24"/>
                <w:szCs w:val="24"/>
                <w:lang w:val="en-US" w:eastAsia="zh-CN"/>
              </w:rPr>
              <w:t>6</w:t>
            </w:r>
            <w:r>
              <w:rPr>
                <w:rFonts w:hint="eastAsia" w:ascii="宋体" w:hAnsi="宋体" w:eastAsia="宋体" w:cs="宋体"/>
                <w:sz w:val="24"/>
                <w:szCs w:val="24"/>
                <w:lang w:val="zh-CN"/>
              </w:rPr>
              <w:t>、网卡：双口千兆网卡，支持≥1个OCP 3.0网卡，万兆和25Gb网卡。</w:t>
            </w:r>
          </w:p>
          <w:p w14:paraId="78AB40F1">
            <w:pPr>
              <w:ind w:firstLine="0" w:firstLineChars="0"/>
              <w:rPr>
                <w:rFonts w:hint="eastAsia" w:ascii="宋体" w:hAnsi="宋体" w:eastAsia="宋体" w:cs="宋体"/>
                <w:sz w:val="24"/>
                <w:szCs w:val="24"/>
                <w:lang w:val="zh-CN"/>
              </w:rPr>
            </w:pPr>
            <w:r>
              <w:rPr>
                <w:rFonts w:hint="eastAsia" w:ascii="宋体" w:hAnsi="宋体" w:eastAsia="宋体" w:cs="宋体"/>
                <w:sz w:val="24"/>
                <w:szCs w:val="24"/>
                <w:lang w:val="en-US" w:eastAsia="zh-CN"/>
              </w:rPr>
              <w:t>7</w:t>
            </w:r>
            <w:r>
              <w:rPr>
                <w:rFonts w:hint="eastAsia" w:ascii="宋体" w:hAnsi="宋体" w:eastAsia="宋体" w:cs="宋体"/>
                <w:sz w:val="24"/>
                <w:szCs w:val="24"/>
                <w:lang w:val="zh-CN"/>
              </w:rPr>
              <w:t>、电源：≥1*600W电源，支持1+1冗余电源，支持550W/800W/1200W 220VAC 80 Plus Platinum。</w:t>
            </w:r>
          </w:p>
          <w:p w14:paraId="58B88A7B">
            <w:pPr>
              <w:ind w:firstLine="0" w:firstLineChars="0"/>
              <w:rPr>
                <w:rFonts w:hint="eastAsia" w:ascii="宋体" w:hAnsi="宋体" w:eastAsia="宋体" w:cs="宋体"/>
                <w:sz w:val="24"/>
                <w:szCs w:val="24"/>
                <w:lang w:val="zh-CN"/>
              </w:rPr>
            </w:pPr>
            <w:r>
              <w:rPr>
                <w:rFonts w:hint="eastAsia" w:ascii="宋体" w:hAnsi="宋体" w:eastAsia="宋体" w:cs="宋体"/>
                <w:sz w:val="24"/>
                <w:szCs w:val="24"/>
                <w:lang w:val="en-US" w:eastAsia="zh-CN"/>
              </w:rPr>
              <w:t>8</w:t>
            </w:r>
            <w:r>
              <w:rPr>
                <w:rFonts w:hint="eastAsia" w:ascii="宋体" w:hAnsi="宋体" w:eastAsia="宋体" w:cs="宋体"/>
                <w:sz w:val="24"/>
                <w:szCs w:val="24"/>
                <w:lang w:val="zh-CN"/>
              </w:rPr>
              <w:t>、冷却系统：≥四个热插拔风扇，支持N+1冗余。</w:t>
            </w:r>
          </w:p>
          <w:p w14:paraId="1F16E08F">
            <w:pPr>
              <w:numPr>
                <w:ilvl w:val="0"/>
                <w:numId w:val="0"/>
              </w:numPr>
              <w:rPr>
                <w:rFonts w:hint="eastAsia" w:ascii="宋体" w:hAnsi="宋体" w:eastAsia="宋体" w:cs="宋体"/>
                <w:sz w:val="24"/>
                <w:szCs w:val="24"/>
                <w:lang w:val="zh-CN"/>
              </w:rPr>
            </w:pPr>
            <w:r>
              <w:rPr>
                <w:rFonts w:hint="eastAsia" w:ascii="宋体" w:hAnsi="宋体" w:eastAsia="宋体" w:cs="宋体"/>
                <w:sz w:val="24"/>
                <w:szCs w:val="24"/>
                <w:lang w:val="en-US" w:eastAsia="zh-CN"/>
              </w:rPr>
              <w:t>9</w:t>
            </w:r>
            <w:r>
              <w:rPr>
                <w:rFonts w:hint="eastAsia" w:ascii="宋体" w:hAnsi="宋体" w:eastAsia="宋体" w:cs="宋体"/>
                <w:sz w:val="24"/>
                <w:szCs w:val="24"/>
                <w:lang w:val="zh-CN"/>
              </w:rPr>
              <w:t>、I/O扩展：最多支持≥6个PCIe 4.0插槽。</w:t>
            </w:r>
          </w:p>
          <w:p w14:paraId="2248142F">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10、操作系统：</w:t>
            </w:r>
            <w:r>
              <w:rPr>
                <w:rFonts w:hint="eastAsia" w:ascii="宋体" w:hAnsi="宋体" w:eastAsia="宋体" w:cs="宋体"/>
                <w:sz w:val="24"/>
                <w:szCs w:val="24"/>
                <w:lang w:val="zh-CN"/>
              </w:rPr>
              <w:t>≥</w:t>
            </w:r>
            <w:r>
              <w:rPr>
                <w:rFonts w:hint="eastAsia" w:ascii="宋体" w:hAnsi="宋体" w:eastAsia="宋体" w:cs="宋体"/>
                <w:sz w:val="24"/>
                <w:szCs w:val="24"/>
                <w:lang w:val="en-US" w:eastAsia="zh-CN"/>
              </w:rPr>
              <w:t>64位操作系统，支持通过网络、闪存盘对操作系统、驱动进行升级，支持操作系统备份及还原功能。</w:t>
            </w:r>
          </w:p>
        </w:tc>
      </w:tr>
      <w:tr w14:paraId="0E4706C8">
        <w:tblPrEx>
          <w:tblCellMar>
            <w:top w:w="15" w:type="dxa"/>
            <w:left w:w="15" w:type="dxa"/>
            <w:bottom w:w="15" w:type="dxa"/>
            <w:right w:w="15" w:type="dxa"/>
          </w:tblCellMar>
        </w:tblPrEx>
        <w:trPr>
          <w:trHeight w:val="576" w:hRule="atLeast"/>
          <w:jc w:val="center"/>
        </w:trPr>
        <w:tc>
          <w:tcPr>
            <w:tcW w:w="416" w:type="pct"/>
            <w:tcBorders>
              <w:top w:val="single" w:color="auto" w:sz="4" w:space="0"/>
              <w:left w:val="single" w:color="auto" w:sz="4" w:space="0"/>
              <w:bottom w:val="single" w:color="auto" w:sz="4" w:space="0"/>
              <w:right w:val="single" w:color="auto" w:sz="4" w:space="0"/>
            </w:tcBorders>
            <w:noWrap w:val="0"/>
            <w:vAlign w:val="center"/>
          </w:tcPr>
          <w:p w14:paraId="5E3607FC">
            <w:pPr>
              <w:numPr>
                <w:ilvl w:val="0"/>
                <w:numId w:val="0"/>
              </w:numPr>
              <w:ind w:leftChars="200"/>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2</w:t>
            </w:r>
          </w:p>
        </w:tc>
        <w:tc>
          <w:tcPr>
            <w:tcW w:w="773" w:type="pct"/>
            <w:tcBorders>
              <w:top w:val="single" w:color="auto" w:sz="4" w:space="0"/>
              <w:left w:val="single" w:color="auto" w:sz="4" w:space="0"/>
              <w:bottom w:val="single" w:color="auto" w:sz="4" w:space="0"/>
              <w:right w:val="single" w:color="auto" w:sz="4" w:space="0"/>
            </w:tcBorders>
            <w:noWrap w:val="0"/>
            <w:vAlign w:val="center"/>
          </w:tcPr>
          <w:p w14:paraId="553562AD">
            <w:pPr>
              <w:numPr>
                <w:ilvl w:val="0"/>
                <w:numId w:val="0"/>
              </w:numPr>
              <w:jc w:val="cente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实训计算机</w:t>
            </w:r>
          </w:p>
        </w:tc>
        <w:tc>
          <w:tcPr>
            <w:tcW w:w="3810" w:type="pct"/>
            <w:tcBorders>
              <w:top w:val="single" w:color="auto" w:sz="4" w:space="0"/>
              <w:left w:val="single" w:color="auto" w:sz="4" w:space="0"/>
              <w:bottom w:val="single" w:color="auto" w:sz="4" w:space="0"/>
              <w:right w:val="single" w:color="auto" w:sz="4" w:space="0"/>
            </w:tcBorders>
            <w:noWrap w:val="0"/>
            <w:vAlign w:val="center"/>
          </w:tcPr>
          <w:p w14:paraId="08EFA400">
            <w:pPr>
              <w:ind w:firstLine="0" w:firstLineChars="0"/>
              <w:rPr>
                <w:rFonts w:hint="eastAsia" w:ascii="宋体" w:hAnsi="宋体" w:eastAsia="宋体" w:cs="宋体"/>
                <w:sz w:val="24"/>
                <w:szCs w:val="24"/>
                <w:lang w:val="zh-CN"/>
              </w:rPr>
            </w:pPr>
            <w:r>
              <w:rPr>
                <w:rFonts w:hint="eastAsia" w:ascii="宋体" w:hAnsi="宋体" w:eastAsia="宋体" w:cs="宋体"/>
                <w:b/>
                <w:bCs/>
                <w:sz w:val="24"/>
                <w:szCs w:val="24"/>
                <w:lang w:val="en-US" w:eastAsia="zh-CN"/>
              </w:rPr>
              <w:t>硬件技术参数</w:t>
            </w:r>
            <w:r>
              <w:rPr>
                <w:rFonts w:hint="eastAsia" w:ascii="宋体" w:hAnsi="宋体" w:eastAsia="宋体" w:cs="宋体"/>
                <w:sz w:val="24"/>
                <w:szCs w:val="24"/>
                <w:lang w:val="en-US" w:eastAsia="zh-CN"/>
              </w:rPr>
              <w:t>：</w:t>
            </w:r>
          </w:p>
          <w:p w14:paraId="39F5486A">
            <w:pPr>
              <w:ind w:firstLine="0" w:firstLineChars="0"/>
              <w:rPr>
                <w:rFonts w:hint="eastAsia" w:ascii="宋体" w:hAnsi="宋体" w:eastAsia="宋体" w:cs="宋体"/>
                <w:b/>
                <w:bCs/>
                <w:sz w:val="24"/>
                <w:szCs w:val="24"/>
                <w:lang w:val="zh-CN"/>
              </w:rPr>
            </w:pPr>
            <w:r>
              <w:rPr>
                <w:rFonts w:hint="eastAsia" w:ascii="宋体" w:hAnsi="宋体" w:eastAsia="宋体" w:cs="宋体"/>
                <w:b/>
                <w:bCs/>
                <w:sz w:val="24"/>
                <w:szCs w:val="24"/>
                <w:lang w:val="zh-CN"/>
              </w:rPr>
              <w:t>★1、CPU：内核数≥10，</w:t>
            </w:r>
            <w:r>
              <w:rPr>
                <w:rFonts w:hint="eastAsia" w:ascii="宋体" w:hAnsi="宋体" w:eastAsia="宋体" w:cs="宋体"/>
                <w:b/>
                <w:bCs/>
                <w:sz w:val="24"/>
                <w:szCs w:val="24"/>
              </w:rPr>
              <w:t>总线程数</w:t>
            </w:r>
            <w:r>
              <w:rPr>
                <w:rFonts w:hint="eastAsia" w:ascii="宋体" w:hAnsi="宋体" w:eastAsia="宋体" w:cs="宋体"/>
                <w:b/>
                <w:bCs/>
                <w:sz w:val="24"/>
                <w:szCs w:val="24"/>
                <w:lang w:val="zh-CN"/>
              </w:rPr>
              <w:t>≥16，基本频率≥2.5GHz，最大睿频频率≥4.7GHz，缓存≥20MB（投标时需注明CPU详细型号，需提供CPU厂家官网截图证明并加盖投标人公章）</w:t>
            </w:r>
          </w:p>
          <w:p w14:paraId="56F3B323">
            <w:pPr>
              <w:ind w:firstLine="0" w:firstLineChars="0"/>
              <w:rPr>
                <w:rFonts w:hint="eastAsia" w:ascii="宋体" w:hAnsi="宋体" w:eastAsia="宋体" w:cs="宋体"/>
                <w:b/>
                <w:bCs/>
                <w:sz w:val="24"/>
                <w:szCs w:val="24"/>
                <w:lang w:val="zh-CN"/>
              </w:rPr>
            </w:pPr>
            <w:r>
              <w:rPr>
                <w:rFonts w:hint="eastAsia" w:ascii="宋体" w:hAnsi="宋体" w:eastAsia="宋体" w:cs="宋体"/>
                <w:b/>
                <w:bCs/>
                <w:sz w:val="24"/>
                <w:szCs w:val="24"/>
                <w:lang w:val="zh-CN"/>
              </w:rPr>
              <w:t>★2、芯片组：≥可支持的处理器 PCI Express 端口配置PCIe 5.0: 1x16, PCIe 4.0: 1x4（投标时需注明芯片组详细型号，需提供芯片组厂家官网截图证明并加盖投标人公章）</w:t>
            </w:r>
          </w:p>
          <w:p w14:paraId="03CE3077">
            <w:pPr>
              <w:ind w:firstLine="0" w:firstLineChars="0"/>
              <w:rPr>
                <w:rFonts w:hint="eastAsia" w:ascii="宋体" w:hAnsi="宋体" w:eastAsia="宋体" w:cs="宋体"/>
                <w:sz w:val="24"/>
                <w:szCs w:val="24"/>
                <w:lang w:val="zh-CN"/>
              </w:rPr>
            </w:pPr>
            <w:r>
              <w:rPr>
                <w:rFonts w:hint="eastAsia" w:ascii="宋体" w:hAnsi="宋体" w:eastAsia="宋体" w:cs="宋体"/>
                <w:sz w:val="24"/>
                <w:szCs w:val="24"/>
                <w:lang w:val="zh-CN"/>
              </w:rPr>
              <w:t>▲3、内存：≥16G DDR4内存，≥2个内存插槽（需提供产品彩页或者厂家官网截图证明并加盖投标人公章及投标人承诺函）</w:t>
            </w:r>
          </w:p>
          <w:p w14:paraId="5C466815">
            <w:pPr>
              <w:ind w:firstLine="0" w:firstLineChars="0"/>
              <w:rPr>
                <w:rFonts w:hint="eastAsia" w:ascii="宋体" w:hAnsi="宋体" w:eastAsia="宋体" w:cs="宋体"/>
                <w:sz w:val="24"/>
                <w:szCs w:val="24"/>
                <w:lang w:val="zh-CN"/>
              </w:rPr>
            </w:pPr>
            <w:r>
              <w:rPr>
                <w:rFonts w:hint="eastAsia" w:ascii="宋体" w:hAnsi="宋体" w:eastAsia="宋体" w:cs="宋体"/>
                <w:sz w:val="24"/>
                <w:szCs w:val="24"/>
                <w:lang w:val="zh-CN"/>
              </w:rPr>
              <w:t>4、显卡：≥8G</w:t>
            </w:r>
            <w:r>
              <w:rPr>
                <w:rFonts w:hint="eastAsia" w:ascii="宋体" w:hAnsi="宋体" w:cs="宋体"/>
                <w:sz w:val="24"/>
                <w:szCs w:val="24"/>
                <w:lang w:val="en-US" w:eastAsia="zh-CN"/>
              </w:rPr>
              <w:t xml:space="preserve"> D7</w:t>
            </w:r>
            <w:r>
              <w:rPr>
                <w:rFonts w:hint="eastAsia" w:ascii="宋体" w:hAnsi="宋体" w:eastAsia="宋体" w:cs="宋体"/>
                <w:sz w:val="24"/>
                <w:szCs w:val="24"/>
                <w:lang w:val="zh-CN"/>
              </w:rPr>
              <w:t>独立显卡</w:t>
            </w:r>
            <w:r>
              <w:rPr>
                <w:rFonts w:hint="eastAsia" w:ascii="宋体" w:hAnsi="宋体" w:cs="宋体"/>
                <w:sz w:val="24"/>
                <w:szCs w:val="24"/>
                <w:lang w:val="zh-CN"/>
              </w:rPr>
              <w:t>，</w:t>
            </w:r>
            <w:r>
              <w:rPr>
                <w:rFonts w:hint="eastAsia" w:ascii="宋体" w:hAnsi="宋体" w:cs="宋体"/>
                <w:sz w:val="24"/>
                <w:szCs w:val="24"/>
                <w:lang w:val="en-US" w:eastAsia="zh-CN"/>
              </w:rPr>
              <w:t>DP接口≥3个，HDMI接口≥1个</w:t>
            </w:r>
            <w:r>
              <w:rPr>
                <w:rFonts w:hint="eastAsia" w:ascii="宋体" w:hAnsi="宋体" w:eastAsia="宋体" w:cs="宋体"/>
                <w:sz w:val="24"/>
                <w:szCs w:val="24"/>
                <w:lang w:val="zh-CN"/>
              </w:rPr>
              <w:t>。</w:t>
            </w:r>
          </w:p>
          <w:p w14:paraId="17E4034E">
            <w:pPr>
              <w:ind w:firstLine="0" w:firstLineChars="0"/>
              <w:rPr>
                <w:rFonts w:hint="eastAsia" w:ascii="宋体" w:hAnsi="宋体" w:eastAsia="宋体" w:cs="宋体"/>
                <w:sz w:val="24"/>
                <w:szCs w:val="24"/>
                <w:lang w:val="zh-CN"/>
              </w:rPr>
            </w:pPr>
            <w:r>
              <w:rPr>
                <w:rFonts w:hint="eastAsia" w:ascii="宋体" w:hAnsi="宋体" w:eastAsia="宋体" w:cs="宋体"/>
                <w:sz w:val="24"/>
                <w:szCs w:val="24"/>
                <w:lang w:val="zh-CN"/>
              </w:rPr>
              <w:t>5、声卡：集成声卡，支持5.1声道（提供前≥2后≥3共5个音频接口）</w:t>
            </w:r>
          </w:p>
          <w:p w14:paraId="0EBD9B8B">
            <w:pPr>
              <w:ind w:firstLine="0" w:firstLineChars="0"/>
              <w:rPr>
                <w:rFonts w:hint="eastAsia" w:ascii="宋体" w:hAnsi="宋体" w:eastAsia="宋体" w:cs="宋体"/>
                <w:sz w:val="24"/>
                <w:szCs w:val="24"/>
                <w:lang w:val="zh-CN"/>
              </w:rPr>
            </w:pPr>
            <w:r>
              <w:rPr>
                <w:rFonts w:hint="eastAsia" w:ascii="宋体" w:hAnsi="宋体" w:eastAsia="宋体" w:cs="宋体"/>
                <w:sz w:val="24"/>
                <w:szCs w:val="24"/>
                <w:lang w:val="zh-CN"/>
              </w:rPr>
              <w:t>▲6、硬盘：≥512GB M.2 PCIe NVMe SSD硬盘，支持扩展≥2个HDD硬盘+2个SSD硬盘</w:t>
            </w:r>
          </w:p>
          <w:p w14:paraId="63513A4B">
            <w:pPr>
              <w:ind w:firstLine="0" w:firstLineChars="0"/>
              <w:rPr>
                <w:rFonts w:hint="eastAsia" w:ascii="宋体" w:hAnsi="宋体" w:eastAsia="宋体" w:cs="宋体"/>
                <w:sz w:val="24"/>
                <w:szCs w:val="24"/>
                <w:lang w:val="zh-CN"/>
              </w:rPr>
            </w:pPr>
            <w:r>
              <w:rPr>
                <w:rFonts w:hint="eastAsia" w:ascii="宋体" w:hAnsi="宋体" w:eastAsia="宋体" w:cs="宋体"/>
                <w:sz w:val="24"/>
                <w:szCs w:val="24"/>
                <w:lang w:val="zh-CN"/>
              </w:rPr>
              <w:t>7、网卡：集成10/100/1000M以太网卡</w:t>
            </w:r>
          </w:p>
          <w:p w14:paraId="38339BAF">
            <w:pPr>
              <w:ind w:firstLine="0" w:firstLineChars="0"/>
              <w:rPr>
                <w:rFonts w:hint="eastAsia" w:ascii="宋体" w:hAnsi="宋体" w:eastAsia="宋体" w:cs="宋体"/>
                <w:sz w:val="24"/>
                <w:szCs w:val="24"/>
                <w:lang w:val="zh-CN"/>
              </w:rPr>
            </w:pPr>
            <w:r>
              <w:rPr>
                <w:rFonts w:hint="eastAsia" w:ascii="宋体" w:hAnsi="宋体" w:eastAsia="宋体" w:cs="宋体"/>
                <w:sz w:val="24"/>
                <w:szCs w:val="24"/>
                <w:lang w:val="zh-CN"/>
              </w:rPr>
              <w:t>▲8、扩展槽：≥1个PCIe 16x Gen5、1个PCIe 1x，所有插槽均为出厂标配（提供实物照片及产品彩页证明并加盖投标人公章及投标人承诺函）</w:t>
            </w:r>
          </w:p>
          <w:p w14:paraId="110FBDB3">
            <w:pPr>
              <w:ind w:firstLine="0" w:firstLineChars="0"/>
              <w:rPr>
                <w:rFonts w:hint="eastAsia" w:ascii="宋体" w:hAnsi="宋体" w:eastAsia="宋体" w:cs="宋体"/>
                <w:sz w:val="24"/>
                <w:szCs w:val="24"/>
                <w:lang w:val="zh-CN"/>
              </w:rPr>
            </w:pPr>
            <w:r>
              <w:rPr>
                <w:rFonts w:hint="eastAsia" w:ascii="宋体" w:hAnsi="宋体" w:eastAsia="宋体" w:cs="宋体"/>
                <w:sz w:val="24"/>
                <w:szCs w:val="24"/>
                <w:lang w:val="zh-CN"/>
              </w:rPr>
              <w:t>▲9、键鼠：原厂USB防水抗菌键盘鼠标（需提供检测报告证明并加盖投标人公章及投标人承诺函）；</w:t>
            </w:r>
          </w:p>
          <w:p w14:paraId="472AD738">
            <w:pPr>
              <w:ind w:firstLine="0" w:firstLineChars="0"/>
              <w:rPr>
                <w:rFonts w:hint="eastAsia" w:ascii="宋体" w:hAnsi="宋体" w:eastAsia="宋体" w:cs="宋体"/>
                <w:sz w:val="24"/>
                <w:szCs w:val="24"/>
                <w:lang w:val="zh-CN"/>
              </w:rPr>
            </w:pPr>
            <w:r>
              <w:rPr>
                <w:rFonts w:hint="eastAsia" w:ascii="宋体" w:hAnsi="宋体" w:eastAsia="宋体" w:cs="宋体"/>
                <w:sz w:val="24"/>
                <w:szCs w:val="24"/>
                <w:lang w:val="zh-CN"/>
              </w:rPr>
              <w:t>▲10、接口：≥11个USB接口（至少包含8个USB3.2 Gen1接口、1个USB3.2 Gen2 Type-C接口），≥1个HDMI1.4、≥1个DP、≥1个RJ-45 端口、≥3个SATA3.0接口（需提供产品彩页截图或者产品实物接口照片证明并加盖投标人公章及投标人承诺函）</w:t>
            </w:r>
          </w:p>
          <w:p w14:paraId="00BEC447">
            <w:pPr>
              <w:ind w:firstLine="0" w:firstLineChars="0"/>
              <w:rPr>
                <w:rFonts w:hint="eastAsia" w:ascii="宋体" w:hAnsi="宋体" w:eastAsia="宋体" w:cs="宋体"/>
                <w:sz w:val="24"/>
                <w:szCs w:val="24"/>
                <w:lang w:val="zh-CN"/>
              </w:rPr>
            </w:pPr>
            <w:r>
              <w:rPr>
                <w:rFonts w:hint="eastAsia" w:ascii="宋体" w:hAnsi="宋体" w:eastAsia="宋体" w:cs="宋体"/>
                <w:sz w:val="24"/>
                <w:szCs w:val="24"/>
                <w:lang w:val="zh-CN"/>
              </w:rPr>
              <w:t>11、操作系统：≥64位操作系统，支持通过网络、闪存盘对操作系统、驱动进行升级，支持操作系统备份及还原功能。</w:t>
            </w:r>
          </w:p>
          <w:p w14:paraId="2E72BA99">
            <w:pPr>
              <w:ind w:firstLine="0" w:firstLineChars="0"/>
              <w:rPr>
                <w:rFonts w:hint="eastAsia" w:ascii="宋体" w:hAnsi="宋体" w:eastAsia="宋体" w:cs="宋体"/>
                <w:sz w:val="24"/>
                <w:szCs w:val="24"/>
                <w:lang w:val="zh-CN"/>
              </w:rPr>
            </w:pPr>
            <w:r>
              <w:rPr>
                <w:rFonts w:hint="eastAsia" w:ascii="宋体" w:hAnsi="宋体" w:eastAsia="宋体" w:cs="宋体"/>
                <w:sz w:val="24"/>
                <w:szCs w:val="24"/>
                <w:lang w:val="zh-CN"/>
              </w:rPr>
              <w:t>12、电源：≥500W高效电源，能效可达≥82%。</w:t>
            </w:r>
          </w:p>
          <w:p w14:paraId="2DD990A6">
            <w:pPr>
              <w:ind w:firstLine="0" w:firstLineChars="0"/>
              <w:rPr>
                <w:rFonts w:hint="eastAsia" w:ascii="宋体" w:hAnsi="宋体" w:eastAsia="宋体" w:cs="宋体"/>
                <w:sz w:val="24"/>
                <w:szCs w:val="24"/>
                <w:lang w:val="zh-CN"/>
              </w:rPr>
            </w:pPr>
            <w:r>
              <w:rPr>
                <w:rFonts w:hint="eastAsia" w:ascii="宋体" w:hAnsi="宋体" w:eastAsia="宋体" w:cs="宋体"/>
                <w:sz w:val="24"/>
                <w:szCs w:val="24"/>
                <w:lang w:val="zh-CN"/>
              </w:rPr>
              <w:t>13、显示器：≥23.8英寸超窄边框LED显示器，分辨率≥1920*1080。</w:t>
            </w:r>
          </w:p>
          <w:p w14:paraId="1301BA71">
            <w:pPr>
              <w:pStyle w:val="8"/>
              <w:ind w:left="0" w:leftChars="0" w:firstLine="0" w:firstLineChars="0"/>
              <w:rPr>
                <w:rFonts w:hint="eastAsia" w:ascii="宋体" w:hAnsi="宋体" w:eastAsia="宋体" w:cs="宋体"/>
                <w:sz w:val="24"/>
                <w:szCs w:val="24"/>
                <w:lang w:val="zh-CN"/>
              </w:rPr>
            </w:pPr>
            <w:r>
              <w:rPr>
                <w:rFonts w:hint="eastAsia" w:ascii="宋体" w:hAnsi="宋体" w:eastAsia="宋体" w:cs="宋体"/>
                <w:sz w:val="24"/>
                <w:szCs w:val="24"/>
                <w:lang w:val="zh-CN"/>
              </w:rPr>
              <w:t>▲14、机箱：标准MATX立式机箱，标配除菌风扇（有效去除空气中甲醛等有害物质，净化空气，需提供检测</w:t>
            </w:r>
            <w:r>
              <w:rPr>
                <w:rFonts w:hint="default" w:ascii="宋体" w:hAnsi="宋体" w:eastAsia="宋体" w:cs="宋体"/>
                <w:sz w:val="24"/>
                <w:szCs w:val="24"/>
                <w:lang w:val="zh-CN"/>
              </w:rPr>
              <w:t>结果为配有空气净化风扇的电脑，24小时内可减少甲醛量为</w:t>
            </w:r>
            <w:r>
              <w:rPr>
                <w:rFonts w:hint="eastAsia" w:ascii="宋体" w:hAnsi="宋体" w:eastAsia="宋体" w:cs="宋体"/>
                <w:sz w:val="24"/>
                <w:szCs w:val="24"/>
                <w:lang w:val="zh-CN"/>
              </w:rPr>
              <w:t>≤</w:t>
            </w:r>
            <w:r>
              <w:rPr>
                <w:rFonts w:hint="default" w:ascii="宋体" w:hAnsi="宋体" w:eastAsia="宋体" w:cs="宋体"/>
                <w:sz w:val="24"/>
                <w:szCs w:val="24"/>
                <w:lang w:val="zh-CN"/>
              </w:rPr>
              <w:t>39.00mg</w:t>
            </w:r>
            <w:r>
              <w:rPr>
                <w:rFonts w:hint="eastAsia" w:ascii="宋体" w:hAnsi="宋体" w:eastAsia="宋体" w:cs="宋体"/>
                <w:sz w:val="24"/>
                <w:szCs w:val="24"/>
                <w:lang w:val="zh-CN"/>
              </w:rPr>
              <w:t>报告证明并加盖投标人公章及投标人承诺函）；机箱≥15L、顶置电源开关键，方便使用；</w:t>
            </w:r>
          </w:p>
          <w:p w14:paraId="445A453C">
            <w:pPr>
              <w:ind w:firstLine="0" w:firstLineChars="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sz w:val="24"/>
                <w:szCs w:val="24"/>
                <w:lang w:val="zh-CN"/>
              </w:rPr>
              <w:t>▲15、安全功能：（</w:t>
            </w:r>
            <w:r>
              <w:rPr>
                <w:rFonts w:hint="eastAsia" w:ascii="宋体" w:hAnsi="宋体" w:eastAsia="宋体" w:cs="宋体"/>
                <w:sz w:val="24"/>
                <w:szCs w:val="24"/>
                <w:lang w:val="en-US" w:eastAsia="zh-CN"/>
              </w:rPr>
              <w:t>1）</w:t>
            </w:r>
            <w:r>
              <w:rPr>
                <w:rFonts w:hint="eastAsia" w:ascii="宋体" w:hAnsi="宋体" w:eastAsia="宋体" w:cs="宋体"/>
                <w:sz w:val="24"/>
                <w:szCs w:val="24"/>
                <w:lang w:val="zh-CN"/>
              </w:rPr>
              <w:t>支持看门狗功能，可监控系统的运行状态当系统死机时该功能会自动重启系统，以确保计算机可以继续正常运行</w:t>
            </w:r>
            <w:r>
              <w:rPr>
                <w:rFonts w:hint="eastAsia" w:ascii="宋体" w:hAnsi="宋体" w:eastAsia="宋体" w:cs="宋体"/>
                <w:color w:val="000000" w:themeColor="text1"/>
                <w:sz w:val="24"/>
                <w:szCs w:val="24"/>
                <w:lang w:val="zh-CN"/>
                <w14:textFill>
                  <w14:solidFill>
                    <w14:schemeClr w14:val="tx1"/>
                  </w14:solidFill>
                </w14:textFill>
              </w:rPr>
              <w:t>（提供中文版BIOS设置界面截图）；（2）智能 USB 屏蔽技术，仅识别键盘鼠标，无法识别 USB 读取设备（提供中文版BIOS设置界面截图）；（3）主机BIOS需自带基于硬件底层的数据安全擦除功能且保证硬盘数据擦除后不可恢复，所投产品制造商需提供原厂数据安全擦除软件（提供软件截图），有效防止数据泄露；</w:t>
            </w:r>
          </w:p>
          <w:p w14:paraId="0282F0F1">
            <w:pPr>
              <w:numPr>
                <w:ilvl w:val="0"/>
                <w:numId w:val="0"/>
              </w:numPr>
              <w:rPr>
                <w:rFonts w:hint="eastAsia" w:ascii="宋体" w:hAnsi="宋体" w:eastAsia="宋体" w:cs="宋体"/>
                <w:sz w:val="24"/>
                <w:szCs w:val="24"/>
                <w:lang w:val="zh-CN"/>
              </w:rPr>
            </w:pPr>
            <w:r>
              <w:rPr>
                <w:rFonts w:hint="eastAsia" w:ascii="宋体" w:hAnsi="宋体" w:eastAsia="宋体" w:cs="宋体"/>
                <w:color w:val="000000" w:themeColor="text1"/>
                <w:sz w:val="24"/>
                <w:szCs w:val="24"/>
                <w:lang w:val="zh-CN"/>
                <w14:textFill>
                  <w14:solidFill>
                    <w14:schemeClr w14:val="tx1"/>
                  </w14:solidFill>
                </w14:textFill>
              </w:rPr>
              <w:t>16、服务：原厂提供≥3年上门保修服务，厂商承诺：当日下午4点前报修，下一自然日24点前修复，若没有完成修复，则</w:t>
            </w:r>
            <w:r>
              <w:rPr>
                <w:rFonts w:hint="default" w:ascii="宋体" w:hAnsi="宋体" w:eastAsia="宋体" w:cs="宋体"/>
                <w:color w:val="000000" w:themeColor="text1"/>
                <w:sz w:val="24"/>
                <w:szCs w:val="24"/>
                <w14:textFill>
                  <w14:solidFill>
                    <w14:schemeClr w14:val="tx1"/>
                  </w14:solidFill>
                </w14:textFill>
              </w:rPr>
              <w:t>提供</w:t>
            </w:r>
            <w:r>
              <w:rPr>
                <w:rFonts w:hint="eastAsia" w:ascii="宋体" w:hAnsi="宋体" w:eastAsia="宋体" w:cs="宋体"/>
                <w:color w:val="000000" w:themeColor="text1"/>
                <w:sz w:val="24"/>
                <w:szCs w:val="24"/>
                <w:lang w:val="zh-CN"/>
                <w14:textFill>
                  <w14:solidFill>
                    <w14:schemeClr w14:val="tx1"/>
                  </w14:solidFill>
                </w14:textFill>
              </w:rPr>
              <w:t>迟日数对应的月度延保服务；在3年维保时间内，承诺将提供≥1次试性故障硬盘（单盘）数据拯救服务，若未</w:t>
            </w:r>
            <w:r>
              <w:rPr>
                <w:rFonts w:hint="eastAsia" w:ascii="宋体" w:hAnsi="宋体" w:eastAsia="宋体" w:cs="宋体"/>
                <w:sz w:val="24"/>
                <w:szCs w:val="24"/>
                <w:lang w:val="zh-CN"/>
              </w:rPr>
              <w:t>恢复则不计次数。</w:t>
            </w:r>
          </w:p>
          <w:p w14:paraId="1002A8B6">
            <w:pPr>
              <w:numPr>
                <w:ilvl w:val="0"/>
                <w:numId w:val="0"/>
              </w:numPr>
              <w:rPr>
                <w:rFonts w:hint="eastAsia" w:ascii="宋体" w:hAnsi="宋体" w:eastAsia="宋体" w:cs="宋体"/>
                <w:sz w:val="24"/>
                <w:szCs w:val="24"/>
                <w:lang w:val="en-US" w:eastAsia="zh-CN"/>
              </w:rPr>
            </w:pPr>
            <w:r>
              <w:rPr>
                <w:rFonts w:hint="eastAsia" w:ascii="宋体" w:hAnsi="宋体" w:eastAsia="宋体" w:cs="宋体"/>
                <w:b/>
                <w:bCs/>
                <w:sz w:val="24"/>
                <w:szCs w:val="24"/>
                <w:lang w:val="en-US" w:eastAsia="zh-CN"/>
              </w:rPr>
              <w:t>软件技术参数：</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1、为实现异构平台混合管理，要求云桌面管理平台支持在Windows或麒麟等国产系统搭建，支持对终端的操作系统镜像生成与统一分发管理。</w:t>
            </w:r>
          </w:p>
          <w:p w14:paraId="546ED57B">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2、为提升学校管理效率，云桌面管理平台支持批量管理终端计算机名、IP地址、分辨率、时间同步等配置信息，同时支持针对不同的终端群组设置不同的安全管控策略。</w:t>
            </w:r>
          </w:p>
          <w:p w14:paraId="5B162727">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▲3、可充分利用学校现有网络，支持在镜像下发时进行组内网络探测与网速传输测试，提前优化镜像下发策略，保障传输效率。（提供此功能界面截图证明）</w:t>
            </w:r>
          </w:p>
          <w:p w14:paraId="66C432CA">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为了提升机房的统一部署与更新时间，减少老师的操作步骤与等待时间，支持镜像下发时的策略设置，更新镜像时锁定终端屏幕和更新时隐藏下载窗口；支持系统镜像下发后自动执行关机、重启等操作。（提供此功能界面截图证明）</w:t>
            </w:r>
          </w:p>
          <w:p w14:paraId="3639B66E">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为方便学校进行硬件资产统计，支持平台收集所有终端硬件配置信息，包含但不限于终端名称、主板型号、CPU型号、内存容量、最近运行时间、合计运行时间、硬件变更和记录信息等。（提供此功能界面截图证明）</w:t>
            </w:r>
          </w:p>
          <w:p w14:paraId="33F22F93">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▲6、为方便学校掌握终端硬件运行情况，支持平台收集所有终端的运行状态信息，包含但不限于终端名称、CPU温度、开机时间、硬盘信息等。（提供此功能界面截图证明）</w:t>
            </w:r>
          </w:p>
          <w:p w14:paraId="6A5E3D9E">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为保障在大批量终端集中下发与更新镜像时能够获得更快的速度，满足学校考试环境部署或统一更换镜像的需求，当学校网络带宽有限时，可支持在管理集群内将主服务器内镜像提前下发至IO服务器，通过IO服务器分发镜像，实现数据分流，提升局域网内镜像的更新速度。（提供此功能界面截图证明）</w:t>
            </w:r>
          </w:p>
          <w:p w14:paraId="4B37AA80">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▲8、支持大数据展示。可展示包括但不限于资产统计、设备详情、开关机对比、日志、系统使用情况等信息。（提供此功能界面截图证明）</w:t>
            </w:r>
          </w:p>
          <w:p w14:paraId="1D2938FA">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▲9、为避免网络端口被占用而引起的教学环境不可用的问题，云桌面管理平台支持对服务器使用的网络端口进行检测，并通过检测结果帮助管理员快速分析和解决问题。（提供此功能界面截图证明）</w:t>
            </w:r>
          </w:p>
          <w:p w14:paraId="090E5987">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10、可提供网盘功能：支持用户在终端登录网盘，实现数据漫游与数据共享；支持用户将网盘中的文件分享给其他用户，其他用户可通过链接和提取码查看文件。</w:t>
            </w:r>
          </w:p>
          <w:p w14:paraId="69BB9447">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11、网盘回收站功能：为防止误删重要文件，删除的文件会先保留在回收站，可根据实际情况按需取回。</w:t>
            </w:r>
          </w:p>
          <w:p w14:paraId="547725B3">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12、为满足客户单位形象与风格的统一要求，支持系统名称、LOGO、登录背景图等可按需修改成客户单位名称。</w:t>
            </w:r>
          </w:p>
          <w:p w14:paraId="71675814">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为满足学校各类考试需求，包括但不限于国家计算机一、二级等级考试、社会职称考试等，支持ATA、NCRE等考试模式，支持设置考试专属镜像并在考试开始前将考试镜像设置为隐藏模式，不被破坏。为方便后期溯源备查考试结果并可快速进入下一场考试，支持管理员自定义保留考试桌面保留的周期时间，即在保留学生完整桌面、系统环境、文件数据的同时，可快速部署下一场考试桌面。</w:t>
            </w:r>
          </w:p>
          <w:p w14:paraId="477F47CE">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▲14、为方便学校对教学软件运行情况的统计，支持平台收集所有终端的软件信息，包含但不限于程序名称、运行次数、运行时长、版本、程序大小等。（提供此功能界面截图证明）</w:t>
            </w:r>
          </w:p>
          <w:p w14:paraId="3717308A">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15、为简化管理，云桌面管理平台支持创建组织、用户、角色，支持管理员对不同用户和角色进行分级分权管理。</w:t>
            </w:r>
          </w:p>
          <w:p w14:paraId="68ACB27E">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16、终端支持多盘缓存模式，即在终端固态盘容量小导致无法多镜像缓存时，支持固态盘和机械盘混合缓存载入，充分利用终端现有存储资源。</w:t>
            </w:r>
          </w:p>
          <w:p w14:paraId="50D11990">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17、终端支持部署多操作系统：支持统信UOS、麒麟KOS、Linux、 Windows全系列，支持从管理端或客户端自主选择启动环境；且多个系统环境可快速切换。</w:t>
            </w:r>
          </w:p>
          <w:p w14:paraId="0AFCB0D7">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18、为满足国产化要求，云桌面客户端支持部署在兆芯、海光、飞腾和龙芯架构的国产芯片终端设备上，实现异构设备的统一管理。</w:t>
            </w:r>
          </w:p>
          <w:p w14:paraId="2B2851C8">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▲19、当终端无法进入系统时，支持基于Linux和Windows两种方式进行系统数据恢复。（提供此功能界面截图证明）</w:t>
            </w:r>
          </w:p>
          <w:p w14:paraId="57EA5A53">
            <w:pPr>
              <w:numPr>
                <w:ilvl w:val="0"/>
                <w:numId w:val="0"/>
              </w:numPr>
              <w:rPr>
                <w:rFonts w:hint="eastAsia" w:ascii="宋体" w:hAnsi="宋体" w:eastAsia="宋体" w:cs="宋体"/>
                <w:sz w:val="24"/>
                <w:szCs w:val="24"/>
                <w:lang w:val="zh-CN" w:eastAsia="zh-CN"/>
              </w:rPr>
            </w:pPr>
            <w:r>
              <w:rPr>
                <w:rFonts w:hint="eastAsia" w:ascii="宋体" w:hAnsi="宋体" w:eastAsia="宋体" w:cs="宋体"/>
                <w:sz w:val="24"/>
                <w:szCs w:val="24"/>
                <w:lang w:val="en-US" w:eastAsia="zh-CN"/>
              </w:rPr>
              <w:t>▲20、支持对终端端口进行分类控制，包括但不限于控制所有 USB 存储接口、光盘驱动器接口、USB存储设备接口、打印机接口、1394接口、串并口接口、蓝牙驱动器接口等。（提供此功能界面截图证明）</w:t>
            </w:r>
          </w:p>
        </w:tc>
      </w:tr>
      <w:tr w14:paraId="75F0C450">
        <w:tblPrEx>
          <w:tblCellMar>
            <w:top w:w="15" w:type="dxa"/>
            <w:left w:w="15" w:type="dxa"/>
            <w:bottom w:w="15" w:type="dxa"/>
            <w:right w:w="15" w:type="dxa"/>
          </w:tblCellMar>
        </w:tblPrEx>
        <w:trPr>
          <w:trHeight w:val="576" w:hRule="atLeast"/>
          <w:jc w:val="center"/>
        </w:trPr>
        <w:tc>
          <w:tcPr>
            <w:tcW w:w="416" w:type="pct"/>
            <w:tcBorders>
              <w:top w:val="single" w:color="auto" w:sz="4" w:space="0"/>
              <w:left w:val="single" w:color="auto" w:sz="4" w:space="0"/>
              <w:bottom w:val="single" w:color="auto" w:sz="4" w:space="0"/>
              <w:right w:val="single" w:color="auto" w:sz="4" w:space="0"/>
            </w:tcBorders>
            <w:noWrap w:val="0"/>
            <w:vAlign w:val="center"/>
          </w:tcPr>
          <w:p w14:paraId="639749BC">
            <w:pPr>
              <w:numPr>
                <w:ilvl w:val="0"/>
                <w:numId w:val="0"/>
              </w:numPr>
              <w:ind w:left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p>
        </w:tc>
        <w:tc>
          <w:tcPr>
            <w:tcW w:w="773" w:type="pct"/>
            <w:tcBorders>
              <w:top w:val="single" w:color="auto" w:sz="4" w:space="0"/>
              <w:left w:val="single" w:color="auto" w:sz="4" w:space="0"/>
              <w:bottom w:val="single" w:color="auto" w:sz="4" w:space="0"/>
              <w:right w:val="single" w:color="auto" w:sz="4" w:space="0"/>
            </w:tcBorders>
            <w:noWrap w:val="0"/>
            <w:vAlign w:val="center"/>
          </w:tcPr>
          <w:p w14:paraId="2965CDF4">
            <w:pPr>
              <w:numPr>
                <w:ilvl w:val="0"/>
                <w:numId w:val="0"/>
              </w:numPr>
              <w:jc w:val="cente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主控计算机</w:t>
            </w:r>
          </w:p>
        </w:tc>
        <w:tc>
          <w:tcPr>
            <w:tcW w:w="3810" w:type="pct"/>
            <w:tcBorders>
              <w:top w:val="single" w:color="auto" w:sz="4" w:space="0"/>
              <w:left w:val="single" w:color="auto" w:sz="4" w:space="0"/>
              <w:bottom w:val="single" w:color="auto" w:sz="4" w:space="0"/>
              <w:right w:val="single" w:color="auto" w:sz="4" w:space="0"/>
            </w:tcBorders>
            <w:noWrap w:val="0"/>
            <w:vAlign w:val="center"/>
          </w:tcPr>
          <w:p w14:paraId="3C74D2C2">
            <w:pPr>
              <w:ind w:firstLine="0" w:firstLineChars="0"/>
              <w:rPr>
                <w:rFonts w:hint="eastAsia" w:ascii="宋体" w:hAnsi="宋体" w:eastAsia="宋体" w:cs="宋体"/>
                <w:b/>
                <w:bCs/>
                <w:sz w:val="24"/>
                <w:szCs w:val="24"/>
                <w:lang w:val="zh-CN"/>
              </w:rPr>
            </w:pPr>
            <w:r>
              <w:rPr>
                <w:rFonts w:hint="eastAsia" w:ascii="宋体" w:hAnsi="宋体" w:eastAsia="宋体" w:cs="宋体"/>
                <w:b/>
                <w:bCs/>
                <w:sz w:val="24"/>
                <w:szCs w:val="24"/>
                <w:lang w:val="zh-CN"/>
              </w:rPr>
              <w:t>★</w:t>
            </w:r>
            <w:r>
              <w:rPr>
                <w:rFonts w:hint="eastAsia" w:ascii="宋体" w:hAnsi="宋体" w:eastAsia="宋体" w:cs="宋体"/>
                <w:b/>
                <w:bCs/>
                <w:sz w:val="24"/>
                <w:szCs w:val="24"/>
                <w:lang w:val="en-US" w:eastAsia="zh-CN"/>
              </w:rPr>
              <w:t>1</w:t>
            </w:r>
            <w:r>
              <w:rPr>
                <w:rFonts w:hint="eastAsia" w:ascii="宋体" w:hAnsi="宋体" w:eastAsia="宋体" w:cs="宋体"/>
                <w:b/>
                <w:bCs/>
                <w:sz w:val="24"/>
                <w:szCs w:val="24"/>
                <w:lang w:val="zh-CN"/>
              </w:rPr>
              <w:t>、CPU：内核数≥20，</w:t>
            </w:r>
            <w:r>
              <w:rPr>
                <w:rFonts w:hint="eastAsia" w:ascii="宋体" w:hAnsi="宋体" w:eastAsia="宋体" w:cs="宋体"/>
                <w:b/>
                <w:bCs/>
                <w:sz w:val="24"/>
                <w:szCs w:val="24"/>
              </w:rPr>
              <w:t>总线程数</w:t>
            </w:r>
            <w:r>
              <w:rPr>
                <w:rFonts w:hint="eastAsia" w:ascii="宋体" w:hAnsi="宋体" w:eastAsia="宋体" w:cs="宋体"/>
                <w:b/>
                <w:bCs/>
                <w:sz w:val="24"/>
                <w:szCs w:val="24"/>
                <w:lang w:val="zh-CN"/>
              </w:rPr>
              <w:t>≥28，基本频率≥2.1GHz，最大睿频频率≥5.4GHz），缓存≥33MB（投标时需注明CPU详细型号，需提供CPU厂家官网截图证明并加盖投标人公章）</w:t>
            </w:r>
          </w:p>
          <w:p w14:paraId="68C63437">
            <w:pPr>
              <w:ind w:firstLine="0" w:firstLineChars="0"/>
              <w:rPr>
                <w:rFonts w:hint="eastAsia" w:ascii="宋体" w:hAnsi="宋体" w:eastAsia="宋体" w:cs="宋体"/>
                <w:b/>
                <w:bCs/>
                <w:sz w:val="24"/>
                <w:szCs w:val="24"/>
                <w:lang w:val="zh-CN"/>
              </w:rPr>
            </w:pPr>
            <w:r>
              <w:rPr>
                <w:rFonts w:hint="eastAsia" w:ascii="宋体" w:hAnsi="宋体" w:eastAsia="宋体" w:cs="宋体"/>
                <w:b/>
                <w:bCs/>
                <w:sz w:val="24"/>
                <w:szCs w:val="24"/>
                <w:lang w:val="zh-CN"/>
              </w:rPr>
              <w:t>★2、芯片组：≥可支持的处理器 PCI Express 端口配置PCIe 5.0: 1x16, PCIe 4.0: 1x4（投标时需注明芯片组详细型号，需提供芯片组厂家官网截图证明并加盖投标人公章）</w:t>
            </w:r>
          </w:p>
          <w:p w14:paraId="16CE16B9">
            <w:pPr>
              <w:ind w:firstLine="0" w:firstLineChars="0"/>
              <w:rPr>
                <w:rFonts w:hint="default"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3、内存：≥32G DDR4内存，≥2个内存插槽</w:t>
            </w:r>
            <w:r>
              <w:rPr>
                <w:rFonts w:hint="default" w:ascii="宋体" w:hAnsi="宋体" w:eastAsia="宋体" w:cs="宋体"/>
                <w:color w:val="000000" w:themeColor="text1"/>
                <w:sz w:val="24"/>
                <w:szCs w:val="24"/>
                <w14:textFill>
                  <w14:solidFill>
                    <w14:schemeClr w14:val="tx1"/>
                  </w14:solidFill>
                </w14:textFill>
              </w:rPr>
              <w:t>。</w:t>
            </w:r>
          </w:p>
          <w:p w14:paraId="7B4A6A88">
            <w:pPr>
              <w:ind w:firstLine="0" w:firstLineChars="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4、显卡：</w:t>
            </w:r>
            <w:r>
              <w:rPr>
                <w:rFonts w:hint="eastAsia" w:ascii="宋体" w:hAnsi="宋体" w:eastAsia="宋体" w:cs="宋体"/>
                <w:sz w:val="24"/>
                <w:szCs w:val="24"/>
                <w:lang w:val="zh-CN"/>
              </w:rPr>
              <w:t>≥8G</w:t>
            </w:r>
            <w:r>
              <w:rPr>
                <w:rFonts w:hint="eastAsia" w:ascii="宋体" w:hAnsi="宋体" w:cs="宋体"/>
                <w:sz w:val="24"/>
                <w:szCs w:val="24"/>
                <w:lang w:val="en-US" w:eastAsia="zh-CN"/>
              </w:rPr>
              <w:t xml:space="preserve"> D7</w:t>
            </w:r>
            <w:r>
              <w:rPr>
                <w:rFonts w:hint="eastAsia" w:ascii="宋体" w:hAnsi="宋体" w:eastAsia="宋体" w:cs="宋体"/>
                <w:sz w:val="24"/>
                <w:szCs w:val="24"/>
                <w:lang w:val="zh-CN"/>
              </w:rPr>
              <w:t>独立显卡</w:t>
            </w:r>
            <w:r>
              <w:rPr>
                <w:rFonts w:hint="eastAsia" w:ascii="宋体" w:hAnsi="宋体" w:cs="宋体"/>
                <w:sz w:val="24"/>
                <w:szCs w:val="24"/>
                <w:lang w:val="zh-CN"/>
              </w:rPr>
              <w:t>，</w:t>
            </w:r>
            <w:r>
              <w:rPr>
                <w:rFonts w:hint="eastAsia" w:ascii="宋体" w:hAnsi="宋体" w:cs="宋体"/>
                <w:sz w:val="24"/>
                <w:szCs w:val="24"/>
                <w:lang w:val="en-US" w:eastAsia="zh-CN"/>
              </w:rPr>
              <w:t>DP接口≥3个，HDMI接口≥1个</w:t>
            </w:r>
          </w:p>
          <w:p w14:paraId="70E5CD81">
            <w:pPr>
              <w:ind w:firstLine="0" w:firstLineChars="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5、声卡：集成声卡，支持5.1声道（提供前≥2后≥3共5个音频接口）</w:t>
            </w:r>
          </w:p>
          <w:p w14:paraId="3B09AF7F">
            <w:pPr>
              <w:ind w:firstLine="0" w:firstLineChars="0"/>
              <w:rPr>
                <w:rFonts w:hint="default"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6、硬盘：≥1TB M.2 PCIe NVMe SSD硬盘，支持扩展≥2个HDD硬盘+2个SSD硬盘</w:t>
            </w:r>
            <w:r>
              <w:rPr>
                <w:rFonts w:hint="default" w:ascii="宋体" w:hAnsi="宋体" w:eastAsia="宋体" w:cs="宋体"/>
                <w:color w:val="000000" w:themeColor="text1"/>
                <w:sz w:val="24"/>
                <w:szCs w:val="24"/>
                <w14:textFill>
                  <w14:solidFill>
                    <w14:schemeClr w14:val="tx1"/>
                  </w14:solidFill>
                </w14:textFill>
              </w:rPr>
              <w:t>。</w:t>
            </w:r>
          </w:p>
          <w:p w14:paraId="7D9E68AF">
            <w:pPr>
              <w:ind w:firstLine="0" w:firstLineChars="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7、网卡：集成10/100/1000M以太网卡</w:t>
            </w:r>
          </w:p>
          <w:p w14:paraId="412301B4">
            <w:pPr>
              <w:ind w:firstLine="0" w:firstLineChars="0"/>
              <w:rPr>
                <w:rFonts w:hint="default"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8、扩展槽：≥1个PCIe 16x Gen5、1个PCIe 1x，所有插槽均为出厂标配</w:t>
            </w:r>
            <w:r>
              <w:rPr>
                <w:rFonts w:hint="default" w:ascii="宋体" w:hAnsi="宋体" w:eastAsia="宋体" w:cs="宋体"/>
                <w:color w:val="000000" w:themeColor="text1"/>
                <w:sz w:val="24"/>
                <w:szCs w:val="24"/>
                <w14:textFill>
                  <w14:solidFill>
                    <w14:schemeClr w14:val="tx1"/>
                  </w14:solidFill>
                </w14:textFill>
              </w:rPr>
              <w:t>。</w:t>
            </w:r>
          </w:p>
          <w:p w14:paraId="7705213E">
            <w:pPr>
              <w:ind w:firstLine="0" w:firstLineChars="0"/>
              <w:rPr>
                <w:rFonts w:hint="eastAsia" w:ascii="宋体" w:hAnsi="宋体" w:eastAsia="宋体" w:cs="宋体"/>
                <w:color w:val="000000" w:themeColor="text1"/>
                <w:sz w:val="24"/>
                <w:szCs w:val="24"/>
                <w:lang w:val="zh-CN"/>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9、键鼠：原厂USB防水抗菌键盘鼠标；</w:t>
            </w:r>
          </w:p>
          <w:p w14:paraId="1AD932F9">
            <w:pPr>
              <w:ind w:firstLine="0" w:firstLineChars="0"/>
              <w:rPr>
                <w:rFonts w:hint="default"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10、接口：≥11个USB接口（至少包含8个USB3.2 Gen1接口、1个USB3.2 Gen2 Type-C接口），≥1个HDMI1.4、≥1个DP、≥1个RJ-45 端口、≥3个SATA3.0接口</w:t>
            </w:r>
            <w:r>
              <w:rPr>
                <w:rFonts w:hint="default" w:ascii="宋体" w:hAnsi="宋体" w:eastAsia="宋体" w:cs="宋体"/>
                <w:color w:val="000000" w:themeColor="text1"/>
                <w:sz w:val="24"/>
                <w:szCs w:val="24"/>
                <w14:textFill>
                  <w14:solidFill>
                    <w14:schemeClr w14:val="tx1"/>
                  </w14:solidFill>
                </w14:textFill>
              </w:rPr>
              <w:t>。</w:t>
            </w:r>
          </w:p>
          <w:p w14:paraId="5236CE58">
            <w:pPr>
              <w:ind w:firstLine="0" w:firstLineChars="0"/>
              <w:rPr>
                <w:rFonts w:hint="eastAsia" w:ascii="宋体" w:hAnsi="宋体" w:eastAsia="宋体" w:cs="宋体"/>
                <w:sz w:val="24"/>
                <w:szCs w:val="24"/>
                <w:lang w:val="zh-CN"/>
              </w:rPr>
            </w:pPr>
            <w:r>
              <w:rPr>
                <w:rFonts w:hint="eastAsia" w:ascii="宋体" w:hAnsi="宋体" w:eastAsia="宋体" w:cs="宋体"/>
                <w:sz w:val="24"/>
                <w:szCs w:val="24"/>
                <w:lang w:val="zh-CN"/>
              </w:rPr>
              <w:t>11、操作系统：≥64位操作系统，支持通过网络、闪存盘对操作系统、驱动进行升级，支持操作系统备份及还原功能。</w:t>
            </w:r>
          </w:p>
          <w:p w14:paraId="27FD5BF1">
            <w:pPr>
              <w:ind w:firstLine="0" w:firstLineChars="0"/>
              <w:rPr>
                <w:rFonts w:hint="default" w:ascii="宋体" w:hAnsi="宋体" w:eastAsia="宋体" w:cs="宋体"/>
                <w:sz w:val="24"/>
                <w:szCs w:val="24"/>
              </w:rPr>
            </w:pPr>
            <w:r>
              <w:rPr>
                <w:rFonts w:hint="eastAsia" w:ascii="宋体" w:hAnsi="宋体" w:eastAsia="宋体" w:cs="宋体"/>
                <w:sz w:val="24"/>
                <w:szCs w:val="24"/>
                <w:lang w:val="zh-CN"/>
              </w:rPr>
              <w:t>12、电源：≥500W高效电源，能效可达82%</w:t>
            </w:r>
            <w:r>
              <w:rPr>
                <w:rFonts w:hint="default" w:ascii="宋体" w:hAnsi="宋体" w:eastAsia="宋体" w:cs="宋体"/>
                <w:sz w:val="24"/>
                <w:szCs w:val="24"/>
              </w:rPr>
              <w:t>。</w:t>
            </w:r>
          </w:p>
          <w:p w14:paraId="3DBCFDD9">
            <w:pPr>
              <w:ind w:firstLine="0" w:firstLineChars="0"/>
              <w:rPr>
                <w:rFonts w:hint="default"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zh-CN"/>
                <w14:textFill>
                  <w14:solidFill>
                    <w14:schemeClr w14:val="tx1"/>
                  </w14:solidFill>
                </w14:textFill>
              </w:rPr>
              <w:t>13、显示器：≥23.8英寸超窄边框LED显示器，分辨率≥1920*1080</w:t>
            </w:r>
            <w:r>
              <w:rPr>
                <w:rFonts w:hint="default" w:ascii="宋体" w:hAnsi="宋体" w:eastAsia="宋体" w:cs="宋体"/>
                <w:color w:val="000000" w:themeColor="text1"/>
                <w:sz w:val="24"/>
                <w:szCs w:val="24"/>
                <w14:textFill>
                  <w14:solidFill>
                    <w14:schemeClr w14:val="tx1"/>
                  </w14:solidFill>
                </w14:textFill>
              </w:rPr>
              <w:t>。</w:t>
            </w:r>
          </w:p>
          <w:p w14:paraId="35DA2BE8">
            <w:pPr>
              <w:ind w:firstLine="0" w:firstLineChars="0"/>
              <w:rPr>
                <w:rFonts w:hint="eastAsia" w:ascii="宋体" w:hAnsi="宋体" w:eastAsia="宋体" w:cs="宋体"/>
                <w:sz w:val="24"/>
                <w:szCs w:val="24"/>
                <w:lang w:val="en-US" w:eastAsia="zh-CN"/>
              </w:rPr>
            </w:pPr>
            <w:r>
              <w:rPr>
                <w:rFonts w:hint="eastAsia" w:ascii="宋体" w:hAnsi="宋体" w:eastAsia="宋体" w:cs="宋体"/>
                <w:color w:val="000000" w:themeColor="text1"/>
                <w:sz w:val="24"/>
                <w:szCs w:val="24"/>
                <w:lang w:val="zh-CN"/>
                <w14:textFill>
                  <w14:solidFill>
                    <w14:schemeClr w14:val="tx1"/>
                  </w14:solidFill>
                </w14:textFill>
              </w:rPr>
              <w:t>14、机箱：标准MATX立式机箱，标配除菌风扇</w:t>
            </w:r>
            <w:r>
              <w:rPr>
                <w:rFonts w:hint="default"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lang w:val="zh-CN"/>
                <w14:textFill>
                  <w14:solidFill>
                    <w14:schemeClr w14:val="tx1"/>
                  </w14:solidFill>
                </w14:textFill>
              </w:rPr>
              <w:t>机箱≥15L、顶置电源开关键，方便使用；</w:t>
            </w:r>
          </w:p>
        </w:tc>
      </w:tr>
      <w:tr w14:paraId="6E5CAD62">
        <w:tblPrEx>
          <w:tblCellMar>
            <w:top w:w="15" w:type="dxa"/>
            <w:left w:w="15" w:type="dxa"/>
            <w:bottom w:w="15" w:type="dxa"/>
            <w:right w:w="15" w:type="dxa"/>
          </w:tblCellMar>
        </w:tblPrEx>
        <w:trPr>
          <w:trHeight w:val="576" w:hRule="atLeast"/>
          <w:jc w:val="center"/>
        </w:trPr>
        <w:tc>
          <w:tcPr>
            <w:tcW w:w="416" w:type="pct"/>
            <w:tcBorders>
              <w:top w:val="single" w:color="auto" w:sz="4" w:space="0"/>
              <w:left w:val="single" w:color="auto" w:sz="4" w:space="0"/>
              <w:bottom w:val="single" w:color="auto" w:sz="4" w:space="0"/>
              <w:right w:val="single" w:color="auto" w:sz="4" w:space="0"/>
            </w:tcBorders>
            <w:noWrap w:val="0"/>
            <w:vAlign w:val="center"/>
          </w:tcPr>
          <w:p w14:paraId="00951954">
            <w:pPr>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p>
        </w:tc>
        <w:tc>
          <w:tcPr>
            <w:tcW w:w="773" w:type="pct"/>
            <w:tcBorders>
              <w:top w:val="single" w:color="auto" w:sz="4" w:space="0"/>
              <w:left w:val="single" w:color="auto" w:sz="4" w:space="0"/>
              <w:bottom w:val="single" w:color="auto" w:sz="4" w:space="0"/>
              <w:right w:val="single" w:color="auto" w:sz="4" w:space="0"/>
            </w:tcBorders>
            <w:noWrap w:val="0"/>
            <w:vAlign w:val="center"/>
          </w:tcPr>
          <w:p w14:paraId="48598EBA">
            <w:pPr>
              <w:numPr>
                <w:ilvl w:val="0"/>
                <w:numId w:val="0"/>
              </w:numPr>
              <w:jc w:val="cente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接入交换机</w:t>
            </w:r>
          </w:p>
        </w:tc>
        <w:tc>
          <w:tcPr>
            <w:tcW w:w="7040" w:type="dxa"/>
            <w:tcBorders>
              <w:top w:val="single" w:color="auto" w:sz="4" w:space="0"/>
              <w:left w:val="single" w:color="auto" w:sz="4" w:space="0"/>
              <w:bottom w:val="single" w:color="auto" w:sz="4" w:space="0"/>
              <w:right w:val="single" w:color="auto" w:sz="4" w:space="0"/>
            </w:tcBorders>
            <w:noWrap w:val="0"/>
            <w:vAlign w:val="center"/>
          </w:tcPr>
          <w:p w14:paraId="00D53ABB">
            <w:pPr>
              <w:numPr>
                <w:ilvl w:val="0"/>
                <w:numId w:val="0"/>
              </w:numPr>
              <w:ind w:left="0" w:leftChars="0" w:firstLine="0" w:firstLineChars="0"/>
              <w:rPr>
                <w:rFonts w:hint="eastAsia" w:ascii="宋体" w:hAnsi="宋体" w:eastAsia="宋体" w:cs="宋体"/>
                <w:sz w:val="24"/>
                <w:szCs w:val="24"/>
                <w:lang w:val="zh-CN" w:eastAsia="zh-CN"/>
              </w:rPr>
            </w:pPr>
            <w:r>
              <w:rPr>
                <w:rFonts w:hint="eastAsia" w:ascii="宋体" w:hAnsi="宋体" w:eastAsia="宋体" w:cs="宋体"/>
                <w:b w:val="0"/>
                <w:bCs w:val="0"/>
                <w:color w:val="auto"/>
                <w:kern w:val="0"/>
                <w:sz w:val="24"/>
                <w:szCs w:val="24"/>
                <w:lang w:val="en-US" w:eastAsia="zh-CN" w:bidi="ar-SA"/>
              </w:rPr>
              <w:t>1、交换容量:≥336Gbps</w:t>
            </w:r>
            <w:r>
              <w:rPr>
                <w:rFonts w:hint="eastAsia" w:ascii="宋体" w:hAnsi="宋体" w:eastAsia="宋体" w:cs="宋体"/>
                <w:b w:val="0"/>
                <w:bCs w:val="0"/>
                <w:color w:val="auto"/>
                <w:kern w:val="0"/>
                <w:sz w:val="24"/>
                <w:szCs w:val="24"/>
                <w:lang w:val="en-US" w:eastAsia="zh-CN" w:bidi="ar-SA"/>
              </w:rPr>
              <w:br w:type="textWrapping"/>
            </w:r>
            <w:r>
              <w:rPr>
                <w:rFonts w:hint="default" w:ascii="宋体" w:hAnsi="宋体" w:cs="宋体"/>
                <w:b w:val="0"/>
                <w:bCs w:val="0"/>
                <w:color w:val="auto"/>
                <w:kern w:val="0"/>
                <w:sz w:val="24"/>
                <w:szCs w:val="24"/>
                <w:lang w:eastAsia="zh-CN" w:bidi="ar-SA"/>
              </w:rPr>
              <w:t>2、</w:t>
            </w:r>
            <w:r>
              <w:rPr>
                <w:rFonts w:hint="eastAsia" w:ascii="宋体" w:hAnsi="宋体" w:eastAsia="宋体" w:cs="宋体"/>
                <w:b w:val="0"/>
                <w:bCs w:val="0"/>
                <w:color w:val="auto"/>
                <w:kern w:val="0"/>
                <w:sz w:val="24"/>
                <w:szCs w:val="24"/>
                <w:lang w:val="en-US" w:eastAsia="zh-CN" w:bidi="ar-SA"/>
              </w:rPr>
              <w:t xml:space="preserve">包转发率:≥51Mpps; </w:t>
            </w:r>
            <w:r>
              <w:rPr>
                <w:rFonts w:hint="eastAsia" w:ascii="宋体" w:hAnsi="宋体" w:eastAsia="宋体" w:cs="宋体"/>
                <w:b w:val="0"/>
                <w:bCs w:val="0"/>
                <w:color w:val="auto"/>
                <w:kern w:val="0"/>
                <w:sz w:val="24"/>
                <w:szCs w:val="24"/>
                <w:lang w:val="en-US" w:eastAsia="zh-CN" w:bidi="ar-SA"/>
              </w:rPr>
              <w:br w:type="textWrapping"/>
            </w:r>
            <w:r>
              <w:rPr>
                <w:rFonts w:hint="default" w:ascii="宋体" w:hAnsi="宋体" w:cs="宋体"/>
                <w:b w:val="0"/>
                <w:bCs w:val="0"/>
                <w:color w:val="auto"/>
                <w:kern w:val="0"/>
                <w:sz w:val="24"/>
                <w:szCs w:val="24"/>
                <w:lang w:eastAsia="zh-CN" w:bidi="ar-SA"/>
              </w:rPr>
              <w:t>3、</w:t>
            </w:r>
            <w:r>
              <w:rPr>
                <w:rFonts w:hint="eastAsia" w:ascii="宋体" w:hAnsi="宋体" w:eastAsia="宋体" w:cs="宋体"/>
                <w:b w:val="0"/>
                <w:bCs w:val="0"/>
                <w:color w:val="auto"/>
                <w:kern w:val="0"/>
                <w:sz w:val="24"/>
                <w:szCs w:val="24"/>
                <w:lang w:val="en-US" w:eastAsia="zh-CN" w:bidi="ar-SA"/>
              </w:rPr>
              <w:t>端口:</w:t>
            </w:r>
            <w:r>
              <w:rPr>
                <w:rFonts w:hint="eastAsia" w:ascii="宋体" w:hAnsi="宋体" w:eastAsia="宋体" w:cs="宋体"/>
                <w:sz w:val="24"/>
                <w:szCs w:val="24"/>
                <w:lang w:val="zh-CN"/>
              </w:rPr>
              <w:t>≥</w:t>
            </w:r>
            <w:r>
              <w:rPr>
                <w:rFonts w:hint="eastAsia" w:ascii="宋体" w:hAnsi="宋体" w:eastAsia="宋体" w:cs="宋体"/>
                <w:b w:val="0"/>
                <w:bCs w:val="0"/>
                <w:color w:val="auto"/>
                <w:kern w:val="0"/>
                <w:sz w:val="24"/>
                <w:szCs w:val="24"/>
                <w:lang w:val="en-US" w:eastAsia="zh-CN" w:bidi="ar-SA"/>
              </w:rPr>
              <w:t>24个千兆电口，</w:t>
            </w:r>
            <w:r>
              <w:rPr>
                <w:rFonts w:hint="eastAsia" w:ascii="宋体" w:hAnsi="宋体" w:eastAsia="宋体" w:cs="宋体"/>
                <w:sz w:val="24"/>
                <w:szCs w:val="24"/>
                <w:lang w:val="zh-CN"/>
              </w:rPr>
              <w:t>≥</w:t>
            </w:r>
            <w:r>
              <w:rPr>
                <w:rFonts w:hint="eastAsia" w:ascii="宋体" w:hAnsi="宋体" w:eastAsia="宋体" w:cs="宋体"/>
                <w:b w:val="0"/>
                <w:bCs w:val="0"/>
                <w:color w:val="auto"/>
                <w:kern w:val="0"/>
                <w:sz w:val="24"/>
                <w:szCs w:val="24"/>
                <w:lang w:val="en-US" w:eastAsia="zh-CN" w:bidi="ar-SA"/>
              </w:rPr>
              <w:t xml:space="preserve">4个千兆SFP，无风扇自然散热; </w:t>
            </w:r>
            <w:r>
              <w:rPr>
                <w:rFonts w:hint="eastAsia" w:ascii="宋体" w:hAnsi="宋体" w:eastAsia="宋体" w:cs="宋体"/>
                <w:b w:val="0"/>
                <w:bCs w:val="0"/>
                <w:color w:val="auto"/>
                <w:kern w:val="0"/>
                <w:sz w:val="24"/>
                <w:szCs w:val="24"/>
                <w:lang w:val="en-US" w:eastAsia="zh-CN" w:bidi="ar-SA"/>
              </w:rPr>
              <w:br w:type="textWrapping"/>
            </w:r>
            <w:r>
              <w:rPr>
                <w:rFonts w:hint="default" w:ascii="宋体" w:hAnsi="宋体" w:cs="宋体"/>
                <w:b w:val="0"/>
                <w:bCs w:val="0"/>
                <w:color w:val="auto"/>
                <w:kern w:val="0"/>
                <w:sz w:val="24"/>
                <w:szCs w:val="24"/>
                <w:lang w:eastAsia="zh-CN" w:bidi="ar-SA"/>
              </w:rPr>
              <w:t>4、</w:t>
            </w:r>
            <w:r>
              <w:rPr>
                <w:rFonts w:hint="eastAsia" w:ascii="宋体" w:hAnsi="宋体" w:eastAsia="宋体" w:cs="宋体"/>
                <w:b w:val="0"/>
                <w:bCs w:val="0"/>
                <w:color w:val="auto"/>
                <w:kern w:val="0"/>
                <w:sz w:val="24"/>
                <w:szCs w:val="24"/>
                <w:lang w:val="en-US" w:eastAsia="zh-CN" w:bidi="ar-SA"/>
              </w:rPr>
              <w:t>可靠性:支持以太网环网保护协议ERPS，故障倒换时间</w:t>
            </w:r>
            <w:r>
              <w:rPr>
                <w:rFonts w:hint="eastAsia" w:ascii="东文宋体" w:hAnsi="东文宋体" w:eastAsia="东文宋体" w:cs="东文宋体"/>
                <w:b w:val="0"/>
                <w:bCs w:val="0"/>
                <w:color w:val="auto"/>
                <w:kern w:val="0"/>
                <w:sz w:val="24"/>
                <w:szCs w:val="24"/>
                <w:lang w:val="en-US" w:eastAsia="zh-CN" w:bidi="ar-SA"/>
              </w:rPr>
              <w:t>≤</w:t>
            </w:r>
            <w:r>
              <w:rPr>
                <w:rFonts w:hint="eastAsia" w:ascii="宋体" w:hAnsi="宋体" w:eastAsia="宋体" w:cs="宋体"/>
                <w:b w:val="0"/>
                <w:bCs w:val="0"/>
                <w:color w:val="auto"/>
                <w:kern w:val="0"/>
                <w:sz w:val="24"/>
                <w:szCs w:val="24"/>
                <w:lang w:val="en-US" w:eastAsia="zh-CN" w:bidi="ar-SA"/>
              </w:rPr>
              <w:t>50ms;</w:t>
            </w:r>
            <w:r>
              <w:rPr>
                <w:rFonts w:hint="eastAsia" w:ascii="宋体" w:hAnsi="宋体" w:eastAsia="宋体" w:cs="宋体"/>
                <w:b w:val="0"/>
                <w:bCs w:val="0"/>
                <w:color w:val="auto"/>
                <w:kern w:val="0"/>
                <w:sz w:val="24"/>
                <w:szCs w:val="24"/>
                <w:lang w:val="en-US" w:eastAsia="zh-CN" w:bidi="ar-SA"/>
              </w:rPr>
              <w:br w:type="textWrapping"/>
            </w:r>
            <w:r>
              <w:rPr>
                <w:rFonts w:hint="eastAsia" w:ascii="宋体" w:hAnsi="宋体" w:eastAsia="宋体" w:cs="宋体"/>
                <w:b w:val="0"/>
                <w:bCs w:val="0"/>
                <w:color w:val="auto"/>
                <w:kern w:val="0"/>
                <w:sz w:val="24"/>
                <w:szCs w:val="24"/>
                <w:lang w:val="en-US" w:eastAsia="zh-CN" w:bidi="ar-SA"/>
              </w:rPr>
              <w:t>5、业务口防雷:业务口防雷可达10KV;</w:t>
            </w:r>
            <w:r>
              <w:rPr>
                <w:rFonts w:hint="eastAsia" w:ascii="宋体" w:hAnsi="宋体" w:eastAsia="宋体" w:cs="宋体"/>
                <w:b w:val="0"/>
                <w:bCs w:val="0"/>
                <w:color w:val="auto"/>
                <w:kern w:val="0"/>
                <w:sz w:val="24"/>
                <w:szCs w:val="24"/>
                <w:lang w:val="en-US" w:eastAsia="zh-CN" w:bidi="ar-SA"/>
              </w:rPr>
              <w:br w:type="textWrapping"/>
            </w:r>
            <w:r>
              <w:rPr>
                <w:rFonts w:hint="eastAsia" w:ascii="宋体" w:hAnsi="宋体" w:eastAsia="宋体" w:cs="宋体"/>
                <w:b w:val="0"/>
                <w:bCs w:val="0"/>
                <w:color w:val="auto"/>
                <w:kern w:val="0"/>
                <w:sz w:val="24"/>
                <w:szCs w:val="24"/>
                <w:lang w:val="en-US" w:eastAsia="zh-CN" w:bidi="ar-SA"/>
              </w:rPr>
              <w:t>6、长期工作温度:长期工作环境温度范围：</w:t>
            </w:r>
            <w:r>
              <w:rPr>
                <w:rFonts w:hint="eastAsia" w:ascii="宋体" w:hAnsi="宋体" w:eastAsia="宋体" w:cs="宋体"/>
                <w:sz w:val="24"/>
                <w:szCs w:val="24"/>
                <w:lang w:val="zh-CN"/>
              </w:rPr>
              <w:t>≥</w:t>
            </w:r>
            <w:r>
              <w:rPr>
                <w:rFonts w:hint="eastAsia" w:ascii="宋体" w:hAnsi="宋体" w:eastAsia="宋体" w:cs="宋体"/>
                <w:b w:val="0"/>
                <w:bCs w:val="0"/>
                <w:color w:val="auto"/>
                <w:kern w:val="0"/>
                <w:sz w:val="24"/>
                <w:szCs w:val="24"/>
                <w:lang w:val="en-US" w:eastAsia="zh-CN" w:bidi="ar-SA"/>
              </w:rPr>
              <w:t>-5℃~45℃。</w:t>
            </w:r>
            <w:r>
              <w:rPr>
                <w:rFonts w:hint="eastAsia" w:ascii="宋体" w:hAnsi="宋体" w:eastAsia="宋体" w:cs="宋体"/>
                <w:b w:val="0"/>
                <w:bCs w:val="0"/>
                <w:color w:val="auto"/>
                <w:kern w:val="0"/>
                <w:sz w:val="24"/>
                <w:szCs w:val="24"/>
                <w:lang w:val="en-US" w:eastAsia="zh-CN" w:bidi="ar-SA"/>
              </w:rPr>
              <w:br w:type="textWrapping"/>
            </w:r>
            <w:r>
              <w:rPr>
                <w:rFonts w:hint="eastAsia" w:ascii="宋体" w:hAnsi="宋体" w:eastAsia="宋体" w:cs="宋体"/>
                <w:b w:val="0"/>
                <w:bCs w:val="0"/>
                <w:color w:val="auto"/>
                <w:kern w:val="0"/>
                <w:sz w:val="24"/>
                <w:szCs w:val="24"/>
                <w:lang w:val="en-US" w:eastAsia="zh-CN" w:bidi="ar-SA"/>
              </w:rPr>
              <w:t>7、须提供满足以上技术参数的官网截图证明。</w:t>
            </w:r>
          </w:p>
        </w:tc>
      </w:tr>
      <w:tr w14:paraId="58ACFFD6">
        <w:tblPrEx>
          <w:tblCellMar>
            <w:top w:w="15" w:type="dxa"/>
            <w:left w:w="15" w:type="dxa"/>
            <w:bottom w:w="15" w:type="dxa"/>
            <w:right w:w="15" w:type="dxa"/>
          </w:tblCellMar>
        </w:tblPrEx>
        <w:trPr>
          <w:trHeight w:val="576" w:hRule="atLeast"/>
          <w:jc w:val="center"/>
        </w:trPr>
        <w:tc>
          <w:tcPr>
            <w:tcW w:w="416" w:type="pct"/>
            <w:tcBorders>
              <w:top w:val="single" w:color="auto" w:sz="4" w:space="0"/>
              <w:left w:val="single" w:color="auto" w:sz="4" w:space="0"/>
              <w:bottom w:val="single" w:color="auto" w:sz="4" w:space="0"/>
              <w:right w:val="single" w:color="auto" w:sz="4" w:space="0"/>
            </w:tcBorders>
            <w:noWrap w:val="0"/>
            <w:vAlign w:val="center"/>
          </w:tcPr>
          <w:p w14:paraId="349E702D">
            <w:pPr>
              <w:numPr>
                <w:ilvl w:val="0"/>
                <w:numId w:val="0"/>
              </w:numPr>
              <w:ind w:left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p>
        </w:tc>
        <w:tc>
          <w:tcPr>
            <w:tcW w:w="773" w:type="pct"/>
            <w:tcBorders>
              <w:top w:val="single" w:color="auto" w:sz="4" w:space="0"/>
              <w:left w:val="single" w:color="auto" w:sz="4" w:space="0"/>
              <w:bottom w:val="single" w:color="auto" w:sz="4" w:space="0"/>
              <w:right w:val="single" w:color="auto" w:sz="4" w:space="0"/>
            </w:tcBorders>
            <w:noWrap w:val="0"/>
            <w:vAlign w:val="center"/>
          </w:tcPr>
          <w:p w14:paraId="0EA462FE">
            <w:pPr>
              <w:numPr>
                <w:ilvl w:val="0"/>
                <w:numId w:val="0"/>
              </w:numPr>
              <w:jc w:val="cente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机柜</w:t>
            </w:r>
          </w:p>
        </w:tc>
        <w:tc>
          <w:tcPr>
            <w:tcW w:w="7040" w:type="dxa"/>
            <w:tcBorders>
              <w:top w:val="single" w:color="auto" w:sz="4" w:space="0"/>
              <w:left w:val="single" w:color="auto" w:sz="4" w:space="0"/>
              <w:bottom w:val="single" w:color="auto" w:sz="4" w:space="0"/>
              <w:right w:val="single" w:color="auto" w:sz="4" w:space="0"/>
            </w:tcBorders>
            <w:noWrap w:val="0"/>
            <w:vAlign w:val="center"/>
          </w:tcPr>
          <w:p w14:paraId="23EF8795">
            <w:pPr>
              <w:numPr>
                <w:ilvl w:val="0"/>
                <w:numId w:val="0"/>
              </w:numPr>
              <w:ind w:left="0" w:leftChars="0" w:firstLine="0" w:firstLineChars="0"/>
              <w:rPr>
                <w:rFonts w:hint="eastAsia" w:ascii="宋体" w:hAnsi="宋体" w:eastAsia="宋体" w:cs="宋体"/>
                <w:sz w:val="24"/>
                <w:szCs w:val="24"/>
                <w:lang w:val="zh-CN" w:eastAsia="zh-CN"/>
              </w:rPr>
            </w:pPr>
            <w:r>
              <w:rPr>
                <w:rFonts w:hint="eastAsia" w:ascii="宋体" w:hAnsi="宋体" w:eastAsia="宋体" w:cs="宋体"/>
                <w:b w:val="0"/>
                <w:bCs w:val="0"/>
                <w:color w:val="auto"/>
                <w:kern w:val="0"/>
                <w:sz w:val="24"/>
                <w:szCs w:val="24"/>
                <w:lang w:val="en-US" w:eastAsia="zh-CN" w:bidi="ar-SA"/>
              </w:rPr>
              <w:t>22U标准网络机柜</w:t>
            </w:r>
            <w:r>
              <w:rPr>
                <w:rFonts w:hint="eastAsia" w:ascii="宋体" w:hAnsi="宋体" w:eastAsia="宋体" w:cs="宋体"/>
                <w:sz w:val="24"/>
                <w:szCs w:val="24"/>
                <w:lang w:val="zh-CN"/>
              </w:rPr>
              <w:t>≥</w:t>
            </w:r>
            <w:r>
              <w:rPr>
                <w:rFonts w:hint="eastAsia" w:ascii="宋体" w:hAnsi="宋体" w:eastAsia="宋体" w:cs="宋体"/>
                <w:b w:val="0"/>
                <w:bCs w:val="0"/>
                <w:color w:val="auto"/>
                <w:kern w:val="0"/>
                <w:sz w:val="24"/>
                <w:szCs w:val="24"/>
                <w:lang w:val="en-US" w:eastAsia="zh-CN" w:bidi="ar-SA"/>
              </w:rPr>
              <w:t>600</w:t>
            </w:r>
            <w:r>
              <w:rPr>
                <w:rFonts w:hint="eastAsia" w:ascii="宋体" w:hAnsi="宋体" w:cs="宋体"/>
                <w:b w:val="0"/>
                <w:bCs w:val="0"/>
                <w:color w:val="auto"/>
                <w:kern w:val="0"/>
                <w:sz w:val="24"/>
                <w:szCs w:val="24"/>
                <w:lang w:val="en-US" w:eastAsia="zh-CN" w:bidi="ar-SA"/>
              </w:rPr>
              <w:t>mm</w:t>
            </w:r>
            <w:r>
              <w:rPr>
                <w:rFonts w:hint="eastAsia" w:ascii="宋体" w:hAnsi="宋体" w:eastAsia="宋体" w:cs="宋体"/>
                <w:b w:val="0"/>
                <w:bCs w:val="0"/>
                <w:color w:val="auto"/>
                <w:kern w:val="0"/>
                <w:sz w:val="24"/>
                <w:szCs w:val="24"/>
                <w:lang w:val="en-US" w:eastAsia="zh-CN" w:bidi="ar-SA"/>
              </w:rPr>
              <w:t>*600</w:t>
            </w:r>
            <w:r>
              <w:rPr>
                <w:rFonts w:hint="eastAsia" w:ascii="宋体" w:hAnsi="宋体" w:cs="宋体"/>
                <w:b w:val="0"/>
                <w:bCs w:val="0"/>
                <w:color w:val="auto"/>
                <w:kern w:val="0"/>
                <w:sz w:val="24"/>
                <w:szCs w:val="24"/>
                <w:lang w:val="en-US" w:eastAsia="zh-CN" w:bidi="ar-SA"/>
              </w:rPr>
              <w:t>mm</w:t>
            </w:r>
            <w:r>
              <w:rPr>
                <w:rFonts w:hint="eastAsia" w:ascii="宋体" w:hAnsi="宋体" w:eastAsia="宋体" w:cs="宋体"/>
                <w:b w:val="0"/>
                <w:bCs w:val="0"/>
                <w:color w:val="auto"/>
                <w:kern w:val="0"/>
                <w:sz w:val="24"/>
                <w:szCs w:val="24"/>
                <w:lang w:val="en-US" w:eastAsia="zh-CN" w:bidi="ar-SA"/>
              </w:rPr>
              <w:t>*1200</w:t>
            </w:r>
            <w:r>
              <w:rPr>
                <w:rFonts w:hint="eastAsia" w:ascii="宋体" w:hAnsi="宋体" w:cs="宋体"/>
                <w:b w:val="0"/>
                <w:bCs w:val="0"/>
                <w:color w:val="auto"/>
                <w:kern w:val="0"/>
                <w:sz w:val="24"/>
                <w:szCs w:val="24"/>
                <w:lang w:val="en-US" w:eastAsia="zh-CN" w:bidi="ar-SA"/>
              </w:rPr>
              <w:t>mm</w:t>
            </w:r>
            <w:r>
              <w:rPr>
                <w:rFonts w:hint="eastAsia" w:ascii="宋体" w:hAnsi="宋体" w:eastAsia="宋体" w:cs="宋体"/>
                <w:b w:val="0"/>
                <w:bCs w:val="0"/>
                <w:color w:val="auto"/>
                <w:kern w:val="0"/>
                <w:sz w:val="24"/>
                <w:szCs w:val="24"/>
                <w:lang w:val="en-US" w:eastAsia="zh-CN" w:bidi="ar-SA"/>
              </w:rPr>
              <w:t>须提供符合国家相关标准的第三方检测报告。</w:t>
            </w:r>
          </w:p>
        </w:tc>
      </w:tr>
      <w:tr w14:paraId="44D8938F">
        <w:tblPrEx>
          <w:tblCellMar>
            <w:top w:w="15" w:type="dxa"/>
            <w:left w:w="15" w:type="dxa"/>
            <w:bottom w:w="15" w:type="dxa"/>
            <w:right w:w="15" w:type="dxa"/>
          </w:tblCellMar>
        </w:tblPrEx>
        <w:trPr>
          <w:trHeight w:val="576" w:hRule="atLeast"/>
          <w:jc w:val="center"/>
        </w:trPr>
        <w:tc>
          <w:tcPr>
            <w:tcW w:w="416" w:type="pct"/>
            <w:tcBorders>
              <w:top w:val="single" w:color="auto" w:sz="4" w:space="0"/>
              <w:left w:val="single" w:color="auto" w:sz="4" w:space="0"/>
              <w:bottom w:val="single" w:color="auto" w:sz="4" w:space="0"/>
              <w:right w:val="single" w:color="auto" w:sz="4" w:space="0"/>
            </w:tcBorders>
            <w:noWrap w:val="0"/>
            <w:vAlign w:val="center"/>
          </w:tcPr>
          <w:p w14:paraId="2C1C74AB">
            <w:pPr>
              <w:numPr>
                <w:ilvl w:val="0"/>
                <w:numId w:val="0"/>
              </w:numPr>
              <w:ind w:left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w:t>
            </w:r>
          </w:p>
        </w:tc>
        <w:tc>
          <w:tcPr>
            <w:tcW w:w="773" w:type="pct"/>
            <w:tcBorders>
              <w:top w:val="single" w:color="auto" w:sz="4" w:space="0"/>
              <w:left w:val="single" w:color="auto" w:sz="4" w:space="0"/>
              <w:bottom w:val="single" w:color="auto" w:sz="4" w:space="0"/>
              <w:right w:val="single" w:color="auto" w:sz="4" w:space="0"/>
            </w:tcBorders>
            <w:noWrap w:val="0"/>
            <w:vAlign w:val="center"/>
          </w:tcPr>
          <w:p w14:paraId="26FD18E7">
            <w:pPr>
              <w:numPr>
                <w:ilvl w:val="0"/>
                <w:numId w:val="0"/>
              </w:numPr>
              <w:jc w:val="cente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布线及施工服务</w:t>
            </w:r>
          </w:p>
        </w:tc>
        <w:tc>
          <w:tcPr>
            <w:tcW w:w="7040" w:type="dxa"/>
            <w:tcBorders>
              <w:top w:val="single" w:color="auto" w:sz="4" w:space="0"/>
              <w:left w:val="single" w:color="auto" w:sz="4" w:space="0"/>
              <w:bottom w:val="single" w:color="auto" w:sz="4" w:space="0"/>
              <w:right w:val="single" w:color="auto" w:sz="4" w:space="0"/>
            </w:tcBorders>
            <w:noWrap w:val="0"/>
            <w:vAlign w:val="center"/>
          </w:tcPr>
          <w:p w14:paraId="24B74A92">
            <w:pPr>
              <w:numPr>
                <w:ilvl w:val="0"/>
                <w:numId w:val="0"/>
              </w:numPr>
              <w:ind w:left="0" w:leftChars="0" w:firstLine="0" w:firstLineChars="0"/>
              <w:rPr>
                <w:rFonts w:hint="eastAsia" w:ascii="宋体" w:hAnsi="宋体" w:eastAsia="宋体" w:cs="宋体"/>
                <w:sz w:val="24"/>
                <w:szCs w:val="24"/>
                <w:lang w:val="zh-CN" w:eastAsia="zh-CN"/>
              </w:rPr>
            </w:pPr>
            <w:r>
              <w:rPr>
                <w:rFonts w:hint="eastAsia" w:ascii="宋体" w:hAnsi="宋体" w:eastAsia="宋体" w:cs="宋体"/>
                <w:b w:val="0"/>
                <w:bCs w:val="0"/>
                <w:color w:val="auto"/>
                <w:kern w:val="0"/>
                <w:sz w:val="24"/>
                <w:szCs w:val="24"/>
                <w:lang w:val="en-US" w:eastAsia="zh-CN" w:bidi="ar-SA"/>
              </w:rPr>
              <w:t>施工及线材:以上设备施工所需全部的辅料,包括弱电线材,PVC槽管、接线板等以及音响、话筒等智能化设施施工所需的所有的线材等</w:t>
            </w:r>
          </w:p>
        </w:tc>
      </w:tr>
      <w:tr w14:paraId="30D9845E">
        <w:tblPrEx>
          <w:tblCellMar>
            <w:top w:w="15" w:type="dxa"/>
            <w:left w:w="15" w:type="dxa"/>
            <w:bottom w:w="15" w:type="dxa"/>
            <w:right w:w="15" w:type="dxa"/>
          </w:tblCellMar>
        </w:tblPrEx>
        <w:trPr>
          <w:trHeight w:val="576" w:hRule="atLeast"/>
          <w:jc w:val="center"/>
        </w:trPr>
        <w:tc>
          <w:tcPr>
            <w:tcW w:w="416" w:type="pct"/>
            <w:tcBorders>
              <w:top w:val="single" w:color="auto" w:sz="4" w:space="0"/>
              <w:left w:val="single" w:color="auto" w:sz="4" w:space="0"/>
              <w:bottom w:val="single" w:color="auto" w:sz="4" w:space="0"/>
              <w:right w:val="single" w:color="auto" w:sz="4" w:space="0"/>
            </w:tcBorders>
            <w:noWrap w:val="0"/>
            <w:vAlign w:val="center"/>
          </w:tcPr>
          <w:p w14:paraId="5962D683">
            <w:pPr>
              <w:numPr>
                <w:ilvl w:val="0"/>
                <w:numId w:val="0"/>
              </w:numPr>
              <w:ind w:left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w:t>
            </w:r>
          </w:p>
        </w:tc>
        <w:tc>
          <w:tcPr>
            <w:tcW w:w="773" w:type="pct"/>
            <w:tcBorders>
              <w:top w:val="single" w:color="auto" w:sz="4" w:space="0"/>
              <w:left w:val="single" w:color="auto" w:sz="4" w:space="0"/>
              <w:bottom w:val="single" w:color="auto" w:sz="4" w:space="0"/>
              <w:right w:val="single" w:color="auto" w:sz="4" w:space="0"/>
            </w:tcBorders>
            <w:noWrap w:val="0"/>
            <w:vAlign w:val="center"/>
          </w:tcPr>
          <w:p w14:paraId="514BD89C">
            <w:pPr>
              <w:numPr>
                <w:ilvl w:val="0"/>
                <w:numId w:val="0"/>
              </w:numPr>
              <w:jc w:val="cente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多媒体教学应用软件授权</w:t>
            </w:r>
          </w:p>
        </w:tc>
        <w:tc>
          <w:tcPr>
            <w:tcW w:w="7040" w:type="dxa"/>
            <w:tcBorders>
              <w:top w:val="single" w:color="auto" w:sz="4" w:space="0"/>
              <w:left w:val="single" w:color="auto" w:sz="4" w:space="0"/>
              <w:bottom w:val="single" w:color="auto" w:sz="4" w:space="0"/>
              <w:right w:val="single" w:color="auto" w:sz="4" w:space="0"/>
            </w:tcBorders>
            <w:noWrap w:val="0"/>
            <w:vAlign w:val="center"/>
          </w:tcPr>
          <w:p w14:paraId="04F504BC">
            <w:pPr>
              <w:numPr>
                <w:ilvl w:val="0"/>
                <w:numId w:val="0"/>
              </w:numPr>
              <w:jc w:val="lef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1、教师演示：为提升教师演示的灵活性，支持对单一、部分或全体学生进行屏幕演示，支持以全屏、窗口方式进行屏幕演示；</w:t>
            </w:r>
          </w:p>
          <w:p w14:paraId="7A2F5525">
            <w:pPr>
              <w:numPr>
                <w:ilvl w:val="0"/>
                <w:numId w:val="0"/>
              </w:numPr>
              <w:jc w:val="lef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2、屏幕笔：即教师教学使用的辅助工具，功能包括但不限于突出显示项目、添加注释、添加批注等；</w:t>
            </w:r>
          </w:p>
          <w:p w14:paraId="48B35D67">
            <w:pPr>
              <w:numPr>
                <w:ilvl w:val="0"/>
                <w:numId w:val="0"/>
              </w:numPr>
              <w:jc w:val="lef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3、视频广播：为保障教师机可流畅地播放的视频可同步广播到学生机采用流媒体技术，实现同步广播到学生机，且达到流畅无延时，支持市面常见的媒体音视频格式，包括但不限于Windows Media文件，VCD文件，DVD文件，Real文件，AVI文件，MP3等，支持视频清晰度包括但不限于720p、1080p；</w:t>
            </w:r>
          </w:p>
          <w:p w14:paraId="2E5E3824">
            <w:pPr>
              <w:numPr>
                <w:ilvl w:val="0"/>
                <w:numId w:val="0"/>
              </w:numPr>
              <w:jc w:val="lef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4、分组讨论：教师可以创建多个小组进行讨论活动，并可任意选择分组加入讨论活动。同组师生支持多种方式进行交流，包括但不限于文字，表情，图片等。</w:t>
            </w:r>
          </w:p>
          <w:p w14:paraId="1AB2433A">
            <w:pPr>
              <w:numPr>
                <w:ilvl w:val="0"/>
                <w:numId w:val="0"/>
              </w:numPr>
              <w:jc w:val="lef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5、视频直播：为达到更形象的教学效果，支持通过USB摄像头将教师的画面实时广播到学生机；为快速设置摄像头，支持引导提示客户选择视频设备；</w:t>
            </w:r>
          </w:p>
          <w:p w14:paraId="5455DEE3">
            <w:pPr>
              <w:numPr>
                <w:ilvl w:val="0"/>
                <w:numId w:val="0"/>
              </w:numPr>
              <w:jc w:val="lef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▲6、屏幕录制：教师机可以将本地的操作和讲解过程录制为ASF录像文件，可以用Media Player 直接播放。（提供此功能界面截图证明）</w:t>
            </w:r>
          </w:p>
          <w:p w14:paraId="7F2985E9">
            <w:pPr>
              <w:numPr>
                <w:ilvl w:val="0"/>
                <w:numId w:val="0"/>
              </w:numPr>
              <w:jc w:val="lef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7、语音广播：教师机支持将声音广播至学生，声音来源包括但不限于麦克风或其他输入设备（如磁带、CD）；</w:t>
            </w:r>
          </w:p>
          <w:p w14:paraId="7BF15A64">
            <w:pPr>
              <w:numPr>
                <w:ilvl w:val="0"/>
                <w:numId w:val="0"/>
              </w:numPr>
              <w:jc w:val="lef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8、教师可与任意一名已登录的学生进行双向语音交谈，且其他学生不会受到干扰，教师可动态切换对讲对象；</w:t>
            </w:r>
          </w:p>
          <w:p w14:paraId="52586B10">
            <w:pPr>
              <w:numPr>
                <w:ilvl w:val="0"/>
                <w:numId w:val="0"/>
              </w:numPr>
              <w:jc w:val="lef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9、教师可选定一台学生机，由此学生代替教师进行示范教学；</w:t>
            </w:r>
          </w:p>
          <w:p w14:paraId="1542972F">
            <w:pPr>
              <w:numPr>
                <w:ilvl w:val="0"/>
                <w:numId w:val="0"/>
              </w:numPr>
              <w:jc w:val="lef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10、教师分派组长执行指定的功能，组长代替教师进行小组教学，小组不需要再临时创建，可以直接使用既有分组信息，教师可以监控每个分组的教学过程，以了解分组教学的进度；</w:t>
            </w:r>
          </w:p>
          <w:p w14:paraId="2EBCA327">
            <w:pPr>
              <w:numPr>
                <w:ilvl w:val="0"/>
                <w:numId w:val="0"/>
              </w:numPr>
              <w:jc w:val="lef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11、支持屏幕录制与回放，教师机可以将本机的操作过程、讲解录制为一个文件，内容可回放，并可通过屏幕广播给学生；</w:t>
            </w:r>
          </w:p>
          <w:p w14:paraId="15137FE1">
            <w:pPr>
              <w:numPr>
                <w:ilvl w:val="0"/>
                <w:numId w:val="0"/>
              </w:numPr>
              <w:jc w:val="lef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12、允许教师将教师机不同盘符中的目录或文件一起发送至学生机的某目录下。若目录不存在则自动新建此目录；若盘符不存在或路径非法则不允许分发；若文件已存在则可选择自动覆盖或保留原始文件。</w:t>
            </w:r>
          </w:p>
          <w:p w14:paraId="49F26DFE">
            <w:pPr>
              <w:numPr>
                <w:ilvl w:val="0"/>
                <w:numId w:val="0"/>
              </w:numPr>
              <w:jc w:val="lef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13、教师机可以监视单一、部分、全体学生机的屏幕，教师机每屏可监视多个学生屏幕 ；</w:t>
            </w:r>
          </w:p>
          <w:p w14:paraId="0C6670EF">
            <w:pPr>
              <w:numPr>
                <w:ilvl w:val="0"/>
                <w:numId w:val="0"/>
              </w:numPr>
              <w:jc w:val="lef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14、为方便教师收取作业批改，支持学生把做好的作业直接提交到教师机。教师可选择接收或拒绝学生提交的文件；且教师可限制学生提交文件的数目和大小。</w:t>
            </w:r>
          </w:p>
          <w:p w14:paraId="443341E4">
            <w:pPr>
              <w:numPr>
                <w:ilvl w:val="0"/>
                <w:numId w:val="0"/>
              </w:numPr>
              <w:jc w:val="lef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15、支持对学生访问网站的黑名单或白名单设置，支持对学生可以访问的Internet站点进行管理。支持多浏览器限制，包括但不限于QQ、IE、谷歌、360、遨游等浏览器，支持通过各种策略限制学生使用程序。</w:t>
            </w:r>
          </w:p>
          <w:p w14:paraId="2ADB6ACF">
            <w:pPr>
              <w:numPr>
                <w:ilvl w:val="0"/>
                <w:numId w:val="0"/>
              </w:numPr>
              <w:ind w:left="0" w:leftChars="0" w:firstLine="0" w:firstLineChars="0"/>
              <w:jc w:val="left"/>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▲16、支持远程设置学生桌面主题、桌面背景、屏幕保护方案、学生的频道号和音量、学生端密码，是否启用进程保护，断线锁屏，热键退出等。（提供此功能界面截图证明）</w:t>
            </w:r>
          </w:p>
        </w:tc>
      </w:tr>
      <w:tr w14:paraId="63F440A9">
        <w:tblPrEx>
          <w:tblCellMar>
            <w:top w:w="15" w:type="dxa"/>
            <w:left w:w="15" w:type="dxa"/>
            <w:bottom w:w="15" w:type="dxa"/>
            <w:right w:w="15" w:type="dxa"/>
          </w:tblCellMar>
        </w:tblPrEx>
        <w:trPr>
          <w:trHeight w:val="576" w:hRule="atLeast"/>
          <w:jc w:val="center"/>
        </w:trPr>
        <w:tc>
          <w:tcPr>
            <w:tcW w:w="416" w:type="pct"/>
            <w:tcBorders>
              <w:top w:val="single" w:color="auto" w:sz="4" w:space="0"/>
              <w:left w:val="single" w:color="auto" w:sz="4" w:space="0"/>
              <w:bottom w:val="single" w:color="auto" w:sz="4" w:space="0"/>
              <w:right w:val="single" w:color="auto" w:sz="4" w:space="0"/>
            </w:tcBorders>
            <w:noWrap w:val="0"/>
            <w:vAlign w:val="center"/>
          </w:tcPr>
          <w:p w14:paraId="5DF3B607">
            <w:pPr>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773" w:type="pct"/>
            <w:tcBorders>
              <w:top w:val="single" w:color="auto" w:sz="4" w:space="0"/>
              <w:left w:val="single" w:color="auto" w:sz="4" w:space="0"/>
              <w:bottom w:val="single" w:color="auto" w:sz="4" w:space="0"/>
              <w:right w:val="single" w:color="auto" w:sz="4" w:space="0"/>
            </w:tcBorders>
            <w:noWrap w:val="0"/>
            <w:vAlign w:val="center"/>
          </w:tcPr>
          <w:p w14:paraId="42CB6A6A">
            <w:pPr>
              <w:numPr>
                <w:ilvl w:val="0"/>
                <w:numId w:val="0"/>
              </w:numPr>
              <w:jc w:val="cente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智慧黑板</w:t>
            </w:r>
          </w:p>
        </w:tc>
        <w:tc>
          <w:tcPr>
            <w:tcW w:w="3810" w:type="pct"/>
            <w:tcBorders>
              <w:top w:val="single" w:color="auto" w:sz="4" w:space="0"/>
              <w:left w:val="single" w:color="auto" w:sz="4" w:space="0"/>
              <w:bottom w:val="single" w:color="auto" w:sz="4" w:space="0"/>
              <w:right w:val="single" w:color="auto" w:sz="4" w:space="0"/>
            </w:tcBorders>
            <w:noWrap w:val="0"/>
            <w:vAlign w:val="center"/>
          </w:tcPr>
          <w:p w14:paraId="1EF34271">
            <w:pPr>
              <w:numPr>
                <w:ilvl w:val="0"/>
                <w:numId w:val="0"/>
              </w:numPr>
              <w:spacing w:line="360" w:lineRule="exact"/>
              <w:ind w:leftChars="0"/>
              <w:rPr>
                <w:rFonts w:hint="eastAsia" w:ascii="宋体" w:hAnsi="宋体" w:eastAsia="宋体" w:cs="宋体"/>
                <w:b/>
                <w:bCs/>
                <w:color w:val="auto"/>
                <w:sz w:val="24"/>
                <w:szCs w:val="24"/>
                <w:lang w:eastAsia="zh-Hans"/>
              </w:rPr>
            </w:pPr>
            <w:r>
              <w:rPr>
                <w:rFonts w:hint="eastAsia" w:ascii="宋体" w:hAnsi="宋体" w:eastAsia="宋体" w:cs="宋体"/>
                <w:b/>
                <w:bCs/>
                <w:color w:val="auto"/>
                <w:sz w:val="24"/>
                <w:szCs w:val="24"/>
                <w:lang w:val="en-US" w:eastAsia="zh-Hans"/>
              </w:rPr>
              <w:t>智慧黑板硬件参数</w:t>
            </w:r>
            <w:r>
              <w:rPr>
                <w:rFonts w:hint="eastAsia" w:ascii="宋体" w:hAnsi="宋体" w:eastAsia="宋体" w:cs="宋体"/>
                <w:b/>
                <w:bCs/>
                <w:color w:val="auto"/>
                <w:sz w:val="24"/>
                <w:szCs w:val="24"/>
                <w:lang w:eastAsia="zh-Hans"/>
              </w:rPr>
              <w:t>：</w:t>
            </w:r>
          </w:p>
          <w:p w14:paraId="6B8F3C8B">
            <w:pPr>
              <w:numPr>
                <w:ilvl w:val="0"/>
                <w:numId w:val="0"/>
              </w:numPr>
              <w:spacing w:line="360" w:lineRule="exact"/>
              <w:rPr>
                <w:rFonts w:hint="eastAsia" w:ascii="宋体" w:hAnsi="宋体" w:eastAsia="宋体" w:cs="宋体"/>
                <w:b/>
                <w:bCs w:val="0"/>
                <w:color w:val="auto"/>
                <w:sz w:val="24"/>
                <w:szCs w:val="24"/>
              </w:rPr>
            </w:pPr>
            <w:r>
              <w:rPr>
                <w:rFonts w:hint="eastAsia" w:ascii="宋体" w:hAnsi="宋体" w:eastAsia="宋体" w:cs="宋体"/>
                <w:b/>
                <w:bCs w:val="0"/>
                <w:color w:val="auto"/>
                <w:kern w:val="2"/>
                <w:sz w:val="24"/>
                <w:szCs w:val="24"/>
                <w:lang w:val="en-US" w:eastAsia="zh-CN" w:bidi="ar-SA"/>
              </w:rPr>
              <w:t>★</w:t>
            </w:r>
            <w:r>
              <w:rPr>
                <w:rFonts w:hint="eastAsia" w:ascii="宋体" w:hAnsi="宋体" w:eastAsia="宋体" w:cs="宋体"/>
                <w:b/>
                <w:bCs w:val="0"/>
                <w:color w:val="auto"/>
                <w:sz w:val="24"/>
                <w:szCs w:val="24"/>
                <w:lang w:val="en-US" w:eastAsia="zh-CN"/>
              </w:rPr>
              <w:t>1.屏幕显示尺寸86</w:t>
            </w:r>
            <w:r>
              <w:rPr>
                <w:rFonts w:hint="eastAsia" w:ascii="宋体" w:hAnsi="宋体" w:eastAsia="宋体" w:cs="宋体"/>
                <w:b/>
                <w:bCs w:val="0"/>
                <w:color w:val="auto"/>
                <w:sz w:val="24"/>
                <w:szCs w:val="24"/>
                <w:highlight w:val="none"/>
                <w:lang w:val="en-US" w:eastAsia="zh-CN"/>
              </w:rPr>
              <w:t>≥</w:t>
            </w:r>
            <w:r>
              <w:rPr>
                <w:rFonts w:hint="eastAsia" w:ascii="宋体" w:hAnsi="宋体" w:eastAsia="宋体" w:cs="宋体"/>
                <w:b/>
                <w:bCs w:val="0"/>
                <w:color w:val="auto"/>
                <w:sz w:val="24"/>
                <w:szCs w:val="24"/>
                <w:lang w:val="en-US" w:eastAsia="zh-CN"/>
              </w:rPr>
              <w:t>寸，</w:t>
            </w:r>
            <w:r>
              <w:rPr>
                <w:rFonts w:hint="eastAsia" w:ascii="宋体" w:hAnsi="宋体" w:eastAsia="宋体" w:cs="宋体"/>
                <w:b/>
                <w:bCs w:val="0"/>
                <w:color w:val="auto"/>
                <w:sz w:val="24"/>
                <w:szCs w:val="24"/>
              </w:rPr>
              <w:t>液晶显示屏幕采用工业级A规液晶面板</w:t>
            </w:r>
            <w:r>
              <w:rPr>
                <w:rFonts w:hint="eastAsia" w:ascii="宋体" w:hAnsi="宋体" w:eastAsia="宋体" w:cs="宋体"/>
                <w:b/>
                <w:bCs w:val="0"/>
                <w:color w:val="auto"/>
                <w:sz w:val="24"/>
                <w:szCs w:val="24"/>
                <w:lang w:eastAsia="zh-CN"/>
              </w:rPr>
              <w:t>，</w:t>
            </w:r>
            <w:r>
              <w:rPr>
                <w:rFonts w:hint="eastAsia" w:ascii="宋体" w:hAnsi="宋体" w:eastAsia="宋体" w:cs="宋体"/>
                <w:b/>
                <w:bCs w:val="0"/>
                <w:color w:val="auto"/>
                <w:sz w:val="24"/>
                <w:szCs w:val="24"/>
                <w:lang w:val="en-US" w:eastAsia="zh-CN"/>
              </w:rPr>
              <w:t>须提供产品彩页及官网链接</w:t>
            </w:r>
            <w:r>
              <w:rPr>
                <w:rFonts w:hint="eastAsia" w:ascii="宋体" w:hAnsi="宋体" w:eastAsia="宋体" w:cs="宋体"/>
                <w:b/>
                <w:bCs w:val="0"/>
                <w:color w:val="auto"/>
                <w:sz w:val="24"/>
                <w:szCs w:val="24"/>
              </w:rPr>
              <w:t>。</w:t>
            </w:r>
          </w:p>
          <w:p w14:paraId="13E7E7B2">
            <w:pPr>
              <w:numPr>
                <w:ilvl w:val="0"/>
                <w:numId w:val="0"/>
              </w:numPr>
              <w:spacing w:line="360" w:lineRule="exac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rPr>
              <w:t>图像分辨率≥3840*2160，显示比例支持16:9；亮度≥</w:t>
            </w:r>
            <w:r>
              <w:rPr>
                <w:rFonts w:hint="eastAsia" w:ascii="宋体" w:hAnsi="宋体" w:eastAsia="宋体" w:cs="宋体"/>
                <w:b w:val="0"/>
                <w:bCs w:val="0"/>
                <w:color w:val="auto"/>
                <w:sz w:val="24"/>
                <w:szCs w:val="24"/>
                <w:lang w:val="en-US" w:eastAsia="zh-CN"/>
              </w:rPr>
              <w:t>100</w:t>
            </w:r>
            <w:r>
              <w:rPr>
                <w:rFonts w:hint="eastAsia" w:ascii="宋体" w:hAnsi="宋体" w:eastAsia="宋体" w:cs="宋体"/>
                <w:b w:val="0"/>
                <w:bCs w:val="0"/>
                <w:color w:val="auto"/>
                <w:sz w:val="24"/>
                <w:szCs w:val="24"/>
              </w:rPr>
              <w:t>cd/㎡</w:t>
            </w:r>
            <w:r>
              <w:rPr>
                <w:rFonts w:hint="eastAsia" w:ascii="宋体" w:hAnsi="宋体" w:eastAsia="宋体" w:cs="宋体"/>
                <w:b w:val="0"/>
                <w:bCs w:val="0"/>
                <w:color w:val="auto"/>
                <w:sz w:val="24"/>
                <w:szCs w:val="24"/>
                <w:lang w:val="en-US" w:eastAsia="zh-CN"/>
              </w:rPr>
              <w:t>；</w:t>
            </w:r>
          </w:p>
          <w:p w14:paraId="0683C0A2">
            <w:pPr>
              <w:numPr>
                <w:ilvl w:val="0"/>
                <w:numId w:val="0"/>
              </w:numPr>
              <w:spacing w:line="360" w:lineRule="exac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3.色域覆盖率≥72%NTSC，灰度≥256级。</w:t>
            </w:r>
          </w:p>
          <w:p w14:paraId="69B101C7">
            <w:pPr>
              <w:numPr>
                <w:ilvl w:val="0"/>
                <w:numId w:val="0"/>
              </w:numPr>
              <w:spacing w:line="360" w:lineRule="exac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4.屏幕</w:t>
            </w:r>
            <w:r>
              <w:rPr>
                <w:rFonts w:hint="eastAsia" w:ascii="宋体" w:hAnsi="宋体" w:eastAsia="宋体" w:cs="宋体"/>
                <w:b w:val="0"/>
                <w:bCs w:val="0"/>
                <w:color w:val="auto"/>
                <w:sz w:val="24"/>
                <w:szCs w:val="24"/>
              </w:rPr>
              <w:t>采用全物理钢化玻璃，</w:t>
            </w:r>
            <w:r>
              <w:rPr>
                <w:rFonts w:hint="eastAsia" w:ascii="宋体" w:hAnsi="宋体" w:eastAsia="宋体" w:cs="宋体"/>
                <w:b w:val="0"/>
                <w:bCs w:val="0"/>
                <w:color w:val="auto"/>
                <w:sz w:val="24"/>
                <w:szCs w:val="24"/>
                <w:lang w:val="en-US" w:eastAsia="zh-CN"/>
              </w:rPr>
              <w:t>表面硬度≥</w:t>
            </w:r>
            <w:r>
              <w:rPr>
                <w:rFonts w:hint="eastAsia" w:ascii="宋体" w:hAnsi="宋体" w:eastAsia="宋体" w:cs="宋体"/>
                <w:b w:val="0"/>
                <w:bCs w:val="0"/>
                <w:color w:val="auto"/>
                <w:sz w:val="24"/>
                <w:szCs w:val="24"/>
                <w:lang w:eastAsia="zh-CN"/>
              </w:rPr>
              <w:t>9</w:t>
            </w:r>
            <w:r>
              <w:rPr>
                <w:rFonts w:hint="eastAsia" w:ascii="宋体" w:hAnsi="宋体" w:eastAsia="宋体" w:cs="宋体"/>
                <w:b w:val="0"/>
                <w:bCs w:val="0"/>
                <w:color w:val="auto"/>
                <w:sz w:val="24"/>
                <w:szCs w:val="24"/>
                <w:lang w:val="en-US" w:eastAsia="zh-Hans"/>
              </w:rPr>
              <w:t>H</w:t>
            </w:r>
            <w:r>
              <w:rPr>
                <w:rFonts w:hint="eastAsia" w:ascii="宋体" w:hAnsi="宋体" w:eastAsia="宋体" w:cs="宋体"/>
                <w:b w:val="0"/>
                <w:bCs w:val="0"/>
                <w:color w:val="auto"/>
                <w:sz w:val="24"/>
                <w:szCs w:val="24"/>
              </w:rPr>
              <w:t>有效保护屏幕显示画面。</w:t>
            </w:r>
          </w:p>
          <w:p w14:paraId="0287113F">
            <w:pPr>
              <w:numPr>
                <w:ilvl w:val="0"/>
                <w:numId w:val="0"/>
              </w:numPr>
              <w:spacing w:line="360" w:lineRule="exac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5.</w:t>
            </w:r>
            <w:r>
              <w:rPr>
                <w:rFonts w:hint="eastAsia" w:ascii="宋体" w:hAnsi="宋体" w:eastAsia="宋体" w:cs="宋体"/>
                <w:b w:val="0"/>
                <w:bCs w:val="0"/>
                <w:color w:val="auto"/>
                <w:sz w:val="24"/>
                <w:szCs w:val="24"/>
              </w:rPr>
              <w:t>采用防眩光玻璃，屏幕支持防眩光功能</w:t>
            </w:r>
            <w:r>
              <w:rPr>
                <w:rFonts w:hint="eastAsia" w:ascii="宋体" w:hAnsi="宋体" w:eastAsia="宋体" w:cs="宋体"/>
                <w:b w:val="0"/>
                <w:bCs w:val="0"/>
                <w:color w:val="auto"/>
                <w:sz w:val="24"/>
                <w:szCs w:val="24"/>
                <w:lang w:eastAsia="zh-CN"/>
              </w:rPr>
              <w:t>。</w:t>
            </w:r>
          </w:p>
          <w:p w14:paraId="0160706F">
            <w:pPr>
              <w:numPr>
                <w:ilvl w:val="0"/>
                <w:numId w:val="0"/>
              </w:numPr>
              <w:spacing w:line="360" w:lineRule="exact"/>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kern w:val="0"/>
                <w:sz w:val="24"/>
                <w:szCs w:val="24"/>
                <w:lang w:val="en-US" w:eastAsia="zh-CN"/>
              </w:rPr>
              <w:t>6.</w:t>
            </w:r>
            <w:r>
              <w:rPr>
                <w:rFonts w:hint="eastAsia" w:ascii="宋体" w:hAnsi="宋体" w:eastAsia="宋体" w:cs="宋体"/>
                <w:b w:val="0"/>
                <w:bCs w:val="0"/>
                <w:color w:val="auto"/>
                <w:sz w:val="24"/>
                <w:szCs w:val="24"/>
              </w:rPr>
              <w:t>屏体采用</w:t>
            </w:r>
            <w:r>
              <w:rPr>
                <w:rFonts w:hint="eastAsia" w:ascii="宋体" w:hAnsi="宋体" w:eastAsia="宋体" w:cs="宋体"/>
                <w:b w:val="0"/>
                <w:bCs w:val="0"/>
                <w:color w:val="auto"/>
                <w:sz w:val="24"/>
                <w:szCs w:val="24"/>
                <w:lang w:val="en-US" w:eastAsia="zh-CN"/>
              </w:rPr>
              <w:t>电容</w:t>
            </w:r>
            <w:r>
              <w:rPr>
                <w:rFonts w:hint="eastAsia" w:ascii="宋体" w:hAnsi="宋体" w:eastAsia="宋体" w:cs="宋体"/>
                <w:b w:val="0"/>
                <w:bCs w:val="0"/>
                <w:color w:val="auto"/>
                <w:sz w:val="24"/>
                <w:szCs w:val="24"/>
              </w:rPr>
              <w:t>触控技术</w:t>
            </w:r>
            <w:r>
              <w:rPr>
                <w:rFonts w:hint="eastAsia" w:ascii="宋体" w:hAnsi="宋体" w:eastAsia="宋体" w:cs="宋体"/>
                <w:b w:val="0"/>
                <w:bCs w:val="0"/>
                <w:color w:val="auto"/>
                <w:sz w:val="24"/>
                <w:szCs w:val="24"/>
                <w:lang w:eastAsia="zh-CN"/>
              </w:rPr>
              <w:t>。</w:t>
            </w:r>
          </w:p>
          <w:p w14:paraId="625585C0">
            <w:pPr>
              <w:numPr>
                <w:ilvl w:val="0"/>
                <w:numId w:val="0"/>
              </w:numPr>
              <w:spacing w:line="360" w:lineRule="exac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kern w:val="0"/>
                <w:sz w:val="24"/>
                <w:szCs w:val="24"/>
                <w:lang w:val="en-US" w:eastAsia="zh-CN"/>
              </w:rPr>
              <w:t>7.</w:t>
            </w:r>
            <w:r>
              <w:rPr>
                <w:rFonts w:hint="eastAsia" w:ascii="宋体" w:hAnsi="宋体" w:eastAsia="宋体" w:cs="宋体"/>
                <w:b w:val="0"/>
                <w:bCs w:val="0"/>
                <w:color w:val="auto"/>
                <w:sz w:val="24"/>
                <w:szCs w:val="24"/>
                <w:lang w:val="en-US" w:eastAsia="zh-CN"/>
              </w:rPr>
              <w:t>触摸响应时间</w:t>
            </w:r>
            <w:r>
              <w:rPr>
                <w:rFonts w:hint="eastAsia" w:ascii="宋体" w:hAnsi="宋体" w:eastAsia="宋体" w:cs="宋体"/>
                <w:b w:val="0"/>
                <w:bCs w:val="0"/>
                <w:color w:val="auto"/>
                <w:sz w:val="24"/>
                <w:szCs w:val="24"/>
                <w:lang w:val="en-US" w:eastAsia="zh-Hans"/>
              </w:rPr>
              <w:t>不大于</w:t>
            </w:r>
            <w:r>
              <w:rPr>
                <w:rFonts w:hint="eastAsia" w:ascii="宋体" w:hAnsi="宋体" w:eastAsia="宋体" w:cs="宋体"/>
                <w:b w:val="0"/>
                <w:bCs w:val="0"/>
                <w:color w:val="auto"/>
                <w:sz w:val="24"/>
                <w:szCs w:val="24"/>
                <w:lang w:eastAsia="zh-Hans"/>
              </w:rPr>
              <w:t>8</w:t>
            </w:r>
            <w:r>
              <w:rPr>
                <w:rFonts w:hint="eastAsia" w:ascii="宋体" w:hAnsi="宋体" w:eastAsia="宋体" w:cs="宋体"/>
                <w:b w:val="0"/>
                <w:bCs w:val="0"/>
                <w:color w:val="auto"/>
                <w:sz w:val="24"/>
                <w:szCs w:val="24"/>
                <w:lang w:val="en-US" w:eastAsia="zh-CN"/>
              </w:rPr>
              <w:t>ms</w:t>
            </w:r>
            <w:r>
              <w:rPr>
                <w:rFonts w:hint="eastAsia" w:ascii="宋体" w:hAnsi="宋体" w:eastAsia="宋体" w:cs="宋体"/>
                <w:b w:val="0"/>
                <w:bCs w:val="0"/>
                <w:color w:val="auto"/>
                <w:sz w:val="24"/>
                <w:szCs w:val="24"/>
              </w:rPr>
              <w:t>，全通道</w:t>
            </w:r>
            <w:r>
              <w:rPr>
                <w:rFonts w:hint="eastAsia" w:ascii="宋体" w:hAnsi="宋体" w:eastAsia="宋体" w:cs="宋体"/>
                <w:b w:val="0"/>
                <w:bCs w:val="0"/>
                <w:color w:val="auto"/>
                <w:sz w:val="24"/>
                <w:szCs w:val="24"/>
                <w:lang w:val="en-US" w:eastAsia="zh-CN"/>
              </w:rPr>
              <w:t>支持≥20点触控及书写，书写延迟≤35ms。</w:t>
            </w:r>
          </w:p>
          <w:p w14:paraId="5489CD7D">
            <w:pPr>
              <w:numPr>
                <w:ilvl w:val="0"/>
                <w:numId w:val="0"/>
              </w:numPr>
              <w:spacing w:line="360" w:lineRule="exac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8.整机内置不低于2.0声道扬声器，内置≥2个音响，功率≥30W。</w:t>
            </w:r>
          </w:p>
          <w:p w14:paraId="396746C0">
            <w:pPr>
              <w:numPr>
                <w:ilvl w:val="0"/>
                <w:numId w:val="0"/>
              </w:numPr>
              <w:spacing w:line="360" w:lineRule="exac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9.智慧黑板整机正面为平面黑板，无推拉式结构，外部无任何可见内部功能模块连接线。主副屏过渡平滑，中间无单独边框阻隔。</w:t>
            </w:r>
          </w:p>
          <w:p w14:paraId="7D3E278A">
            <w:pPr>
              <w:numPr>
                <w:ilvl w:val="0"/>
                <w:numId w:val="0"/>
              </w:numPr>
              <w:spacing w:line="360" w:lineRule="exac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10.整机内置麦克风阵列数</w:t>
            </w:r>
            <w:r>
              <w:rPr>
                <w:rFonts w:hint="eastAsia" w:ascii="宋体" w:hAnsi="宋体" w:eastAsia="宋体" w:cs="宋体"/>
                <w:b w:val="0"/>
                <w:bCs w:val="0"/>
                <w:color w:val="auto"/>
                <w:sz w:val="24"/>
                <w:szCs w:val="24"/>
                <w:lang w:val="en-US" w:eastAsia="zh-Hans"/>
              </w:rPr>
              <w:t>不少于</w:t>
            </w:r>
            <w:r>
              <w:rPr>
                <w:rFonts w:hint="eastAsia" w:ascii="宋体" w:hAnsi="宋体" w:eastAsia="宋体" w:cs="宋体"/>
                <w:b w:val="0"/>
                <w:bCs w:val="0"/>
                <w:color w:val="auto"/>
                <w:sz w:val="24"/>
                <w:szCs w:val="24"/>
                <w:lang w:val="en-US" w:eastAsia="zh-CN"/>
              </w:rPr>
              <w:t>4，拾音距离</w:t>
            </w:r>
            <w:r>
              <w:rPr>
                <w:rFonts w:hint="eastAsia" w:ascii="宋体" w:hAnsi="宋体" w:eastAsia="宋体" w:cs="宋体"/>
                <w:b w:val="0"/>
                <w:bCs w:val="0"/>
                <w:color w:val="auto"/>
                <w:sz w:val="24"/>
                <w:szCs w:val="24"/>
                <w:lang w:val="en-US" w:eastAsia="zh-Hans"/>
              </w:rPr>
              <w:t>不少于12</w:t>
            </w:r>
            <w:r>
              <w:rPr>
                <w:rFonts w:hint="eastAsia" w:ascii="宋体" w:hAnsi="宋体" w:eastAsia="宋体" w:cs="宋体"/>
                <w:b w:val="0"/>
                <w:bCs w:val="0"/>
                <w:color w:val="auto"/>
                <w:sz w:val="24"/>
                <w:szCs w:val="24"/>
                <w:lang w:val="en-US" w:eastAsia="zh-CN"/>
              </w:rPr>
              <w:t>m。</w:t>
            </w:r>
          </w:p>
          <w:p w14:paraId="65EBA8A4">
            <w:pPr>
              <w:numPr>
                <w:ilvl w:val="0"/>
                <w:numId w:val="0"/>
              </w:numPr>
              <w:spacing w:line="360" w:lineRule="exact"/>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val="en-US" w:eastAsia="zh-CN"/>
              </w:rPr>
              <w:t>11.整机内置摄像头，带有工作运行状态指示灯，像素≥1300W，拍摄角度≥120度，支持录制≥3840X310</w:t>
            </w:r>
            <w:r>
              <w:rPr>
                <w:rFonts w:hint="eastAsia" w:ascii="宋体" w:hAnsi="宋体" w:eastAsia="宋体" w:cs="宋体"/>
                <w:b w:val="0"/>
                <w:bCs w:val="0"/>
                <w:color w:val="auto"/>
                <w:sz w:val="24"/>
                <w:szCs w:val="24"/>
              </w:rPr>
              <w:t>4分辨率</w:t>
            </w:r>
            <w:r>
              <w:rPr>
                <w:rFonts w:hint="eastAsia" w:ascii="宋体" w:hAnsi="宋体" w:eastAsia="宋体" w:cs="宋体"/>
                <w:b w:val="0"/>
                <w:bCs w:val="0"/>
                <w:color w:val="auto"/>
                <w:sz w:val="24"/>
                <w:szCs w:val="24"/>
                <w:lang w:val="en-US" w:eastAsia="zh-CN"/>
              </w:rPr>
              <w:t>的</w:t>
            </w:r>
            <w:r>
              <w:rPr>
                <w:rFonts w:hint="eastAsia" w:ascii="宋体" w:hAnsi="宋体" w:eastAsia="宋体" w:cs="宋体"/>
                <w:b w:val="0"/>
                <w:bCs w:val="0"/>
                <w:color w:val="auto"/>
                <w:sz w:val="24"/>
                <w:szCs w:val="24"/>
              </w:rPr>
              <w:t>视频，支持拍照、二维码识别、巡课、直播等功能</w:t>
            </w:r>
            <w:r>
              <w:rPr>
                <w:rFonts w:hint="eastAsia" w:ascii="宋体" w:hAnsi="宋体" w:eastAsia="宋体" w:cs="宋体"/>
                <w:b w:val="0"/>
                <w:bCs w:val="0"/>
                <w:color w:val="auto"/>
                <w:sz w:val="24"/>
                <w:szCs w:val="24"/>
                <w:lang w:eastAsia="zh-CN"/>
              </w:rPr>
              <w:t>。</w:t>
            </w:r>
          </w:p>
          <w:p w14:paraId="5586B98A">
            <w:pPr>
              <w:numPr>
                <w:ilvl w:val="0"/>
                <w:numId w:val="0"/>
              </w:numPr>
              <w:spacing w:line="360" w:lineRule="exac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12.</w:t>
            </w:r>
            <w:r>
              <w:rPr>
                <w:rFonts w:hint="eastAsia" w:ascii="宋体" w:hAnsi="宋体" w:eastAsia="宋体" w:cs="宋体"/>
                <w:b w:val="0"/>
                <w:bCs w:val="0"/>
                <w:color w:val="auto"/>
                <w:sz w:val="24"/>
                <w:szCs w:val="24"/>
                <w:lang w:val="en-US" w:eastAsia="zh-Hans"/>
              </w:rPr>
              <w:t>前置实体按键数量不少于</w:t>
            </w:r>
            <w:r>
              <w:rPr>
                <w:rFonts w:hint="eastAsia" w:ascii="宋体" w:hAnsi="宋体" w:eastAsia="宋体" w:cs="宋体"/>
                <w:b w:val="0"/>
                <w:bCs w:val="0"/>
                <w:color w:val="auto"/>
                <w:sz w:val="24"/>
                <w:szCs w:val="24"/>
                <w:lang w:val="en-US" w:eastAsia="zh-CN"/>
              </w:rPr>
              <w:t>6</w:t>
            </w:r>
            <w:r>
              <w:rPr>
                <w:rFonts w:hint="eastAsia" w:ascii="宋体" w:hAnsi="宋体" w:eastAsia="宋体" w:cs="宋体"/>
                <w:b w:val="0"/>
                <w:bCs w:val="0"/>
                <w:color w:val="auto"/>
                <w:sz w:val="24"/>
                <w:szCs w:val="24"/>
                <w:lang w:val="en-US" w:eastAsia="zh-Hans"/>
              </w:rPr>
              <w:t>个</w:t>
            </w:r>
            <w:r>
              <w:rPr>
                <w:rFonts w:hint="eastAsia" w:ascii="宋体" w:hAnsi="宋体" w:eastAsia="宋体" w:cs="宋体"/>
                <w:b w:val="0"/>
                <w:bCs w:val="0"/>
                <w:color w:val="auto"/>
                <w:sz w:val="24"/>
                <w:szCs w:val="24"/>
                <w:lang w:eastAsia="zh-Hans"/>
              </w:rPr>
              <w:t>，</w:t>
            </w:r>
            <w:r>
              <w:rPr>
                <w:rFonts w:hint="eastAsia" w:ascii="宋体" w:hAnsi="宋体" w:eastAsia="宋体" w:cs="宋体"/>
                <w:b w:val="0"/>
                <w:bCs w:val="0"/>
                <w:color w:val="auto"/>
                <w:sz w:val="24"/>
                <w:szCs w:val="24"/>
                <w:lang w:val="en-US" w:eastAsia="zh-Hans"/>
              </w:rPr>
              <w:t>可实现</w:t>
            </w:r>
            <w:r>
              <w:rPr>
                <w:rFonts w:hint="eastAsia" w:ascii="宋体" w:hAnsi="宋体" w:eastAsia="宋体" w:cs="宋体"/>
                <w:b w:val="0"/>
                <w:bCs w:val="0"/>
                <w:color w:val="auto"/>
                <w:sz w:val="24"/>
                <w:szCs w:val="24"/>
              </w:rPr>
              <w:t>电源、</w:t>
            </w:r>
            <w:r>
              <w:rPr>
                <w:rFonts w:hint="eastAsia" w:ascii="宋体" w:hAnsi="宋体" w:eastAsia="宋体" w:cs="宋体"/>
                <w:b w:val="0"/>
                <w:bCs w:val="0"/>
                <w:color w:val="auto"/>
                <w:sz w:val="24"/>
                <w:szCs w:val="24"/>
                <w:lang w:val="en-US" w:eastAsia="zh-CN"/>
              </w:rPr>
              <w:t>调节</w:t>
            </w:r>
            <w:r>
              <w:rPr>
                <w:rFonts w:hint="eastAsia" w:ascii="宋体" w:hAnsi="宋体" w:eastAsia="宋体" w:cs="宋体"/>
                <w:b w:val="0"/>
                <w:bCs w:val="0"/>
                <w:color w:val="auto"/>
                <w:sz w:val="24"/>
                <w:szCs w:val="24"/>
              </w:rPr>
              <w:t>音量、</w:t>
            </w:r>
            <w:r>
              <w:rPr>
                <w:rFonts w:hint="eastAsia" w:ascii="宋体" w:hAnsi="宋体" w:eastAsia="宋体" w:cs="宋体"/>
                <w:b w:val="0"/>
                <w:bCs w:val="0"/>
                <w:color w:val="auto"/>
                <w:sz w:val="24"/>
                <w:szCs w:val="24"/>
                <w:lang w:val="en-US" w:eastAsia="zh-CN"/>
              </w:rPr>
              <w:t>护眼模式、录屏、调取中控菜单</w:t>
            </w:r>
            <w:r>
              <w:rPr>
                <w:rFonts w:hint="eastAsia" w:ascii="宋体" w:hAnsi="宋体" w:eastAsia="宋体" w:cs="宋体"/>
                <w:b w:val="0"/>
                <w:bCs w:val="0"/>
                <w:color w:val="auto"/>
                <w:sz w:val="24"/>
                <w:szCs w:val="24"/>
                <w:lang w:val="en-US" w:eastAsia="zh-Hans"/>
              </w:rPr>
              <w:t>功能</w:t>
            </w:r>
            <w:r>
              <w:rPr>
                <w:rFonts w:hint="eastAsia" w:ascii="宋体" w:hAnsi="宋体" w:eastAsia="宋体" w:cs="宋体"/>
                <w:b w:val="0"/>
                <w:bCs w:val="0"/>
                <w:color w:val="auto"/>
                <w:sz w:val="24"/>
                <w:szCs w:val="24"/>
              </w:rPr>
              <w:t>，其中录屏功能可将课件、音频等内容与老师人声同步录制，方便制作教学视频。</w:t>
            </w:r>
          </w:p>
          <w:p w14:paraId="3677A86D">
            <w:pPr>
              <w:numPr>
                <w:ilvl w:val="0"/>
                <w:numId w:val="0"/>
              </w:numPr>
              <w:spacing w:line="360" w:lineRule="exac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13.</w:t>
            </w:r>
            <w:r>
              <w:rPr>
                <w:rFonts w:hint="eastAsia" w:ascii="宋体" w:hAnsi="宋体" w:eastAsia="宋体" w:cs="宋体"/>
                <w:b w:val="0"/>
                <w:bCs w:val="0"/>
                <w:color w:val="auto"/>
                <w:sz w:val="24"/>
                <w:szCs w:val="24"/>
              </w:rPr>
              <w:t>整机前置接口至少1路Type-C、</w:t>
            </w:r>
            <w:r>
              <w:rPr>
                <w:rFonts w:hint="eastAsia" w:ascii="宋体" w:hAnsi="宋体" w:eastAsia="宋体" w:cs="宋体"/>
                <w:b w:val="0"/>
                <w:bCs w:val="0"/>
                <w:color w:val="auto"/>
                <w:sz w:val="24"/>
                <w:szCs w:val="24"/>
                <w:lang w:val="en-US" w:eastAsia="zh-CN"/>
              </w:rPr>
              <w:t>2</w:t>
            </w:r>
            <w:r>
              <w:rPr>
                <w:rFonts w:hint="eastAsia" w:ascii="宋体" w:hAnsi="宋体" w:eastAsia="宋体" w:cs="宋体"/>
                <w:b w:val="0"/>
                <w:bCs w:val="0"/>
                <w:color w:val="auto"/>
                <w:sz w:val="24"/>
                <w:szCs w:val="24"/>
              </w:rPr>
              <w:t>路USB 3，</w:t>
            </w:r>
            <w:r>
              <w:rPr>
                <w:rFonts w:hint="eastAsia" w:ascii="宋体" w:hAnsi="宋体" w:eastAsia="宋体" w:cs="宋体"/>
                <w:b w:val="0"/>
                <w:bCs w:val="0"/>
                <w:color w:val="auto"/>
                <w:sz w:val="24"/>
                <w:szCs w:val="24"/>
                <w:lang w:val="en-US" w:eastAsia="zh-CN"/>
              </w:rPr>
              <w:t>整机具备1路双通道USB接口，无需占用前置USB接口</w:t>
            </w:r>
            <w:r>
              <w:rPr>
                <w:rFonts w:hint="eastAsia" w:ascii="宋体" w:hAnsi="宋体" w:eastAsia="宋体" w:cs="宋体"/>
                <w:b w:val="0"/>
                <w:bCs w:val="0"/>
                <w:color w:val="auto"/>
                <w:sz w:val="24"/>
                <w:szCs w:val="24"/>
                <w:lang w:eastAsia="zh-CN"/>
              </w:rPr>
              <w:t>；</w:t>
            </w:r>
          </w:p>
          <w:p w14:paraId="20E62C0A">
            <w:pPr>
              <w:numPr>
                <w:ilvl w:val="0"/>
                <w:numId w:val="0"/>
              </w:numPr>
              <w:spacing w:line="360" w:lineRule="exact"/>
              <w:ind w:left="0" w:leftChars="0"/>
              <w:rPr>
                <w:rFonts w:hint="eastAsia" w:ascii="宋体" w:hAnsi="宋体" w:eastAsia="宋体" w:cs="宋体"/>
                <w:b w:val="0"/>
                <w:bCs w:val="0"/>
                <w:color w:val="auto"/>
                <w:sz w:val="24"/>
                <w:szCs w:val="24"/>
                <w:lang w:val="en-US"/>
              </w:rPr>
            </w:pPr>
            <w:r>
              <w:rPr>
                <w:rFonts w:hint="eastAsia" w:ascii="宋体" w:hAnsi="宋体" w:eastAsia="宋体" w:cs="宋体"/>
                <w:b w:val="0"/>
                <w:bCs w:val="0"/>
                <w:color w:val="auto"/>
                <w:sz w:val="24"/>
                <w:szCs w:val="24"/>
                <w:lang w:val="en-US" w:eastAsia="zh-CN"/>
              </w:rPr>
              <w:t>14.内置安卓嵌入式系统，Android</w:t>
            </w:r>
            <w:r>
              <w:rPr>
                <w:rFonts w:hint="eastAsia" w:ascii="宋体" w:hAnsi="宋体" w:eastAsia="宋体" w:cs="宋体"/>
                <w:b w:val="0"/>
                <w:bCs w:val="0"/>
                <w:color w:val="auto"/>
                <w:sz w:val="24"/>
                <w:szCs w:val="24"/>
                <w:lang w:eastAsia="zh-CN"/>
              </w:rPr>
              <w:t xml:space="preserve"> </w:t>
            </w:r>
            <w:r>
              <w:rPr>
                <w:rFonts w:hint="eastAsia" w:ascii="宋体"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lang w:eastAsia="zh-CN"/>
              </w:rPr>
              <w:t>1</w:t>
            </w:r>
            <w:r>
              <w:rPr>
                <w:rFonts w:hint="eastAsia" w:ascii="宋体" w:hAnsi="宋体" w:eastAsia="宋体" w:cs="宋体"/>
                <w:b w:val="0"/>
                <w:bCs w:val="0"/>
                <w:color w:val="auto"/>
                <w:sz w:val="24"/>
                <w:szCs w:val="24"/>
                <w:lang w:val="en-US" w:eastAsia="zh-Hans"/>
              </w:rPr>
              <w:t>及以上</w:t>
            </w:r>
            <w:r>
              <w:rPr>
                <w:rFonts w:hint="eastAsia" w:ascii="宋体" w:hAnsi="宋体" w:eastAsia="宋体" w:cs="宋体"/>
                <w:b w:val="0"/>
                <w:bCs w:val="0"/>
                <w:color w:val="auto"/>
                <w:sz w:val="24"/>
                <w:szCs w:val="24"/>
                <w:lang w:val="en-US" w:eastAsia="zh-CN"/>
              </w:rPr>
              <w:t>版本。机身内存≥8G ROM，运行内存≥2G RAM。</w:t>
            </w:r>
          </w:p>
          <w:p w14:paraId="40E86A34">
            <w:pPr>
              <w:numPr>
                <w:ilvl w:val="0"/>
                <w:numId w:val="0"/>
              </w:numPr>
              <w:spacing w:line="360" w:lineRule="exac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15.整机具备</w:t>
            </w:r>
            <w:r>
              <w:rPr>
                <w:rFonts w:hint="eastAsia" w:ascii="宋体" w:hAnsi="宋体" w:eastAsia="宋体" w:cs="宋体"/>
                <w:b w:val="0"/>
                <w:bCs w:val="0"/>
                <w:color w:val="auto"/>
                <w:sz w:val="24"/>
                <w:szCs w:val="24"/>
                <w:lang w:val="en-US" w:eastAsia="zh-Hans"/>
              </w:rPr>
              <w:t>锁定</w:t>
            </w:r>
            <w:r>
              <w:rPr>
                <w:rFonts w:hint="eastAsia" w:ascii="宋体" w:hAnsi="宋体" w:eastAsia="宋体" w:cs="宋体"/>
                <w:b w:val="0"/>
                <w:bCs w:val="0"/>
                <w:color w:val="auto"/>
                <w:sz w:val="24"/>
                <w:szCs w:val="24"/>
                <w:lang w:val="en-US" w:eastAsia="zh-CN"/>
              </w:rPr>
              <w:t>触控功能：</w:t>
            </w:r>
          </w:p>
          <w:p w14:paraId="54280E2C">
            <w:pPr>
              <w:numPr>
                <w:ilvl w:val="0"/>
                <w:numId w:val="0"/>
              </w:numPr>
              <w:spacing w:line="360" w:lineRule="exac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16.</w:t>
            </w:r>
            <w:r>
              <w:rPr>
                <w:rFonts w:hint="eastAsia" w:ascii="宋体" w:hAnsi="宋体" w:eastAsia="宋体" w:cs="宋体"/>
                <w:b w:val="0"/>
                <w:bCs w:val="0"/>
                <w:color w:val="auto"/>
                <w:sz w:val="24"/>
                <w:szCs w:val="24"/>
              </w:rPr>
              <w:t>熄屏状态下，可进行音频播放，有助于语音类教学学生精力更集中，可按键唤醒，长按触屏唤醒</w:t>
            </w:r>
            <w:r>
              <w:rPr>
                <w:rFonts w:hint="eastAsia" w:ascii="宋体" w:hAnsi="宋体" w:eastAsia="宋体" w:cs="宋体"/>
                <w:b w:val="0"/>
                <w:bCs w:val="0"/>
                <w:color w:val="auto"/>
                <w:sz w:val="24"/>
                <w:szCs w:val="24"/>
                <w:lang w:val="en-US" w:eastAsia="zh-CN"/>
              </w:rPr>
              <w:t>。</w:t>
            </w:r>
          </w:p>
          <w:p w14:paraId="062FEB4F">
            <w:pPr>
              <w:numPr>
                <w:ilvl w:val="0"/>
                <w:numId w:val="0"/>
              </w:numPr>
              <w:spacing w:line="360" w:lineRule="exac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17.</w:t>
            </w:r>
            <w:r>
              <w:rPr>
                <w:rFonts w:hint="eastAsia" w:ascii="宋体" w:hAnsi="宋体" w:eastAsia="宋体" w:cs="宋体"/>
                <w:b w:val="0"/>
                <w:bCs w:val="0"/>
                <w:color w:val="auto"/>
                <w:sz w:val="24"/>
                <w:szCs w:val="24"/>
              </w:rPr>
              <w:t>为最大限度保证显示及书写面积，设备无双侧边工具栏</w:t>
            </w:r>
            <w:r>
              <w:rPr>
                <w:rFonts w:hint="eastAsia" w:ascii="宋体" w:hAnsi="宋体" w:eastAsia="宋体" w:cs="宋体"/>
                <w:b w:val="0"/>
                <w:bCs w:val="0"/>
                <w:color w:val="auto"/>
                <w:sz w:val="24"/>
                <w:szCs w:val="24"/>
                <w:lang w:val="en-US" w:eastAsia="zh-Hans"/>
              </w:rPr>
              <w:t>可隐藏双侧边工具栏</w:t>
            </w:r>
            <w:r>
              <w:rPr>
                <w:rFonts w:hint="eastAsia" w:ascii="宋体" w:hAnsi="宋体" w:eastAsia="宋体" w:cs="宋体"/>
                <w:b w:val="0"/>
                <w:bCs w:val="0"/>
                <w:color w:val="auto"/>
                <w:sz w:val="24"/>
                <w:szCs w:val="24"/>
              </w:rPr>
              <w:t>，可通过前置物理按键</w:t>
            </w:r>
            <w:r>
              <w:rPr>
                <w:rFonts w:hint="eastAsia" w:ascii="宋体" w:hAnsi="宋体" w:eastAsia="宋体" w:cs="宋体"/>
                <w:b w:val="0"/>
                <w:bCs w:val="0"/>
                <w:color w:val="auto"/>
                <w:sz w:val="24"/>
                <w:szCs w:val="24"/>
                <w:lang w:val="en-US" w:eastAsia="zh-Hans"/>
              </w:rPr>
              <w:t>等多</w:t>
            </w:r>
            <w:r>
              <w:rPr>
                <w:rFonts w:hint="eastAsia" w:ascii="宋体" w:hAnsi="宋体" w:eastAsia="宋体" w:cs="宋体"/>
                <w:b w:val="0"/>
                <w:bCs w:val="0"/>
                <w:color w:val="auto"/>
                <w:sz w:val="24"/>
                <w:szCs w:val="24"/>
              </w:rPr>
              <w:t>种方式在任意通道下调出中控菜单。</w:t>
            </w:r>
          </w:p>
          <w:p w14:paraId="3BD33E4E">
            <w:pPr>
              <w:numPr>
                <w:ilvl w:val="0"/>
                <w:numId w:val="0"/>
              </w:numPr>
              <w:spacing w:line="360" w:lineRule="exac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18.</w:t>
            </w:r>
            <w:r>
              <w:rPr>
                <w:rFonts w:hint="eastAsia" w:ascii="宋体" w:hAnsi="宋体" w:eastAsia="宋体" w:cs="宋体"/>
                <w:b w:val="0"/>
                <w:bCs w:val="0"/>
                <w:color w:val="auto"/>
                <w:sz w:val="24"/>
                <w:szCs w:val="24"/>
              </w:rPr>
              <w:t>亮度调节：整机支持</w:t>
            </w:r>
            <w:r>
              <w:rPr>
                <w:rFonts w:hint="eastAsia" w:ascii="宋体" w:hAnsi="宋体" w:eastAsia="宋体" w:cs="宋体"/>
                <w:b w:val="0"/>
                <w:bCs w:val="0"/>
                <w:color w:val="auto"/>
                <w:sz w:val="24"/>
                <w:szCs w:val="24"/>
                <w:lang w:val="en-US" w:eastAsia="zh-CN"/>
              </w:rPr>
              <w:t>不少于</w:t>
            </w:r>
            <w:r>
              <w:rPr>
                <w:rFonts w:hint="eastAsia" w:ascii="宋体" w:hAnsi="宋体" w:eastAsia="宋体" w:cs="宋体"/>
                <w:b w:val="0"/>
                <w:bCs w:val="0"/>
                <w:color w:val="auto"/>
                <w:sz w:val="24"/>
                <w:szCs w:val="24"/>
              </w:rPr>
              <w:t>3种亮度调节模式，在自动模式下，可根据外界环境光和显示内容的亮度变化自动调节背光亮度。</w:t>
            </w:r>
          </w:p>
          <w:p w14:paraId="46AD9E39">
            <w:pPr>
              <w:numPr>
                <w:ilvl w:val="0"/>
                <w:numId w:val="0"/>
              </w:numPr>
              <w:spacing w:line="360" w:lineRule="exact"/>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19.</w:t>
            </w:r>
            <w:r>
              <w:rPr>
                <w:rFonts w:hint="eastAsia" w:ascii="宋体" w:hAnsi="宋体" w:eastAsia="宋体" w:cs="宋体"/>
                <w:b w:val="0"/>
                <w:bCs w:val="0"/>
                <w:color w:val="auto"/>
                <w:sz w:val="24"/>
                <w:szCs w:val="24"/>
              </w:rPr>
              <w:t>整机系统具备高清≥4K视频处理能力，4K 高清显示，使画面亮丽、清晰、流畅，保证显示效果。</w:t>
            </w:r>
          </w:p>
          <w:p w14:paraId="2F02E30E">
            <w:pPr>
              <w:numPr>
                <w:ilvl w:val="0"/>
                <w:numId w:val="0"/>
              </w:numPr>
              <w:spacing w:line="360" w:lineRule="exac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20.整机支持无线传屏，</w:t>
            </w:r>
            <w:r>
              <w:rPr>
                <w:rFonts w:hint="eastAsia" w:ascii="宋体" w:hAnsi="宋体" w:eastAsia="宋体" w:cs="宋体"/>
                <w:b w:val="0"/>
                <w:bCs w:val="0"/>
                <w:color w:val="auto"/>
                <w:sz w:val="24"/>
                <w:szCs w:val="24"/>
              </w:rPr>
              <w:t>一键</w:t>
            </w:r>
            <w:r>
              <w:rPr>
                <w:rFonts w:hint="eastAsia" w:ascii="宋体" w:hAnsi="宋体" w:eastAsia="宋体" w:cs="宋体"/>
                <w:b w:val="0"/>
                <w:bCs w:val="0"/>
                <w:color w:val="auto"/>
                <w:sz w:val="24"/>
                <w:szCs w:val="24"/>
                <w:lang w:val="en-US" w:eastAsia="zh-Hans"/>
              </w:rPr>
              <w:t>实现</w:t>
            </w:r>
            <w:r>
              <w:rPr>
                <w:rFonts w:hint="eastAsia" w:ascii="宋体" w:hAnsi="宋体" w:eastAsia="宋体" w:cs="宋体"/>
                <w:b w:val="0"/>
                <w:bCs w:val="0"/>
                <w:color w:val="auto"/>
                <w:sz w:val="24"/>
                <w:szCs w:val="24"/>
              </w:rPr>
              <w:t>全屏显示。</w:t>
            </w:r>
          </w:p>
          <w:p w14:paraId="5D951C0D">
            <w:pPr>
              <w:numPr>
                <w:ilvl w:val="0"/>
                <w:numId w:val="0"/>
              </w:numPr>
              <w:spacing w:line="360" w:lineRule="exac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21.安卓系统下白板软件支持三角形、正方形、多边形、直线、虚线、箭头等不少于11种常见图形或线条绘制，并可对图形或线条画笔大小、颜色进行调整。</w:t>
            </w:r>
          </w:p>
          <w:p w14:paraId="538EC2F3">
            <w:pPr>
              <w:numPr>
                <w:ilvl w:val="0"/>
                <w:numId w:val="0"/>
              </w:numPr>
              <w:spacing w:line="360" w:lineRule="exac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22.</w:t>
            </w:r>
            <w:r>
              <w:rPr>
                <w:rFonts w:hint="eastAsia" w:ascii="宋体" w:hAnsi="宋体" w:eastAsia="宋体" w:cs="宋体"/>
                <w:b w:val="0"/>
                <w:bCs w:val="0"/>
                <w:color w:val="auto"/>
                <w:sz w:val="24"/>
                <w:szCs w:val="24"/>
              </w:rPr>
              <w:t>一体机采用抽拉式模块化电脑</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外部无任何连线，支持快速拆卸。</w:t>
            </w:r>
          </w:p>
          <w:p w14:paraId="3030257A">
            <w:pPr>
              <w:numPr>
                <w:ilvl w:val="0"/>
                <w:numId w:val="0"/>
              </w:numPr>
              <w:spacing w:line="360" w:lineRule="exac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23.</w:t>
            </w:r>
            <w:r>
              <w:rPr>
                <w:rFonts w:hint="eastAsia" w:ascii="宋体" w:hAnsi="宋体" w:eastAsia="宋体" w:cs="宋体"/>
                <w:b w:val="0"/>
                <w:bCs w:val="0"/>
                <w:color w:val="auto"/>
                <w:sz w:val="24"/>
                <w:szCs w:val="24"/>
              </w:rPr>
              <w:t xml:space="preserve"> CPU: ≥ </w:t>
            </w:r>
            <w:r>
              <w:rPr>
                <w:rFonts w:hint="eastAsia" w:ascii="宋体" w:hAnsi="宋体" w:eastAsia="宋体" w:cs="宋体"/>
                <w:b w:val="0"/>
                <w:bCs w:val="0"/>
                <w:color w:val="auto"/>
                <w:sz w:val="24"/>
                <w:szCs w:val="24"/>
                <w:lang w:val="zh-CN" w:eastAsia="zh-CN"/>
              </w:rPr>
              <w:t>8核12线程，主频≥2GHz，内存≥8G（每根通道最大支持扩展到32G，总容量64GB），硬盘≥256G SSD。</w:t>
            </w:r>
          </w:p>
          <w:p w14:paraId="6CCFB4DB">
            <w:pPr>
              <w:numPr>
                <w:ilvl w:val="0"/>
                <w:numId w:val="0"/>
              </w:numP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24.</w:t>
            </w:r>
            <w:r>
              <w:rPr>
                <w:rFonts w:hint="eastAsia" w:ascii="宋体" w:hAnsi="宋体" w:eastAsia="宋体" w:cs="宋体"/>
                <w:b w:val="0"/>
                <w:bCs w:val="0"/>
                <w:color w:val="auto"/>
                <w:sz w:val="24"/>
                <w:szCs w:val="24"/>
              </w:rPr>
              <w:t>PC模块采用按压式卡扣，</w:t>
            </w:r>
            <w:r>
              <w:rPr>
                <w:rFonts w:hint="eastAsia" w:ascii="宋体" w:hAnsi="宋体" w:eastAsia="宋体" w:cs="宋体"/>
                <w:b w:val="0"/>
                <w:bCs w:val="0"/>
                <w:color w:val="auto"/>
                <w:sz w:val="24"/>
                <w:szCs w:val="24"/>
                <w:lang w:val="en-US" w:eastAsia="zh-CN"/>
              </w:rPr>
              <w:t>无需工具即可</w:t>
            </w:r>
            <w:r>
              <w:rPr>
                <w:rFonts w:hint="eastAsia" w:ascii="宋体" w:hAnsi="宋体" w:eastAsia="宋体" w:cs="宋体"/>
                <w:b w:val="0"/>
                <w:bCs w:val="0"/>
                <w:color w:val="auto"/>
                <w:sz w:val="24"/>
                <w:szCs w:val="24"/>
              </w:rPr>
              <w:t>快速维护或替换模块。</w:t>
            </w:r>
          </w:p>
          <w:p w14:paraId="6F049993">
            <w:pPr>
              <w:widowControl/>
              <w:numPr>
                <w:ilvl w:val="0"/>
                <w:numId w:val="0"/>
              </w:numPr>
              <w:tabs>
                <w:tab w:val="left" w:pos="425"/>
              </w:tabs>
              <w:spacing w:line="360" w:lineRule="exact"/>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教学软件技术参数：</w:t>
            </w:r>
          </w:p>
          <w:p w14:paraId="0314EF10">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一、AI备课系统</w:t>
            </w:r>
          </w:p>
          <w:p w14:paraId="039CD1E6">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1.课件主题匹配：支持输入课件主题，以及选择课件授课场景和授课类型生成课件，支持根据备课进度推荐课件主题，同时支持识别上传云课件、云教案以及本地化文件，让生成的课件内容更精准；</w:t>
            </w:r>
          </w:p>
          <w:p w14:paraId="0028863E">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2.课件目标生成：匹配对应的教材版本、年级、主题生成对应的课件目标；</w:t>
            </w:r>
          </w:p>
          <w:p w14:paraId="4B0CFBA4">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3.课件目标编辑：支持添加、删除、修改教学目标，支持手动编辑输入或人工智能生成对应的教学目标；支持通过人工智能把教学目标生成对应的教学大纲。</w:t>
            </w:r>
          </w:p>
          <w:p w14:paraId="653AB62F">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4.教学大纲生成：支持以思维导图的形式生成三级教学大纲，教学大纲可根据教学设计内容自动生成课堂活动、思维导图、学科工具等；（需提供带有CNAS或CMA标识的检测报告加盖</w:t>
            </w:r>
            <w:r>
              <w:rPr>
                <w:rFonts w:hint="eastAsia" w:ascii="宋体" w:hAnsi="宋体" w:cs="宋体"/>
                <w:b w:val="0"/>
                <w:bCs w:val="0"/>
                <w:color w:val="auto"/>
                <w:sz w:val="24"/>
                <w:szCs w:val="24"/>
                <w:lang w:eastAsia="zh-CN"/>
              </w:rPr>
              <w:t>投标人</w:t>
            </w:r>
            <w:r>
              <w:rPr>
                <w:rFonts w:hint="eastAsia" w:ascii="宋体" w:hAnsi="宋体" w:eastAsia="宋体" w:cs="宋体"/>
                <w:b w:val="0"/>
                <w:bCs w:val="0"/>
                <w:color w:val="auto"/>
                <w:sz w:val="24"/>
                <w:szCs w:val="24"/>
              </w:rPr>
              <w:t>公章）</w:t>
            </w:r>
          </w:p>
          <w:p w14:paraId="78317731">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教学大纲编辑：支持添加二级、三级主题，可手动编辑教学主题，支持对二级主题进行AI拓展，不少于智能拓展、跨学科、新课标三类拓展方式；支持选择三级子主题节点内容，不少于互动、吸引两类节点内容，以AI生成三级子主题。设计界面支持放大缩小，编辑操作支持撤销、恢复。基于教学大纲生成符合教学目标的课件和教案；</w:t>
            </w:r>
          </w:p>
          <w:p w14:paraId="299750A0">
            <w:pPr>
              <w:widowControl/>
              <w:numPr>
                <w:ilvl w:val="0"/>
                <w:numId w:val="0"/>
              </w:numPr>
              <w:tabs>
                <w:tab w:val="left" w:pos="425"/>
              </w:tabs>
              <w:spacing w:line="360" w:lineRule="exact"/>
              <w:jc w:val="left"/>
              <w:rPr>
                <w:rFonts w:hint="eastAsia" w:ascii="宋体" w:hAnsi="宋体" w:eastAsia="宋体" w:cs="宋体"/>
                <w:b w:val="0"/>
                <w:bCs w:val="0"/>
                <w:color w:val="0000FF"/>
                <w:sz w:val="24"/>
                <w:szCs w:val="24"/>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6.生成课件和教案：支持基于教学大纲生成教学课件和教学设计，课件内包括教学大纲中设计的课堂活动、思维导图、学科工具等；支持在完整课件的基础上AI生成单页课件，支持手动输入描述以及根据上下文推荐；支持修改大纲节点内容，新增节点时大纲同步生成课件页。教案支持一键复制。支持一键更换课件主题风格，分享课件，演示预览课件；（需提供带有CNAS或CMA标识的检测报告加盖</w:t>
            </w:r>
            <w:r>
              <w:rPr>
                <w:rFonts w:hint="eastAsia" w:ascii="宋体" w:hAnsi="宋体" w:cs="宋体"/>
                <w:b w:val="0"/>
                <w:bCs w:val="0"/>
                <w:color w:val="auto"/>
                <w:sz w:val="24"/>
                <w:szCs w:val="24"/>
                <w:lang w:eastAsia="zh-CN"/>
              </w:rPr>
              <w:t>投标人</w:t>
            </w:r>
            <w:r>
              <w:rPr>
                <w:rFonts w:hint="eastAsia" w:ascii="宋体" w:hAnsi="宋体" w:eastAsia="宋体" w:cs="宋体"/>
                <w:b w:val="0"/>
                <w:bCs w:val="0"/>
                <w:color w:val="auto"/>
                <w:sz w:val="24"/>
                <w:szCs w:val="24"/>
              </w:rPr>
              <w:t>公章）</w:t>
            </w:r>
          </w:p>
          <w:p w14:paraId="27BC55AE">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7</w:t>
            </w:r>
            <w:r>
              <w:rPr>
                <w:rFonts w:hint="eastAsia" w:ascii="宋体" w:hAnsi="宋体" w:eastAsia="宋体" w:cs="宋体"/>
                <w:b w:val="0"/>
                <w:bCs w:val="0"/>
                <w:color w:val="auto"/>
                <w:sz w:val="24"/>
                <w:szCs w:val="24"/>
              </w:rPr>
              <w:t>.课件智能编辑：支持课件页自动排版，可一键更换布局或挑选更多的智能布局模板。</w:t>
            </w:r>
          </w:p>
          <w:p w14:paraId="156B962D">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8</w:t>
            </w:r>
            <w:r>
              <w:rPr>
                <w:rFonts w:hint="eastAsia" w:ascii="宋体" w:hAnsi="宋体" w:eastAsia="宋体" w:cs="宋体"/>
                <w:b w:val="0"/>
                <w:bCs w:val="0"/>
                <w:color w:val="auto"/>
                <w:sz w:val="24"/>
                <w:szCs w:val="24"/>
              </w:rPr>
              <w:t>.智能生成图片：支持一键配图，可输入图片提示词生成对应图片。</w:t>
            </w:r>
          </w:p>
          <w:p w14:paraId="7737A18F">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9</w:t>
            </w:r>
            <w:r>
              <w:rPr>
                <w:rFonts w:hint="eastAsia" w:ascii="宋体" w:hAnsi="宋体" w:eastAsia="宋体" w:cs="宋体"/>
                <w:b w:val="0"/>
                <w:bCs w:val="0"/>
                <w:color w:val="auto"/>
                <w:sz w:val="24"/>
                <w:szCs w:val="24"/>
              </w:rPr>
              <w:t>.精品图库搜索：支持图库搜索，搜索列表会自动识别图片标签推荐内容。</w:t>
            </w:r>
          </w:p>
          <w:p w14:paraId="3A36CC0B">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w:t>
            </w:r>
            <w:r>
              <w:rPr>
                <w:rFonts w:hint="eastAsia" w:ascii="宋体" w:hAnsi="宋体" w:eastAsia="宋体" w:cs="宋体"/>
                <w:b w:val="0"/>
                <w:bCs w:val="0"/>
                <w:color w:val="auto"/>
                <w:sz w:val="24"/>
                <w:szCs w:val="24"/>
                <w:lang w:val="en-US" w:eastAsia="zh-CN"/>
              </w:rPr>
              <w:t>0</w:t>
            </w:r>
            <w:r>
              <w:rPr>
                <w:rFonts w:hint="eastAsia" w:ascii="宋体" w:hAnsi="宋体" w:eastAsia="宋体" w:cs="宋体"/>
                <w:b w:val="0"/>
                <w:bCs w:val="0"/>
                <w:color w:val="auto"/>
                <w:sz w:val="24"/>
                <w:szCs w:val="24"/>
              </w:rPr>
              <w:t>.单人每月完整生成课件频次不低于10次。</w:t>
            </w:r>
          </w:p>
          <w:p w14:paraId="0BED4260">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二、互动教学教研软件</w:t>
            </w:r>
          </w:p>
          <w:p w14:paraId="3A301B2F">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1、采用备授课一体化框架设计，教师可根据教学场景自由切换类PPT界面的备课模式与触控交互教学模式，适用于教室、办公室等不同教学环境，便于教师教学使用。</w:t>
            </w:r>
          </w:p>
          <w:p w14:paraId="5DDD08DF">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2、为使用方全体教师配备个人账号，形成一体的信息化教学账号体系；根据教师账号信息将教师云空间匹配至对应学校、学科校本资源库。支持通过数字账号、微信二维码、硬件密钥方式登录教师个人账号。</w:t>
            </w:r>
          </w:p>
          <w:p w14:paraId="0423C3AE">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3、课堂活动智能填写，支持选词填空、判断对错等课堂活动。可智能填写支持输入文本后一键解析，自动将文本内容结构化填充至题干和正确选项，快速完成课堂活动的制作，提高老师制作课堂活动的效率。</w:t>
            </w:r>
          </w:p>
          <w:p w14:paraId="6C55F30B">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提供互动式教学课件资源，包含学科教育各学段各地区教材版本不少于80个；包含学科教育各学段教材版本全部教学章节、专题教育多个主题教育、特殊教育三大分类不少于150000份的交互动课件。支持按照下载量、课件质量、相关性等每天动态更新课件列表，支持筛选和关键词搜索。课件可同步下载至教师个人云空间。</w:t>
            </w:r>
          </w:p>
          <w:p w14:paraId="744A550C">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5、软件支持实现信息化集体备课，至少应能实现如下功能：集备研讨、在线批注、稿件编辑、智能稿件对比、生成集备报告等。（需提供带有CNAS或CMA标识的检测报告加盖</w:t>
            </w:r>
            <w:r>
              <w:rPr>
                <w:rFonts w:hint="eastAsia" w:ascii="宋体" w:hAnsi="宋体" w:cs="宋体"/>
                <w:b w:val="0"/>
                <w:bCs w:val="0"/>
                <w:color w:val="auto"/>
                <w:sz w:val="24"/>
                <w:szCs w:val="24"/>
                <w:lang w:eastAsia="zh-CN"/>
              </w:rPr>
              <w:t>投标人</w:t>
            </w:r>
            <w:r>
              <w:rPr>
                <w:rFonts w:hint="eastAsia" w:ascii="宋体" w:hAnsi="宋体" w:eastAsia="宋体" w:cs="宋体"/>
                <w:b w:val="0"/>
                <w:bCs w:val="0"/>
                <w:color w:val="auto"/>
                <w:sz w:val="24"/>
                <w:szCs w:val="24"/>
              </w:rPr>
              <w:t>公章）</w:t>
            </w:r>
          </w:p>
          <w:p w14:paraId="3DF4F3FC">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6、软件支持云教案功能，内容可自动同步至云空间。支持以链接方式进行定向式分享和开放式分享。云教案与云课件可一对多关联绑定，产生绑定后，在课件页和教案页均支持在同一面板打开关联的云课件或云教案预览，便于老师备课时相互对照。</w:t>
            </w:r>
          </w:p>
          <w:p w14:paraId="74064CA0">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7、软件支持电子化听评课，至少应能实现如下功能：支持在授课模式中发起授课评价，根据课程和评课表生成二维码，可选择是否分享课件，若选择分享课件，评课人通过扫码即可参与评课并获取课件；支持查看评课记录及导出评课报告和听课记录。（需提供带有CNAS或CMA标识的检测报告加盖</w:t>
            </w:r>
            <w:r>
              <w:rPr>
                <w:rFonts w:hint="eastAsia" w:ascii="宋体" w:hAnsi="宋体" w:cs="宋体"/>
                <w:b w:val="0"/>
                <w:bCs w:val="0"/>
                <w:color w:val="auto"/>
                <w:sz w:val="24"/>
                <w:szCs w:val="24"/>
                <w:lang w:eastAsia="zh-CN"/>
              </w:rPr>
              <w:t>投标人</w:t>
            </w:r>
            <w:r>
              <w:rPr>
                <w:rFonts w:hint="eastAsia" w:ascii="宋体" w:hAnsi="宋体" w:eastAsia="宋体" w:cs="宋体"/>
                <w:b w:val="0"/>
                <w:bCs w:val="0"/>
                <w:color w:val="auto"/>
                <w:sz w:val="24"/>
                <w:szCs w:val="24"/>
              </w:rPr>
              <w:t>公章）</w:t>
            </w:r>
          </w:p>
          <w:p w14:paraId="0CCA5E76">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8、软件支持线上教学直播授课系统，至少应能实现如下功能：</w:t>
            </w:r>
          </w:p>
          <w:p w14:paraId="2916B0F6">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(1)一键开课：教师可一键开课生成课程海报；学生扫描课程海报微信二维码即可加入直播课堂，无需额外安装APP。</w:t>
            </w:r>
          </w:p>
          <w:p w14:paraId="58661C85">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(2)文本聊天工具：学生可在直播课堂打字提问、互动，学生提问内容实时传递至教师；</w:t>
            </w:r>
          </w:p>
          <w:p w14:paraId="36F9FDFD">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(3)互动答题工具：教师根据讲解内容发布答题板供学生选择作答，学生提交答案后系统自动统计正确率和答题详情。</w:t>
            </w:r>
          </w:p>
          <w:p w14:paraId="6A74FA9D">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远程互动工具：在直播课堂中，教师可指定授权学生远程互动，学生可在直播的课件画面进行书写、移动、擦除、参与互动活动等，学生操作过程实时同步至班级其他学生，可支持不少于5位学生同时参与远程互动；</w:t>
            </w:r>
          </w:p>
          <w:p w14:paraId="61E4F323">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(5)远程考勤管理：直播课程结束后，后台自动统计报名学生名单和学生学习清单。</w:t>
            </w:r>
          </w:p>
          <w:p w14:paraId="33F9D6DB">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(6)课程回放：课程结束后自动生成直播回放，报名课程的学生可反复学习；回放课程自动保存在云端，支持人工删除。</w:t>
            </w:r>
          </w:p>
          <w:p w14:paraId="138DE2B3">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三、数字化教研管理软件功能：</w:t>
            </w:r>
          </w:p>
          <w:p w14:paraId="7E565349">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1、支持学校管理教学教研流程，包括教学计划、集体备课、听课评课、班级氛围、校本资源建设，同时收集数据反馈和评价。同时支持教师管理个人教学教研活动并进行数据采集分析。</w:t>
            </w:r>
          </w:p>
          <w:p w14:paraId="63B11A7E">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2、支持教学检查：管理者在教学检查中可以掌握以教研组、备课组为单位的教学资源和集体备课数据。支持查看各年级和学科的教研组的教学资源覆盖情况和集体备课数据。支持数据筛选，支持导出备课组数据：支持导出课程资源和集体备课数据。（需提供带有CNAS或CMA标识的检测报告加盖</w:t>
            </w:r>
            <w:r>
              <w:rPr>
                <w:rFonts w:hint="eastAsia" w:ascii="宋体" w:hAnsi="宋体" w:cs="宋体"/>
                <w:b w:val="0"/>
                <w:bCs w:val="0"/>
                <w:color w:val="auto"/>
                <w:sz w:val="24"/>
                <w:szCs w:val="24"/>
                <w:lang w:eastAsia="zh-CN"/>
              </w:rPr>
              <w:t>投标人</w:t>
            </w:r>
            <w:r>
              <w:rPr>
                <w:rFonts w:hint="eastAsia" w:ascii="宋体" w:hAnsi="宋体" w:eastAsia="宋体" w:cs="宋体"/>
                <w:b w:val="0"/>
                <w:bCs w:val="0"/>
                <w:color w:val="auto"/>
                <w:sz w:val="24"/>
                <w:szCs w:val="24"/>
              </w:rPr>
              <w:t>公章）</w:t>
            </w:r>
          </w:p>
          <w:p w14:paraId="0358A8A1">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3、提供数据看板功能，支持学校数据概览、信息化指数、教研活动数据、教师研修情况、学校资源建设等情况的查看。</w:t>
            </w:r>
          </w:p>
          <w:p w14:paraId="305DC5A8">
            <w:pPr>
              <w:widowControl/>
              <w:numPr>
                <w:ilvl w:val="0"/>
                <w:numId w:val="0"/>
              </w:numPr>
              <w:tabs>
                <w:tab w:val="left" w:pos="425"/>
              </w:tabs>
              <w:spacing w:line="360" w:lineRule="exact"/>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4、提供行政管理功能，支持对教师进行分组、审核、搜索、导出及信息管理；支持下发学校通知及班级管理等。</w:t>
            </w:r>
          </w:p>
          <w:p w14:paraId="45FC966F">
            <w:pPr>
              <w:pStyle w:val="9"/>
              <w:ind w:left="0" w:leftChars="0" w:firstLine="0" w:firstLineChars="0"/>
              <w:rPr>
                <w:rFonts w:hint="eastAsia" w:ascii="宋体" w:hAnsi="宋体" w:eastAsia="宋体" w:cs="宋体"/>
                <w:sz w:val="24"/>
                <w:szCs w:val="24"/>
                <w:lang w:val="en-US" w:eastAsia="zh-CN"/>
              </w:rPr>
            </w:pPr>
            <w:r>
              <w:rPr>
                <w:rFonts w:hint="eastAsia" w:ascii="宋体" w:hAnsi="宋体" w:eastAsia="宋体" w:cs="宋体"/>
                <w:b w:val="0"/>
                <w:bCs w:val="0"/>
                <w:color w:val="auto"/>
                <w:sz w:val="24"/>
                <w:szCs w:val="24"/>
              </w:rPr>
              <w:t>5、具备教研管理中心，支持教学设计、教学检查、集体备课管理、听评课管理及班级氛围管理。</w:t>
            </w:r>
          </w:p>
        </w:tc>
      </w:tr>
      <w:tr w14:paraId="6FADB166">
        <w:tblPrEx>
          <w:tblCellMar>
            <w:top w:w="15" w:type="dxa"/>
            <w:left w:w="15" w:type="dxa"/>
            <w:bottom w:w="15" w:type="dxa"/>
            <w:right w:w="15" w:type="dxa"/>
          </w:tblCellMar>
        </w:tblPrEx>
        <w:trPr>
          <w:trHeight w:val="576" w:hRule="atLeast"/>
          <w:jc w:val="center"/>
        </w:trPr>
        <w:tc>
          <w:tcPr>
            <w:tcW w:w="416" w:type="pct"/>
            <w:tcBorders>
              <w:top w:val="single" w:color="auto" w:sz="4" w:space="0"/>
              <w:left w:val="single" w:color="auto" w:sz="4" w:space="0"/>
              <w:bottom w:val="single" w:color="auto" w:sz="4" w:space="0"/>
              <w:right w:val="single" w:color="auto" w:sz="4" w:space="0"/>
            </w:tcBorders>
            <w:noWrap w:val="0"/>
            <w:vAlign w:val="center"/>
          </w:tcPr>
          <w:p w14:paraId="388CB197">
            <w:pPr>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p>
        </w:tc>
        <w:tc>
          <w:tcPr>
            <w:tcW w:w="773" w:type="pct"/>
            <w:tcBorders>
              <w:top w:val="single" w:color="auto" w:sz="4" w:space="0"/>
              <w:left w:val="single" w:color="auto" w:sz="4" w:space="0"/>
              <w:bottom w:val="single" w:color="auto" w:sz="4" w:space="0"/>
              <w:right w:val="single" w:color="auto" w:sz="4" w:space="0"/>
            </w:tcBorders>
            <w:noWrap w:val="0"/>
            <w:vAlign w:val="center"/>
          </w:tcPr>
          <w:p w14:paraId="1B3EAC5E">
            <w:pPr>
              <w:numPr>
                <w:ilvl w:val="0"/>
                <w:numId w:val="0"/>
              </w:numPr>
              <w:jc w:val="cente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电容触控笔</w:t>
            </w:r>
          </w:p>
        </w:tc>
        <w:tc>
          <w:tcPr>
            <w:tcW w:w="3810" w:type="pct"/>
            <w:tcBorders>
              <w:top w:val="single" w:color="auto" w:sz="4" w:space="0"/>
              <w:left w:val="single" w:color="auto" w:sz="4" w:space="0"/>
              <w:bottom w:val="single" w:color="auto" w:sz="4" w:space="0"/>
              <w:right w:val="single" w:color="auto" w:sz="4" w:space="0"/>
            </w:tcBorders>
            <w:noWrap w:val="0"/>
            <w:vAlign w:val="center"/>
          </w:tcPr>
          <w:p w14:paraId="0AEF30C9">
            <w:pPr>
              <w:pStyle w:val="20"/>
              <w:spacing w:after="0" w:line="360" w:lineRule="exact"/>
              <w:ind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笔身造型采用圆润一体化笔型设计，表面采用手感漆工艺便于握持；笔身长度≤17cm,笔身直径≤13mm，笔身重量≤18g；无线dongle&amp;蓝牙连接距离≥12m，上下翻页/语音控制/远程批注实现距离≥12m，覆盖标准教室；</w:t>
            </w:r>
          </w:p>
          <w:p w14:paraId="746D08A4">
            <w:pPr>
              <w:pStyle w:val="20"/>
              <w:spacing w:after="0" w:line="360" w:lineRule="exact"/>
              <w:ind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2、笔身配置不少于五个按键，具备上下翻页，智能语音，远程聚光灯/放大，书写颜色切换，兼顾触摸书写以及远程操控的握持姿态；</w:t>
            </w:r>
          </w:p>
          <w:p w14:paraId="655F3DD0">
            <w:pPr>
              <w:pStyle w:val="20"/>
              <w:spacing w:after="0" w:line="360" w:lineRule="exact"/>
              <w:ind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3、连续书写距离不小于7km；短按上下翻页按键，可实现白板软件/ppt/pdf等文档上下翻页；长按上下翻页按键3s，可实现ppt播放/退出；</w:t>
            </w:r>
          </w:p>
          <w:p w14:paraId="7ADF4A28">
            <w:pPr>
              <w:pStyle w:val="20"/>
              <w:spacing w:after="0" w:line="360" w:lineRule="exact"/>
              <w:ind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4、内置麦克风，支持按键唤醒语音识别功能，避免杂音造成误唤醒；（需提供带有CNAS或CMA标识的检测报告加盖</w:t>
            </w:r>
            <w:r>
              <w:rPr>
                <w:rFonts w:hint="eastAsia" w:ascii="宋体" w:hAnsi="宋体" w:cs="宋体"/>
                <w:b w:val="0"/>
                <w:bCs w:val="0"/>
                <w:color w:val="auto"/>
                <w:sz w:val="24"/>
                <w:szCs w:val="24"/>
                <w:lang w:eastAsia="zh-CN"/>
              </w:rPr>
              <w:t>投标人</w:t>
            </w:r>
            <w:r>
              <w:rPr>
                <w:rFonts w:hint="eastAsia" w:ascii="宋体" w:hAnsi="宋体" w:eastAsia="宋体" w:cs="宋体"/>
                <w:b w:val="0"/>
                <w:bCs w:val="0"/>
                <w:color w:val="auto"/>
                <w:sz w:val="24"/>
                <w:szCs w:val="24"/>
              </w:rPr>
              <w:t>公章）</w:t>
            </w:r>
          </w:p>
          <w:p w14:paraId="198BC88E">
            <w:pPr>
              <w:pStyle w:val="20"/>
              <w:spacing w:after="0" w:line="360" w:lineRule="exact"/>
              <w:ind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rPr>
              <w:t>5、支持唤醒语音识别时，可直接通过语音打开已安装的应用，可直接通过语音调用网络搜索引擎搜索查询相应资料，可进行语音转写输入，支持语音控制屏幕黑屏、亮屏，音量大小调整，返回桌面，截屏，关机等操作；（需提供带有CNAS或CMA标识的检测报告加盖</w:t>
            </w:r>
            <w:r>
              <w:rPr>
                <w:rFonts w:hint="eastAsia" w:ascii="宋体" w:hAnsi="宋体" w:cs="宋体"/>
                <w:b w:val="0"/>
                <w:bCs w:val="0"/>
                <w:color w:val="auto"/>
                <w:sz w:val="24"/>
                <w:szCs w:val="24"/>
                <w:lang w:eastAsia="zh-CN"/>
              </w:rPr>
              <w:t>投标人</w:t>
            </w:r>
            <w:r>
              <w:rPr>
                <w:rFonts w:hint="eastAsia" w:ascii="宋体" w:hAnsi="宋体" w:eastAsia="宋体" w:cs="宋体"/>
                <w:b w:val="0"/>
                <w:bCs w:val="0"/>
                <w:color w:val="auto"/>
                <w:sz w:val="24"/>
                <w:szCs w:val="24"/>
              </w:rPr>
              <w:t>公章）</w:t>
            </w:r>
          </w:p>
          <w:p w14:paraId="19A503D0">
            <w:pPr>
              <w:pStyle w:val="20"/>
              <w:spacing w:after="0" w:line="360" w:lineRule="exact"/>
              <w:ind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6、支持白板软件内，通过语音控制：切换书写、擦除、选择模式，最小化返回桌面，打开板中板，清空书写批注等操作；（需提供带有CNAS或CMA标识的检测报告加盖</w:t>
            </w:r>
            <w:r>
              <w:rPr>
                <w:rFonts w:hint="eastAsia" w:ascii="宋体" w:hAnsi="宋体" w:cs="宋体"/>
                <w:b w:val="0"/>
                <w:bCs w:val="0"/>
                <w:color w:val="auto"/>
                <w:sz w:val="24"/>
                <w:szCs w:val="24"/>
                <w:lang w:eastAsia="zh-CN"/>
              </w:rPr>
              <w:t>投标人</w:t>
            </w:r>
            <w:r>
              <w:rPr>
                <w:rFonts w:hint="eastAsia" w:ascii="宋体" w:hAnsi="宋体" w:eastAsia="宋体" w:cs="宋体"/>
                <w:b w:val="0"/>
                <w:bCs w:val="0"/>
                <w:color w:val="auto"/>
                <w:sz w:val="24"/>
                <w:szCs w:val="24"/>
              </w:rPr>
              <w:t>公章）</w:t>
            </w:r>
          </w:p>
          <w:p w14:paraId="4BF39EC1">
            <w:pPr>
              <w:pStyle w:val="20"/>
              <w:spacing w:after="0" w:line="360" w:lineRule="exact"/>
              <w:ind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7、支持按键调起批注功能，可通过按键实现批注颜色切换，长按按键可实现橡皮擦功能；</w:t>
            </w:r>
          </w:p>
          <w:p w14:paraId="4F309EAC">
            <w:pPr>
              <w:pStyle w:val="20"/>
              <w:spacing w:after="0" w:line="360" w:lineRule="exact"/>
              <w:ind w:firstLine="0" w:firstLineChars="0"/>
              <w:rPr>
                <w:rFonts w:hint="eastAsia" w:ascii="宋体" w:hAnsi="宋体" w:eastAsia="宋体" w:cs="宋体"/>
                <w:sz w:val="24"/>
                <w:szCs w:val="24"/>
                <w:lang w:val="zh-CN" w:eastAsia="zh-CN"/>
              </w:rPr>
            </w:pPr>
            <w:r>
              <w:rPr>
                <w:rFonts w:hint="eastAsia" w:ascii="宋体" w:hAnsi="宋体" w:eastAsia="宋体" w:cs="宋体"/>
                <w:b w:val="0"/>
                <w:bCs w:val="0"/>
                <w:color w:val="auto"/>
                <w:sz w:val="24"/>
                <w:szCs w:val="24"/>
              </w:rPr>
              <w:t>8、内置锂电池，支持type-c充电，待机时间≥60h,连续书写时间≥8h，从无电到满电的充电时长≤1小时；</w:t>
            </w:r>
          </w:p>
        </w:tc>
      </w:tr>
      <w:tr w14:paraId="651B6CB8">
        <w:tblPrEx>
          <w:tblCellMar>
            <w:top w:w="15" w:type="dxa"/>
            <w:left w:w="15" w:type="dxa"/>
            <w:bottom w:w="15" w:type="dxa"/>
            <w:right w:w="15" w:type="dxa"/>
          </w:tblCellMar>
        </w:tblPrEx>
        <w:trPr>
          <w:trHeight w:val="576" w:hRule="atLeast"/>
          <w:jc w:val="center"/>
        </w:trPr>
        <w:tc>
          <w:tcPr>
            <w:tcW w:w="416" w:type="pct"/>
            <w:tcBorders>
              <w:top w:val="single" w:color="auto" w:sz="4" w:space="0"/>
              <w:left w:val="single" w:color="auto" w:sz="4" w:space="0"/>
              <w:bottom w:val="single" w:color="auto" w:sz="4" w:space="0"/>
              <w:right w:val="single" w:color="auto" w:sz="4" w:space="0"/>
            </w:tcBorders>
            <w:noWrap w:val="0"/>
            <w:vAlign w:val="center"/>
          </w:tcPr>
          <w:p w14:paraId="45F63538">
            <w:pPr>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773" w:type="pct"/>
            <w:tcBorders>
              <w:top w:val="single" w:color="auto" w:sz="4" w:space="0"/>
              <w:left w:val="single" w:color="auto" w:sz="4" w:space="0"/>
              <w:bottom w:val="single" w:color="auto" w:sz="4" w:space="0"/>
              <w:right w:val="single" w:color="auto" w:sz="4" w:space="0"/>
            </w:tcBorders>
            <w:noWrap w:val="0"/>
            <w:vAlign w:val="center"/>
          </w:tcPr>
          <w:p w14:paraId="3AD71D2C">
            <w:pPr>
              <w:numPr>
                <w:ilvl w:val="0"/>
                <w:numId w:val="0"/>
              </w:numPr>
              <w:jc w:val="cente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扩音系统</w:t>
            </w:r>
          </w:p>
        </w:tc>
        <w:tc>
          <w:tcPr>
            <w:tcW w:w="7040" w:type="dxa"/>
            <w:tcBorders>
              <w:top w:val="single" w:color="auto" w:sz="4" w:space="0"/>
              <w:left w:val="single" w:color="auto" w:sz="4" w:space="0"/>
              <w:bottom w:val="single" w:color="auto" w:sz="4" w:space="0"/>
              <w:right w:val="single" w:color="auto" w:sz="4" w:space="0"/>
            </w:tcBorders>
            <w:noWrap w:val="0"/>
            <w:vAlign w:val="center"/>
          </w:tcPr>
          <w:p w14:paraId="0B751F03">
            <w:pPr>
              <w:widowControl/>
              <w:numPr>
                <w:ilvl w:val="0"/>
                <w:numId w:val="0"/>
              </w:numPr>
              <w:ind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1.采用功放与有源音箱一体化设计，内置麦克风无线接收模块，帮助教师实现多媒体扩音以及本地扩声功能。</w:t>
            </w:r>
          </w:p>
          <w:p w14:paraId="334A7C3B">
            <w:pPr>
              <w:widowControl/>
              <w:numPr>
                <w:ilvl w:val="0"/>
                <w:numId w:val="0"/>
              </w:numPr>
              <w:ind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2.输出额定功率≥ 2x15W。音箱灵敏度≥85dB，1W/1M。信噪比≥80dB@额定功率、A计权。</w:t>
            </w:r>
          </w:p>
          <w:p w14:paraId="41364A6D">
            <w:pPr>
              <w:widowControl/>
              <w:numPr>
                <w:ilvl w:val="0"/>
                <w:numId w:val="0"/>
              </w:numPr>
              <w:ind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3.全频喇叭单元尺寸≥5英寸。THD+N≤1%。声频响110Hz-16kHz。距离音箱10米处声压级≥75dB。</w:t>
            </w:r>
          </w:p>
          <w:p w14:paraId="6929C2A2">
            <w:pPr>
              <w:widowControl/>
              <w:numPr>
                <w:ilvl w:val="0"/>
                <w:numId w:val="0"/>
              </w:numPr>
              <w:ind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功能描述：</w:t>
            </w:r>
          </w:p>
          <w:p w14:paraId="75CD4E4A">
            <w:pPr>
              <w:widowControl/>
              <w:numPr>
                <w:ilvl w:val="0"/>
                <w:numId w:val="0"/>
              </w:numPr>
              <w:ind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4.具备≥1路电源开关、1路LINE IN、1路USB 接口。USB接口可外接U盘设备对音箱固件进行升级。</w:t>
            </w:r>
          </w:p>
          <w:p w14:paraId="359B0F53">
            <w:pPr>
              <w:widowControl/>
              <w:numPr>
                <w:ilvl w:val="0"/>
                <w:numId w:val="0"/>
              </w:numPr>
              <w:ind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5.支持无线麦克风扩音接收，采用Wi-Fi射频2.4GHz与 5GHz双频段传输，有效避免环境中运营商U段（700MHz）的信号干扰。</w:t>
            </w:r>
          </w:p>
          <w:p w14:paraId="67BB96CB">
            <w:pPr>
              <w:widowControl/>
              <w:numPr>
                <w:ilvl w:val="0"/>
                <w:numId w:val="0"/>
              </w:numPr>
              <w:ind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6.采用红外对码方式，避免连接到其他教室音箱。可快速完成与教学扩声麦克风对码，无需繁琐操作。</w:t>
            </w:r>
          </w:p>
          <w:p w14:paraId="1B55AB08">
            <w:pPr>
              <w:widowControl/>
              <w:numPr>
                <w:ilvl w:val="0"/>
                <w:numId w:val="0"/>
              </w:numPr>
              <w:ind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7.配置独立音频数字信号处理芯片，支持啸叫抑制功能。（需提供带有CNAS或CMA标识的检测报告）</w:t>
            </w:r>
          </w:p>
          <w:p w14:paraId="7B67EFD5">
            <w:pPr>
              <w:widowControl/>
              <w:numPr>
                <w:ilvl w:val="0"/>
                <w:numId w:val="0"/>
              </w:numPr>
              <w:ind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8.支持蓝牙无线接收，可分享移动设备上的音频。支持密码模式，防止学生连接。</w:t>
            </w:r>
          </w:p>
          <w:p w14:paraId="6A551374">
            <w:pPr>
              <w:widowControl/>
              <w:numPr>
                <w:ilvl w:val="0"/>
                <w:numId w:val="0"/>
              </w:numPr>
              <w:ind w:left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9.支持安卓手机通过蓝牙无线连接音箱，实现控制有源音箱的音量、设置蓝牙名称、设置蓝牙密码等功能，方便教师对音箱的管控。</w:t>
            </w:r>
          </w:p>
          <w:p w14:paraId="1F1505EF">
            <w:pPr>
              <w:numPr>
                <w:ilvl w:val="0"/>
                <w:numId w:val="0"/>
              </w:numPr>
              <w:ind w:left="0" w:leftChars="0" w:firstLine="0" w:firstLineChars="0"/>
              <w:rPr>
                <w:rFonts w:hint="eastAsia" w:ascii="宋体" w:hAnsi="宋体" w:eastAsia="宋体" w:cs="宋体"/>
                <w:sz w:val="24"/>
                <w:szCs w:val="24"/>
                <w:lang w:val="zh-CN" w:eastAsia="zh-CN"/>
              </w:rPr>
            </w:pPr>
            <w:r>
              <w:rPr>
                <w:rFonts w:hint="eastAsia" w:ascii="宋体" w:hAnsi="宋体" w:eastAsia="宋体" w:cs="宋体"/>
                <w:b w:val="0"/>
                <w:bCs w:val="0"/>
                <w:color w:val="auto"/>
                <w:sz w:val="24"/>
                <w:szCs w:val="24"/>
              </w:rPr>
              <w:t>10.支持交互智能设备显示设备通过蓝牙无线连接音箱，实现控制有源音箱的音量的功能。</w:t>
            </w:r>
          </w:p>
        </w:tc>
      </w:tr>
      <w:tr w14:paraId="2F0ED3E3">
        <w:tblPrEx>
          <w:tblCellMar>
            <w:top w:w="15" w:type="dxa"/>
            <w:left w:w="15" w:type="dxa"/>
            <w:bottom w:w="15" w:type="dxa"/>
            <w:right w:w="15" w:type="dxa"/>
          </w:tblCellMar>
        </w:tblPrEx>
        <w:trPr>
          <w:trHeight w:val="576" w:hRule="atLeast"/>
          <w:jc w:val="center"/>
        </w:trPr>
        <w:tc>
          <w:tcPr>
            <w:tcW w:w="416" w:type="pct"/>
            <w:tcBorders>
              <w:top w:val="single" w:color="auto" w:sz="4" w:space="0"/>
              <w:left w:val="single" w:color="auto" w:sz="4" w:space="0"/>
              <w:bottom w:val="single" w:color="auto" w:sz="4" w:space="0"/>
              <w:right w:val="single" w:color="auto" w:sz="4" w:space="0"/>
            </w:tcBorders>
            <w:noWrap w:val="0"/>
            <w:vAlign w:val="center"/>
          </w:tcPr>
          <w:p w14:paraId="3434877F">
            <w:pPr>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w:t>
            </w:r>
          </w:p>
        </w:tc>
        <w:tc>
          <w:tcPr>
            <w:tcW w:w="773" w:type="pct"/>
            <w:tcBorders>
              <w:top w:val="single" w:color="auto" w:sz="4" w:space="0"/>
              <w:left w:val="single" w:color="auto" w:sz="4" w:space="0"/>
              <w:bottom w:val="single" w:color="auto" w:sz="4" w:space="0"/>
              <w:right w:val="single" w:color="auto" w:sz="4" w:space="0"/>
            </w:tcBorders>
            <w:noWrap w:val="0"/>
            <w:vAlign w:val="center"/>
          </w:tcPr>
          <w:p w14:paraId="36A577EA">
            <w:pPr>
              <w:numPr>
                <w:ilvl w:val="0"/>
                <w:numId w:val="0"/>
              </w:numPr>
              <w:jc w:val="cente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集中控制管理平台</w:t>
            </w:r>
          </w:p>
        </w:tc>
        <w:tc>
          <w:tcPr>
            <w:tcW w:w="7040" w:type="dxa"/>
            <w:tcBorders>
              <w:top w:val="single" w:color="auto" w:sz="4" w:space="0"/>
              <w:left w:val="single" w:color="auto" w:sz="4" w:space="0"/>
              <w:bottom w:val="single" w:color="auto" w:sz="4" w:space="0"/>
              <w:right w:val="single" w:color="auto" w:sz="4" w:space="0"/>
            </w:tcBorders>
            <w:noWrap w:val="0"/>
            <w:vAlign w:val="center"/>
          </w:tcPr>
          <w:p w14:paraId="1043AEA5">
            <w:pPr>
              <w:pStyle w:val="18"/>
              <w:widowControl w:val="0"/>
              <w:numPr>
                <w:ilvl w:val="0"/>
                <w:numId w:val="0"/>
              </w:numPr>
              <w:spacing w:before="0" w:beforeAutospacing="0" w:after="0" w:afterAutospacing="0" w:line="360" w:lineRule="exact"/>
              <w:ind w:leftChars="0" w:right="0" w:rightChars="0"/>
              <w:jc w:val="both"/>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1.设计架构：系统采用模块化的架构设计B/S架构，通过浏览器打开并用微信扫码登录、账号密码登录和微信授权登录完成鉴权，即可使用数字校园产品的各项功能模块。</w:t>
            </w:r>
          </w:p>
          <w:p w14:paraId="15E6CEDB">
            <w:pPr>
              <w:pStyle w:val="18"/>
              <w:widowControl w:val="0"/>
              <w:numPr>
                <w:ilvl w:val="0"/>
                <w:numId w:val="0"/>
              </w:numPr>
              <w:spacing w:before="0" w:beforeAutospacing="0" w:after="0" w:afterAutospacing="0" w:line="360" w:lineRule="exact"/>
              <w:ind w:leftChars="0" w:right="0" w:rightChars="0"/>
              <w:jc w:val="both"/>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2.登录认证：基于Web浏览器，提供用户统一登录认证功能，包括：手机号码注册、登录、忘记密码、扫码登录、账号管理功能。</w:t>
            </w:r>
          </w:p>
          <w:p w14:paraId="74D65BA2">
            <w:pPr>
              <w:pStyle w:val="18"/>
              <w:widowControl w:val="0"/>
              <w:numPr>
                <w:ilvl w:val="0"/>
                <w:numId w:val="0"/>
              </w:numPr>
              <w:spacing w:before="0" w:beforeAutospacing="0" w:after="0" w:afterAutospacing="0" w:line="360" w:lineRule="exact"/>
              <w:ind w:leftChars="0" w:right="0" w:rightChars="0"/>
              <w:jc w:val="both"/>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3.设备治理建议：支持自定义设备类型及数量，掌握校内设备资产分布情况；支持根据老师、学科、设备三大维度查看设备使用排行，并提供信息化设备利用率提升指南。支持查看本校常用软件、网址访问排行、全校设备画面截图；支持查看设备网络负载、硬件负载情况，并提供网络优化、硬件升级指南。</w:t>
            </w:r>
          </w:p>
          <w:p w14:paraId="416CBA61">
            <w:pPr>
              <w:pStyle w:val="18"/>
              <w:widowControl w:val="0"/>
              <w:numPr>
                <w:ilvl w:val="0"/>
                <w:numId w:val="0"/>
              </w:numPr>
              <w:spacing w:before="0" w:beforeAutospacing="0" w:after="0" w:afterAutospacing="0" w:line="360" w:lineRule="exact"/>
              <w:ind w:leftChars="0" w:right="0" w:rightChars="0"/>
              <w:jc w:val="both"/>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4.设备巡视：支持同时查看不少于20个教室的实时摄像头画面、设备屏幕画面；支持在一个显示界面同时查看单个教室内所有屏幕、所有摄像头的实时画面，以及所有麦克风的声音，其中摄像头画面可直接使用班班通自带摄像头；支持批量将学校已有网络摄像头导入系统内，同场地下的班班通设备会主动和网络摄像头建立连接，巡视时可调用网络摄像头查看教室实时画面；单台设备巡视时，支持远程发送文本消息、语音消息，支持记录备注、听课评价；支持巡视日志功能，可以回溯管理员的巡视历史。</w:t>
            </w:r>
          </w:p>
          <w:p w14:paraId="6D678CEA">
            <w:pPr>
              <w:pStyle w:val="18"/>
              <w:widowControl w:val="0"/>
              <w:numPr>
                <w:ilvl w:val="0"/>
                <w:numId w:val="0"/>
              </w:numPr>
              <w:spacing w:before="0" w:beforeAutospacing="0" w:after="0" w:afterAutospacing="0" w:line="360" w:lineRule="exact"/>
              <w:ind w:leftChars="0" w:right="0" w:rightChars="0"/>
              <w:jc w:val="both"/>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5.掌上看班：支持管理者开启掌上看班服务，开启/关闭掌上看班的管控功能；拥有掌上看班权限的老师可在移动端或PC客户端实时巡班，并进行基础远程管控。支持管理者为普通老师直接分配、普通老师自行申请后由管理者在平台审核开通的2种方式管理掌上看班的班级权限，所有权限调整均配备操作日志；支持通过教师、设备维度查看拥有掌上看班的权限明细，并支持快速调整权限。（需提供带有CNAS或CMA标识的检测报告加盖</w:t>
            </w:r>
            <w:r>
              <w:rPr>
                <w:rFonts w:hint="eastAsia" w:ascii="宋体" w:hAnsi="宋体" w:cs="宋体"/>
                <w:b w:val="0"/>
                <w:bCs w:val="0"/>
                <w:color w:val="auto"/>
                <w:sz w:val="24"/>
                <w:szCs w:val="24"/>
                <w:lang w:eastAsia="zh-CN"/>
              </w:rPr>
              <w:t>投标人</w:t>
            </w:r>
            <w:r>
              <w:rPr>
                <w:rFonts w:hint="eastAsia" w:ascii="宋体" w:hAnsi="宋体" w:eastAsia="宋体" w:cs="宋体"/>
                <w:color w:val="auto"/>
                <w:kern w:val="2"/>
                <w:sz w:val="24"/>
                <w:szCs w:val="24"/>
                <w:lang w:eastAsia="zh-CN"/>
              </w:rPr>
              <w:t>公章）</w:t>
            </w:r>
          </w:p>
          <w:p w14:paraId="31DB429E">
            <w:pPr>
              <w:pStyle w:val="18"/>
              <w:widowControl w:val="0"/>
              <w:numPr>
                <w:ilvl w:val="0"/>
                <w:numId w:val="0"/>
              </w:numPr>
              <w:spacing w:before="0" w:beforeAutospacing="0" w:after="0" w:afterAutospacing="0" w:line="360" w:lineRule="exact"/>
              <w:ind w:leftChars="0" w:right="0" w:rightChars="0"/>
              <w:jc w:val="both"/>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6.批量磁盘清理：支持远程批量清理设备磁盘；支持清理指定磁盘的指定文件夹；支持清理系统盘备份、缓存、日志等文件；支持迁移系统盘视频、图片、音乐、文档文件；支持格式化非系统盘磁盘。</w:t>
            </w:r>
          </w:p>
          <w:p w14:paraId="541824F7">
            <w:pPr>
              <w:pStyle w:val="18"/>
              <w:widowControl w:val="0"/>
              <w:numPr>
                <w:ilvl w:val="0"/>
                <w:numId w:val="0"/>
              </w:numPr>
              <w:spacing w:before="0" w:beforeAutospacing="0" w:after="0" w:afterAutospacing="0" w:line="360" w:lineRule="exact"/>
              <w:ind w:leftChars="0" w:right="0" w:rightChars="0"/>
              <w:jc w:val="both"/>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7. 冰点还原及穿透：支持远程向已冰冻的设备发送指令、安装软件，在设备正常关机时触发穿透动作，穿透完成后，设备即可使用已安装软件、执行已接收指令，且穿透过程中无需人为解冻。</w:t>
            </w:r>
          </w:p>
          <w:p w14:paraId="4073C961">
            <w:pPr>
              <w:pStyle w:val="18"/>
              <w:widowControl w:val="0"/>
              <w:numPr>
                <w:ilvl w:val="0"/>
                <w:numId w:val="0"/>
              </w:numPr>
              <w:spacing w:before="0" w:beforeAutospacing="0" w:after="0" w:afterAutospacing="0" w:line="360" w:lineRule="exact"/>
              <w:ind w:leftChars="0" w:right="0" w:rightChars="0"/>
              <w:jc w:val="both"/>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8.弹窗拦截：支持一键开启拦截能力；支持查看已上报的所有疑似风险窗口和上报次数，并支持拦截某个应用所有窗口、某个具体窗口；支持将某个应用、某个具体窗口加入白名单，不对软件进行拦截。</w:t>
            </w:r>
          </w:p>
          <w:p w14:paraId="5D0C9BD1">
            <w:pPr>
              <w:pStyle w:val="18"/>
              <w:widowControl w:val="0"/>
              <w:numPr>
                <w:ilvl w:val="0"/>
                <w:numId w:val="0"/>
              </w:numPr>
              <w:spacing w:before="0" w:beforeAutospacing="0" w:after="0" w:afterAutospacing="0" w:line="360" w:lineRule="exact"/>
              <w:ind w:leftChars="0" w:right="0" w:rightChars="0"/>
              <w:jc w:val="both"/>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9.网址过滤：支持设置网址访问黑名单、白名单，限制所有设备的网址访问。</w:t>
            </w:r>
          </w:p>
          <w:p w14:paraId="591F8198">
            <w:pPr>
              <w:pStyle w:val="18"/>
              <w:widowControl w:val="0"/>
              <w:numPr>
                <w:ilvl w:val="0"/>
                <w:numId w:val="0"/>
              </w:numPr>
              <w:spacing w:before="0" w:beforeAutospacing="0" w:after="0" w:afterAutospacing="0" w:line="360" w:lineRule="exact"/>
              <w:ind w:leftChars="0" w:right="0" w:rightChars="0"/>
              <w:jc w:val="both"/>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▲10.AI画面监测：支持AI自动监测设备画面色情、恐怖、暴力、游戏等风险内容或元素；支持设置警告内容，当监测到不良画面后自动提醒。（需提供带有CNAS或CMA标识的检测报告加盖</w:t>
            </w:r>
            <w:r>
              <w:rPr>
                <w:rFonts w:hint="eastAsia" w:ascii="宋体" w:hAnsi="宋体" w:cs="宋体"/>
                <w:b w:val="0"/>
                <w:bCs w:val="0"/>
                <w:color w:val="auto"/>
                <w:sz w:val="24"/>
                <w:szCs w:val="24"/>
                <w:lang w:eastAsia="zh-CN"/>
              </w:rPr>
              <w:t>投标人</w:t>
            </w:r>
            <w:r>
              <w:rPr>
                <w:rFonts w:hint="eastAsia" w:ascii="宋体" w:hAnsi="宋体" w:eastAsia="宋体" w:cs="宋体"/>
                <w:color w:val="auto"/>
                <w:kern w:val="2"/>
                <w:sz w:val="24"/>
                <w:szCs w:val="24"/>
                <w:lang w:eastAsia="zh-CN"/>
              </w:rPr>
              <w:t>公章）</w:t>
            </w:r>
          </w:p>
          <w:p w14:paraId="1F0A9A11">
            <w:pPr>
              <w:pStyle w:val="18"/>
              <w:widowControl w:val="0"/>
              <w:numPr>
                <w:ilvl w:val="0"/>
                <w:numId w:val="0"/>
              </w:numPr>
              <w:spacing w:before="0" w:beforeAutospacing="0" w:after="0" w:afterAutospacing="0" w:line="360" w:lineRule="exact"/>
              <w:ind w:leftChars="0" w:right="0" w:rightChars="0"/>
              <w:jc w:val="both"/>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11.多场景锁屏：支持一键下课锁屏、开机自动锁屏、无网络时验证身份解锁、联网时禁用密码解锁；支持下课锁屏，在班班通设备上点击“下课”按钮即可锁屏；支持开机自动锁屏，可设置生效时间和生效设备；支持无网络情况下，通过手机微信扫码，验证身份后获取密码进行解锁使用。支持设置屏幕锁壁纸；支持设置普通锁屏、极速锁屏模式。</w:t>
            </w:r>
          </w:p>
          <w:p w14:paraId="6444E629">
            <w:pPr>
              <w:pStyle w:val="18"/>
              <w:widowControl w:val="0"/>
              <w:numPr>
                <w:ilvl w:val="0"/>
                <w:numId w:val="0"/>
              </w:numPr>
              <w:spacing w:before="0" w:beforeAutospacing="0" w:after="0" w:afterAutospacing="0" w:line="360" w:lineRule="exact"/>
              <w:ind w:leftChars="0" w:right="0" w:rightChars="0"/>
              <w:jc w:val="both"/>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12.软件静默安装：支持用户自主上传官方正版软件，支持批量将软件发送至班班通设备安装，软件自动静默安装，无需人工操作。</w:t>
            </w:r>
          </w:p>
          <w:p w14:paraId="02D21986">
            <w:pPr>
              <w:pStyle w:val="18"/>
              <w:widowControl w:val="0"/>
              <w:numPr>
                <w:ilvl w:val="0"/>
                <w:numId w:val="0"/>
              </w:numPr>
              <w:spacing w:before="0" w:beforeAutospacing="0" w:after="0" w:afterAutospacing="0" w:line="360" w:lineRule="exact"/>
              <w:ind w:leftChars="0" w:right="0" w:rightChars="0"/>
              <w:jc w:val="both"/>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13.设备概览：支持通过不少于五大维度，科学合理监测评估基建设备的稳定性；支持通过网络达标情况了解设备是否常态化联网；支持通过硬件达标情况了解设备使用年限、CPU/内存/磁盘等硬件的配置，通过流畅度情况了解设备CPU占用/温度、内存占用、系统盘容量占用的情况；支持通过安全达标情况了解设备启用安全防护服务的情况；支持通过设备应用情况来了解设备、教师在教学中的使用情况，包含：使用率、软件使用情况、网址访问情况。</w:t>
            </w:r>
          </w:p>
          <w:p w14:paraId="738CB737">
            <w:pPr>
              <w:pStyle w:val="18"/>
              <w:widowControl w:val="0"/>
              <w:numPr>
                <w:ilvl w:val="0"/>
                <w:numId w:val="0"/>
              </w:numPr>
              <w:spacing w:before="0" w:beforeAutospacing="0" w:after="0" w:afterAutospacing="0" w:line="360" w:lineRule="exact"/>
              <w:ind w:leftChars="0" w:right="0" w:rightChars="0"/>
              <w:jc w:val="both"/>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14.设备盘点：支持快速筛选全校所有设备各项指标的达标率，快速定位和识别问题设备；支持单设备查看详情，掌握设备的基础参数，以及各项指标的明细数据；支持快速导出全校所有设备的网络状态、硬件参数、流畅度、安全防护服务开启情况。</w:t>
            </w:r>
          </w:p>
          <w:p w14:paraId="7C48DD06">
            <w:pPr>
              <w:pStyle w:val="18"/>
              <w:widowControl w:val="0"/>
              <w:numPr>
                <w:ilvl w:val="0"/>
                <w:numId w:val="0"/>
              </w:numPr>
              <w:spacing w:before="0" w:beforeAutospacing="0" w:after="0" w:afterAutospacing="0" w:line="360" w:lineRule="exact"/>
              <w:ind w:leftChars="0" w:right="0" w:rightChars="0"/>
              <w:jc w:val="both"/>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15.基建优化建议：支持解读设备运行数据，提供基建优化建议；支持根据网络带宽利用率分析网络稳定性并提供优化方案；支持根据硬件参数及流畅度达标情况分析设备运行稳定性并提供优化方案；支持根据安全服务开启情况分析设备运行风险并提供优化方案。</w:t>
            </w:r>
          </w:p>
          <w:p w14:paraId="59FD0C05">
            <w:pPr>
              <w:pStyle w:val="18"/>
              <w:widowControl w:val="0"/>
              <w:numPr>
                <w:ilvl w:val="0"/>
                <w:numId w:val="0"/>
              </w:numPr>
              <w:spacing w:before="0" w:beforeAutospacing="0" w:after="0" w:afterAutospacing="0" w:line="360" w:lineRule="exact"/>
              <w:ind w:leftChars="0" w:right="0" w:rightChars="0"/>
              <w:jc w:val="both"/>
              <w:rPr>
                <w:rFonts w:hint="eastAsia" w:ascii="宋体" w:hAnsi="宋体" w:eastAsia="宋体" w:cs="宋体"/>
                <w:color w:val="auto"/>
                <w:kern w:val="2"/>
                <w:sz w:val="24"/>
                <w:szCs w:val="24"/>
                <w:lang w:eastAsia="zh-CN"/>
              </w:rPr>
            </w:pPr>
            <w:r>
              <w:rPr>
                <w:rFonts w:hint="eastAsia" w:ascii="宋体" w:hAnsi="宋体" w:eastAsia="宋体" w:cs="宋体"/>
                <w:color w:val="auto"/>
                <w:kern w:val="2"/>
                <w:sz w:val="24"/>
                <w:szCs w:val="24"/>
                <w:lang w:eastAsia="zh-CN"/>
              </w:rPr>
              <w:t>16.素养提升建议：支持分析解读教师使用数据，提供信息化素养提升建议；支持根据各学科/设备/老师使用数据分析经验丰富的老师，并提供信息化素养提升建议；支持根据不同类型软件的使用明细分析本校常用软件，并提供软件普及、替换或拦截建议。</w:t>
            </w:r>
          </w:p>
          <w:p w14:paraId="7CE83805">
            <w:pPr>
              <w:numPr>
                <w:ilvl w:val="0"/>
                <w:numId w:val="0"/>
              </w:numPr>
              <w:ind w:left="0" w:leftChars="0" w:firstLine="0" w:firstLineChars="0"/>
              <w:rPr>
                <w:rFonts w:hint="eastAsia" w:ascii="宋体" w:hAnsi="宋体" w:eastAsia="宋体" w:cs="宋体"/>
                <w:sz w:val="24"/>
                <w:szCs w:val="24"/>
                <w:lang w:val="zh-CN" w:eastAsia="zh-CN"/>
              </w:rPr>
            </w:pPr>
            <w:r>
              <w:rPr>
                <w:rFonts w:hint="eastAsia" w:ascii="宋体" w:hAnsi="宋体" w:eastAsia="宋体" w:cs="宋体"/>
                <w:color w:val="auto"/>
                <w:kern w:val="2"/>
                <w:sz w:val="24"/>
                <w:szCs w:val="24"/>
                <w:lang w:val="en-US" w:eastAsia="zh-CN" w:bidi="ar"/>
              </w:rPr>
              <w:t>▲17.护眼及管控：支持设置在特定时间段内，使用超过自定义时长后，自动进入息屏、锁屏的模式。支持分段累积计算设备屏幕使用时长。（需提供带有CNAS或CMA标识的检测报告加盖</w:t>
            </w:r>
            <w:r>
              <w:rPr>
                <w:rFonts w:hint="eastAsia" w:ascii="宋体" w:hAnsi="宋体" w:cs="宋体"/>
                <w:b w:val="0"/>
                <w:bCs w:val="0"/>
                <w:color w:val="auto"/>
                <w:sz w:val="24"/>
                <w:szCs w:val="24"/>
                <w:lang w:eastAsia="zh-CN"/>
              </w:rPr>
              <w:t>投标人</w:t>
            </w:r>
            <w:r>
              <w:rPr>
                <w:rFonts w:hint="eastAsia" w:ascii="宋体" w:hAnsi="宋体" w:eastAsia="宋体" w:cs="宋体"/>
                <w:color w:val="auto"/>
                <w:kern w:val="2"/>
                <w:sz w:val="24"/>
                <w:szCs w:val="24"/>
                <w:lang w:val="en-US" w:eastAsia="zh-CN" w:bidi="ar"/>
              </w:rPr>
              <w:t>公章）</w:t>
            </w:r>
          </w:p>
        </w:tc>
      </w:tr>
      <w:tr w14:paraId="612B19EC">
        <w:tblPrEx>
          <w:tblCellMar>
            <w:top w:w="15" w:type="dxa"/>
            <w:left w:w="15" w:type="dxa"/>
            <w:bottom w:w="15" w:type="dxa"/>
            <w:right w:w="15" w:type="dxa"/>
          </w:tblCellMar>
        </w:tblPrEx>
        <w:trPr>
          <w:trHeight w:val="576" w:hRule="atLeast"/>
          <w:jc w:val="center"/>
        </w:trPr>
        <w:tc>
          <w:tcPr>
            <w:tcW w:w="416" w:type="pct"/>
            <w:tcBorders>
              <w:top w:val="single" w:color="auto" w:sz="4" w:space="0"/>
              <w:left w:val="single" w:color="auto" w:sz="4" w:space="0"/>
              <w:bottom w:val="single" w:color="auto" w:sz="4" w:space="0"/>
              <w:right w:val="single" w:color="auto" w:sz="4" w:space="0"/>
            </w:tcBorders>
            <w:noWrap w:val="0"/>
            <w:vAlign w:val="center"/>
          </w:tcPr>
          <w:p w14:paraId="4D29F997">
            <w:pPr>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w:t>
            </w:r>
          </w:p>
        </w:tc>
        <w:tc>
          <w:tcPr>
            <w:tcW w:w="773" w:type="pct"/>
            <w:tcBorders>
              <w:top w:val="single" w:color="auto" w:sz="4" w:space="0"/>
              <w:left w:val="single" w:color="auto" w:sz="4" w:space="0"/>
              <w:bottom w:val="single" w:color="auto" w:sz="4" w:space="0"/>
              <w:right w:val="single" w:color="auto" w:sz="4" w:space="0"/>
            </w:tcBorders>
            <w:noWrap w:val="0"/>
            <w:vAlign w:val="center"/>
          </w:tcPr>
          <w:p w14:paraId="7122EB4A">
            <w:pPr>
              <w:numPr>
                <w:ilvl w:val="0"/>
                <w:numId w:val="0"/>
              </w:numPr>
              <w:jc w:val="cente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桌面式扩音麦克风</w:t>
            </w:r>
          </w:p>
        </w:tc>
        <w:tc>
          <w:tcPr>
            <w:tcW w:w="7040" w:type="dxa"/>
            <w:tcBorders>
              <w:top w:val="single" w:color="auto" w:sz="4" w:space="0"/>
              <w:left w:val="single" w:color="auto" w:sz="4" w:space="0"/>
              <w:bottom w:val="single" w:color="auto" w:sz="4" w:space="0"/>
              <w:right w:val="single" w:color="auto" w:sz="4" w:space="0"/>
            </w:tcBorders>
            <w:noWrap w:val="0"/>
            <w:vAlign w:val="center"/>
          </w:tcPr>
          <w:p w14:paraId="7433A8E8">
            <w:pPr>
              <w:numPr>
                <w:ilvl w:val="0"/>
                <w:numId w:val="0"/>
              </w:numPr>
              <w:ind w:left="0" w:leftChars="0" w:firstLine="0" w:firstLineChars="0"/>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电容式，频率响应</w:t>
            </w:r>
            <w:r>
              <w:rPr>
                <w:rFonts w:hint="eastAsia" w:ascii="宋体" w:hAnsi="宋体" w:cs="宋体"/>
                <w:sz w:val="24"/>
                <w:szCs w:val="24"/>
                <w:lang w:val="zh-CN" w:eastAsia="zh-CN"/>
              </w:rPr>
              <w:t>≥</w:t>
            </w:r>
            <w:r>
              <w:rPr>
                <w:rFonts w:hint="eastAsia" w:ascii="宋体" w:hAnsi="宋体" w:eastAsia="宋体" w:cs="宋体"/>
                <w:sz w:val="24"/>
                <w:szCs w:val="24"/>
                <w:lang w:val="zh-CN" w:eastAsia="zh-CN"/>
              </w:rPr>
              <w:t>100Hz-16000Hz，低阻抗，单一指向，灵敏度</w:t>
            </w:r>
            <w:r>
              <w:rPr>
                <w:rFonts w:hint="eastAsia" w:ascii="宋体" w:hAnsi="宋体" w:cs="宋体"/>
                <w:sz w:val="24"/>
                <w:szCs w:val="24"/>
                <w:lang w:val="zh-CN" w:eastAsia="zh-CN"/>
              </w:rPr>
              <w:t>≥</w:t>
            </w:r>
            <w:r>
              <w:rPr>
                <w:rFonts w:hint="eastAsia" w:ascii="宋体" w:hAnsi="宋体" w:eastAsia="宋体" w:cs="宋体"/>
                <w:sz w:val="24"/>
                <w:szCs w:val="24"/>
                <w:lang w:val="zh-CN" w:eastAsia="zh-CN"/>
              </w:rPr>
              <w:t>-40dB+2dB；供电DC1.5V/3V/48V，有效拾音距离</w:t>
            </w:r>
            <w:r>
              <w:rPr>
                <w:rFonts w:hint="eastAsia" w:ascii="宋体" w:hAnsi="宋体" w:cs="宋体"/>
                <w:sz w:val="24"/>
                <w:szCs w:val="24"/>
                <w:lang w:val="zh-CN" w:eastAsia="zh-CN"/>
              </w:rPr>
              <w:t>≥</w:t>
            </w:r>
            <w:r>
              <w:rPr>
                <w:rFonts w:hint="eastAsia" w:ascii="宋体" w:hAnsi="宋体" w:eastAsia="宋体" w:cs="宋体"/>
                <w:sz w:val="24"/>
                <w:szCs w:val="24"/>
                <w:lang w:val="zh-CN" w:eastAsia="zh-CN"/>
              </w:rPr>
              <w:t>10-50cm。</w:t>
            </w:r>
          </w:p>
        </w:tc>
      </w:tr>
      <w:tr w14:paraId="35044BC4">
        <w:tblPrEx>
          <w:tblCellMar>
            <w:top w:w="15" w:type="dxa"/>
            <w:left w:w="15" w:type="dxa"/>
            <w:bottom w:w="15" w:type="dxa"/>
            <w:right w:w="15" w:type="dxa"/>
          </w:tblCellMar>
        </w:tblPrEx>
        <w:trPr>
          <w:trHeight w:val="576" w:hRule="atLeast"/>
          <w:jc w:val="center"/>
        </w:trPr>
        <w:tc>
          <w:tcPr>
            <w:tcW w:w="416" w:type="pct"/>
            <w:tcBorders>
              <w:top w:val="single" w:color="auto" w:sz="4" w:space="0"/>
              <w:left w:val="single" w:color="auto" w:sz="4" w:space="0"/>
              <w:bottom w:val="single" w:color="auto" w:sz="4" w:space="0"/>
              <w:right w:val="single" w:color="auto" w:sz="4" w:space="0"/>
            </w:tcBorders>
            <w:noWrap w:val="0"/>
            <w:vAlign w:val="center"/>
          </w:tcPr>
          <w:p w14:paraId="0A02699E">
            <w:pPr>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w:t>
            </w:r>
          </w:p>
        </w:tc>
        <w:tc>
          <w:tcPr>
            <w:tcW w:w="773" w:type="pct"/>
            <w:tcBorders>
              <w:top w:val="single" w:color="auto" w:sz="4" w:space="0"/>
              <w:left w:val="single" w:color="auto" w:sz="4" w:space="0"/>
              <w:bottom w:val="single" w:color="auto" w:sz="4" w:space="0"/>
              <w:right w:val="single" w:color="auto" w:sz="4" w:space="0"/>
            </w:tcBorders>
            <w:noWrap w:val="0"/>
            <w:vAlign w:val="center"/>
          </w:tcPr>
          <w:p w14:paraId="5F34A06F">
            <w:pPr>
              <w:numPr>
                <w:ilvl w:val="0"/>
                <w:numId w:val="0"/>
              </w:numPr>
              <w:jc w:val="cente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日夜型半球型网络摄像机</w:t>
            </w:r>
          </w:p>
        </w:tc>
        <w:tc>
          <w:tcPr>
            <w:tcW w:w="7040" w:type="dxa"/>
            <w:tcBorders>
              <w:top w:val="single" w:color="auto" w:sz="4" w:space="0"/>
              <w:left w:val="single" w:color="auto" w:sz="4" w:space="0"/>
              <w:bottom w:val="single" w:color="auto" w:sz="4" w:space="0"/>
              <w:right w:val="single" w:color="auto" w:sz="4" w:space="0"/>
            </w:tcBorders>
            <w:noWrap w:val="0"/>
            <w:vAlign w:val="center"/>
          </w:tcPr>
          <w:p w14:paraId="618B882D">
            <w:pPr>
              <w:numPr>
                <w:ilvl w:val="0"/>
                <w:numId w:val="0"/>
              </w:numP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1.支持</w:t>
            </w:r>
            <w:r>
              <w:rPr>
                <w:rFonts w:hint="eastAsia" w:ascii="宋体" w:hAnsi="宋体" w:cs="宋体"/>
                <w:sz w:val="24"/>
                <w:szCs w:val="24"/>
                <w:lang w:val="zh-CN" w:eastAsia="zh-CN"/>
              </w:rPr>
              <w:t>≥</w:t>
            </w:r>
            <w:r>
              <w:rPr>
                <w:rFonts w:hint="eastAsia" w:ascii="宋体" w:hAnsi="宋体" w:eastAsia="宋体" w:cs="宋体"/>
                <w:sz w:val="24"/>
                <w:szCs w:val="24"/>
                <w:lang w:val="zh-CN" w:eastAsia="zh-CN"/>
              </w:rPr>
              <w:t>1 TOPS算力</w:t>
            </w:r>
            <w:r>
              <w:rPr>
                <w:rFonts w:hint="eastAsia" w:ascii="宋体" w:hAnsi="宋体" w:eastAsia="宋体" w:cs="宋体"/>
                <w:b w:val="0"/>
                <w:bCs w:val="0"/>
                <w:color w:val="auto"/>
                <w:kern w:val="0"/>
                <w:sz w:val="24"/>
                <w:szCs w:val="24"/>
                <w:lang w:val="en-US" w:eastAsia="zh-CN" w:bidi="ar-SA"/>
              </w:rPr>
              <w:t>（须提供彩页及官网链接）</w:t>
            </w:r>
          </w:p>
          <w:p w14:paraId="7FD06F62">
            <w:pPr>
              <w:numPr>
                <w:ilvl w:val="0"/>
                <w:numId w:val="0"/>
              </w:numP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 xml:space="preserve">2.支持行为分析; </w:t>
            </w:r>
          </w:p>
          <w:p w14:paraId="1AB98A74">
            <w:pPr>
              <w:numPr>
                <w:ilvl w:val="0"/>
                <w:numId w:val="0"/>
              </w:numP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 xml:space="preserve">3.支持背光自适应、透雾自适应; </w:t>
            </w:r>
          </w:p>
          <w:p w14:paraId="269D11ED">
            <w:pPr>
              <w:numPr>
                <w:ilvl w:val="0"/>
                <w:numId w:val="0"/>
              </w:numP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4.采用1/3" CMOS;</w:t>
            </w:r>
            <w:r>
              <w:rPr>
                <w:rFonts w:hint="eastAsia" w:ascii="宋体" w:hAnsi="宋体" w:cs="宋体"/>
                <w:sz w:val="24"/>
                <w:szCs w:val="24"/>
                <w:lang w:val="zh-CN" w:eastAsia="zh-CN"/>
              </w:rPr>
              <w:t>≥</w:t>
            </w:r>
            <w:r>
              <w:rPr>
                <w:rFonts w:hint="eastAsia" w:ascii="宋体" w:hAnsi="宋体" w:eastAsia="宋体" w:cs="宋体"/>
                <w:sz w:val="24"/>
                <w:szCs w:val="24"/>
                <w:lang w:val="zh-CN" w:eastAsia="zh-CN"/>
              </w:rPr>
              <w:t xml:space="preserve">120db超级宽动态，强反差场景还原真实细节; </w:t>
            </w:r>
          </w:p>
          <w:p w14:paraId="6E4B2B75">
            <w:pPr>
              <w:numPr>
                <w:ilvl w:val="0"/>
                <w:numId w:val="0"/>
              </w:numP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5.支持</w:t>
            </w:r>
            <w:r>
              <w:rPr>
                <w:rFonts w:hint="eastAsia" w:ascii="宋体" w:hAnsi="宋体" w:cs="宋体"/>
                <w:sz w:val="24"/>
                <w:szCs w:val="24"/>
                <w:lang w:val="zh-CN" w:eastAsia="zh-CN"/>
              </w:rPr>
              <w:t>≥</w:t>
            </w:r>
            <w:r>
              <w:rPr>
                <w:rFonts w:hint="eastAsia" w:ascii="宋体" w:hAnsi="宋体" w:eastAsia="宋体" w:cs="宋体"/>
                <w:sz w:val="24"/>
                <w:szCs w:val="24"/>
                <w:lang w:val="zh-CN" w:eastAsia="zh-CN"/>
              </w:rPr>
              <w:t>30米红外，</w:t>
            </w:r>
            <w:r>
              <w:rPr>
                <w:rFonts w:hint="eastAsia" w:ascii="宋体" w:hAnsi="宋体" w:cs="宋体"/>
                <w:sz w:val="24"/>
                <w:szCs w:val="24"/>
                <w:lang w:val="zh-CN" w:eastAsia="zh-CN"/>
              </w:rPr>
              <w:t>≥</w:t>
            </w:r>
            <w:r>
              <w:rPr>
                <w:rFonts w:hint="eastAsia" w:ascii="宋体" w:hAnsi="宋体" w:eastAsia="宋体" w:cs="宋体"/>
                <w:sz w:val="24"/>
                <w:szCs w:val="24"/>
                <w:lang w:val="zh-CN" w:eastAsia="zh-CN"/>
              </w:rPr>
              <w:t xml:space="preserve">20米白光; </w:t>
            </w:r>
          </w:p>
          <w:p w14:paraId="17CC0A09">
            <w:pPr>
              <w:numPr>
                <w:ilvl w:val="0"/>
                <w:numId w:val="0"/>
              </w:numP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6.内置麦克风，支持拾音;</w:t>
            </w:r>
          </w:p>
          <w:p w14:paraId="5C98EE7E">
            <w:pPr>
              <w:numPr>
                <w:ilvl w:val="0"/>
                <w:numId w:val="0"/>
              </w:numPr>
              <w:rPr>
                <w:rFonts w:hint="default" w:ascii="宋体" w:hAnsi="宋体" w:eastAsia="宋体" w:cs="宋体"/>
                <w:sz w:val="24"/>
                <w:szCs w:val="24"/>
                <w:lang w:eastAsia="zh-CN"/>
              </w:rPr>
            </w:pPr>
            <w:r>
              <w:rPr>
                <w:rFonts w:hint="eastAsia" w:ascii="宋体" w:hAnsi="宋体" w:eastAsia="宋体" w:cs="宋体"/>
                <w:sz w:val="24"/>
                <w:szCs w:val="24"/>
                <w:lang w:val="zh-CN" w:eastAsia="zh-CN"/>
              </w:rPr>
              <w:t>7.支持PoE供电</w:t>
            </w:r>
            <w:r>
              <w:rPr>
                <w:rFonts w:hint="default" w:ascii="宋体" w:hAnsi="宋体" w:cs="宋体"/>
                <w:sz w:val="24"/>
                <w:szCs w:val="24"/>
                <w:lang w:eastAsia="zh-CN"/>
              </w:rPr>
              <w:t xml:space="preserve">； </w:t>
            </w:r>
          </w:p>
          <w:p w14:paraId="029DF7AF">
            <w:pPr>
              <w:numPr>
                <w:ilvl w:val="0"/>
                <w:numId w:val="0"/>
              </w:numP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8.支持超级编码;</w:t>
            </w:r>
          </w:p>
          <w:p w14:paraId="5A4DE430">
            <w:pPr>
              <w:pStyle w:val="9"/>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w:t>
            </w:r>
            <w:r>
              <w:rPr>
                <w:rFonts w:hint="eastAsia" w:ascii="宋体" w:hAnsi="宋体" w:cs="宋体"/>
                <w:sz w:val="24"/>
                <w:szCs w:val="24"/>
                <w:lang w:val="zh-CN" w:eastAsia="zh-CN"/>
              </w:rPr>
              <w:t>≥</w:t>
            </w:r>
            <w:r>
              <w:rPr>
                <w:rFonts w:hint="eastAsia" w:ascii="宋体" w:hAnsi="宋体" w:eastAsia="宋体" w:cs="宋体"/>
                <w:sz w:val="24"/>
                <w:szCs w:val="24"/>
                <w:lang w:val="en-US" w:eastAsia="zh-CN"/>
              </w:rPr>
              <w:t>400万像素。</w:t>
            </w:r>
          </w:p>
        </w:tc>
      </w:tr>
      <w:tr w14:paraId="3EF502EA">
        <w:tblPrEx>
          <w:tblCellMar>
            <w:top w:w="15" w:type="dxa"/>
            <w:left w:w="15" w:type="dxa"/>
            <w:bottom w:w="15" w:type="dxa"/>
            <w:right w:w="15" w:type="dxa"/>
          </w:tblCellMar>
        </w:tblPrEx>
        <w:trPr>
          <w:trHeight w:val="576" w:hRule="atLeast"/>
          <w:jc w:val="center"/>
        </w:trPr>
        <w:tc>
          <w:tcPr>
            <w:tcW w:w="416" w:type="pct"/>
            <w:tcBorders>
              <w:top w:val="single" w:color="auto" w:sz="4" w:space="0"/>
              <w:left w:val="single" w:color="auto" w:sz="4" w:space="0"/>
              <w:bottom w:val="single" w:color="auto" w:sz="4" w:space="0"/>
              <w:right w:val="single" w:color="auto" w:sz="4" w:space="0"/>
            </w:tcBorders>
            <w:noWrap w:val="0"/>
            <w:vAlign w:val="center"/>
          </w:tcPr>
          <w:p w14:paraId="7A50F748">
            <w:pPr>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w:t>
            </w:r>
          </w:p>
        </w:tc>
        <w:tc>
          <w:tcPr>
            <w:tcW w:w="773" w:type="pct"/>
            <w:tcBorders>
              <w:top w:val="single" w:color="auto" w:sz="4" w:space="0"/>
              <w:left w:val="single" w:color="auto" w:sz="4" w:space="0"/>
              <w:bottom w:val="single" w:color="auto" w:sz="4" w:space="0"/>
              <w:right w:val="single" w:color="auto" w:sz="4" w:space="0"/>
            </w:tcBorders>
            <w:noWrap w:val="0"/>
            <w:vAlign w:val="center"/>
          </w:tcPr>
          <w:p w14:paraId="38282603">
            <w:pPr>
              <w:numPr>
                <w:ilvl w:val="0"/>
                <w:numId w:val="0"/>
              </w:numPr>
              <w:jc w:val="cente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硬盘录像机（NVR）</w:t>
            </w:r>
          </w:p>
        </w:tc>
        <w:tc>
          <w:tcPr>
            <w:tcW w:w="7040" w:type="dxa"/>
            <w:tcBorders>
              <w:top w:val="single" w:color="auto" w:sz="4" w:space="0"/>
              <w:left w:val="single" w:color="auto" w:sz="4" w:space="0"/>
              <w:bottom w:val="single" w:color="auto" w:sz="4" w:space="0"/>
              <w:right w:val="single" w:color="auto" w:sz="4" w:space="0"/>
            </w:tcBorders>
            <w:noWrap w:val="0"/>
            <w:vAlign w:val="center"/>
          </w:tcPr>
          <w:p w14:paraId="0F755663">
            <w:pPr>
              <w:numPr>
                <w:ilvl w:val="0"/>
                <w:numId w:val="0"/>
              </w:numPr>
              <w:rPr>
                <w:rFonts w:hint="default" w:ascii="宋体" w:hAnsi="宋体" w:eastAsia="宋体" w:cs="宋体"/>
                <w:sz w:val="24"/>
                <w:szCs w:val="24"/>
                <w:lang w:eastAsia="zh-CN"/>
              </w:rPr>
            </w:pPr>
            <w:r>
              <w:rPr>
                <w:rFonts w:hint="eastAsia" w:ascii="宋体" w:hAnsi="宋体" w:eastAsia="宋体" w:cs="宋体"/>
                <w:sz w:val="24"/>
                <w:szCs w:val="24"/>
                <w:lang w:val="zh-CN" w:eastAsia="zh-CN"/>
              </w:rPr>
              <w:t>1.≥8路网络视频接入，≥64Mbps视频接入带宽</w:t>
            </w:r>
            <w:r>
              <w:rPr>
                <w:rFonts w:hint="default" w:ascii="宋体" w:hAnsi="宋体" w:cs="宋体"/>
                <w:sz w:val="24"/>
                <w:szCs w:val="24"/>
                <w:lang w:eastAsia="zh-CN"/>
              </w:rPr>
              <w:t xml:space="preserve">； </w:t>
            </w:r>
          </w:p>
          <w:p w14:paraId="4FDB0797">
            <w:pPr>
              <w:numPr>
                <w:ilvl w:val="0"/>
                <w:numId w:val="0"/>
              </w:numP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2.支持Turbo模式，且在Turbo模式下可扩展至≥12路网络视频接入，提供官网截图证明。</w:t>
            </w:r>
          </w:p>
          <w:p w14:paraId="2720F714">
            <w:pPr>
              <w:numPr>
                <w:ilvl w:val="0"/>
                <w:numId w:val="0"/>
              </w:numP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3.支持≥1个HDMI，支持</w:t>
            </w:r>
            <w:r>
              <w:rPr>
                <w:rFonts w:hint="eastAsia" w:ascii="宋体" w:hAnsi="宋体" w:cs="宋体"/>
                <w:sz w:val="24"/>
                <w:szCs w:val="24"/>
                <w:lang w:val="zh-CN" w:eastAsia="zh-CN"/>
              </w:rPr>
              <w:t>≥</w:t>
            </w:r>
            <w:r>
              <w:rPr>
                <w:rFonts w:hint="eastAsia" w:ascii="宋体" w:hAnsi="宋体" w:eastAsia="宋体" w:cs="宋体"/>
                <w:sz w:val="24"/>
                <w:szCs w:val="24"/>
                <w:lang w:val="zh-CN" w:eastAsia="zh-CN"/>
              </w:rPr>
              <w:t>1080P高清分辨率输出；</w:t>
            </w:r>
          </w:p>
          <w:p w14:paraId="19B5541E">
            <w:pPr>
              <w:numPr>
                <w:ilvl w:val="0"/>
                <w:numId w:val="0"/>
              </w:numP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4.支持在预览时间点打标签，通过在回放时打标签，快捷定位并播放重点内容；</w:t>
            </w:r>
          </w:p>
          <w:p w14:paraId="19202580">
            <w:pPr>
              <w:numPr>
                <w:ilvl w:val="0"/>
                <w:numId w:val="0"/>
              </w:numP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5.支持按时间、录像类型、标签、事件查询录像文件；</w:t>
            </w:r>
          </w:p>
          <w:p w14:paraId="4DA8C1B9">
            <w:pPr>
              <w:numPr>
                <w:ilvl w:val="0"/>
                <w:numId w:val="0"/>
              </w:numP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6.</w:t>
            </w:r>
            <w:r>
              <w:rPr>
                <w:rFonts w:hint="eastAsia" w:ascii="宋体" w:hAnsi="宋体" w:eastAsia="宋体" w:cs="宋体"/>
                <w:sz w:val="24"/>
                <w:szCs w:val="24"/>
                <w:lang w:val="en-US" w:eastAsia="zh-CN"/>
              </w:rPr>
              <w:t>可</w:t>
            </w:r>
            <w:r>
              <w:rPr>
                <w:rFonts w:hint="eastAsia" w:ascii="宋体" w:hAnsi="宋体" w:eastAsia="宋体" w:cs="宋体"/>
                <w:sz w:val="24"/>
                <w:szCs w:val="24"/>
                <w:lang w:val="zh-CN" w:eastAsia="zh-CN"/>
              </w:rPr>
              <w:t>提供云服务，支持手机APP远程访问；</w:t>
            </w:r>
          </w:p>
          <w:p w14:paraId="4389A902">
            <w:pPr>
              <w:numPr>
                <w:ilvl w:val="0"/>
                <w:numId w:val="0"/>
              </w:numP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7.支持人机本地端、Web客户端、iClient 客户端和手机APP客户端多种登录方式；</w:t>
            </w:r>
          </w:p>
          <w:p w14:paraId="1C61E048">
            <w:pPr>
              <w:numPr>
                <w:ilvl w:val="0"/>
                <w:numId w:val="0"/>
              </w:numP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8.支持录像锁定，保护重要录像在指定周期内不被覆盖；</w:t>
            </w:r>
          </w:p>
          <w:p w14:paraId="459ED34D">
            <w:pPr>
              <w:numPr>
                <w:ilvl w:val="0"/>
                <w:numId w:val="0"/>
              </w:numPr>
              <w:ind w:left="0" w:leftChars="0" w:firstLine="0" w:firstLineChars="0"/>
              <w:rPr>
                <w:rFonts w:hint="eastAsia" w:ascii="宋体" w:hAnsi="宋体" w:eastAsia="宋体" w:cs="宋体"/>
                <w:sz w:val="24"/>
                <w:szCs w:val="24"/>
                <w:lang w:val="zh-CN" w:eastAsia="zh-CN"/>
              </w:rPr>
            </w:pPr>
            <w:r>
              <w:rPr>
                <w:rFonts w:hint="default" w:ascii="宋体" w:hAnsi="宋体" w:cs="宋体"/>
                <w:sz w:val="24"/>
                <w:szCs w:val="24"/>
                <w:lang w:eastAsia="zh-CN"/>
              </w:rPr>
              <w:t>9.存储容量：</w:t>
            </w:r>
            <w:r>
              <w:rPr>
                <w:rFonts w:hint="eastAsia" w:ascii="宋体" w:hAnsi="宋体" w:eastAsia="宋体" w:cs="宋体"/>
                <w:sz w:val="24"/>
                <w:szCs w:val="24"/>
                <w:lang w:val="zh-CN" w:eastAsia="zh-CN"/>
              </w:rPr>
              <w:t>≥</w:t>
            </w:r>
            <w:r>
              <w:rPr>
                <w:rFonts w:hint="default" w:ascii="宋体" w:hAnsi="宋体" w:eastAsia="宋体" w:cs="宋体"/>
                <w:sz w:val="24"/>
                <w:szCs w:val="24"/>
                <w:lang w:eastAsia="zh-CN"/>
              </w:rPr>
              <w:t>4TB。</w:t>
            </w:r>
          </w:p>
        </w:tc>
      </w:tr>
      <w:tr w14:paraId="2A1CDE9E">
        <w:tblPrEx>
          <w:tblCellMar>
            <w:top w:w="15" w:type="dxa"/>
            <w:left w:w="15" w:type="dxa"/>
            <w:bottom w:w="15" w:type="dxa"/>
            <w:right w:w="15" w:type="dxa"/>
          </w:tblCellMar>
        </w:tblPrEx>
        <w:trPr>
          <w:trHeight w:val="576" w:hRule="atLeast"/>
          <w:jc w:val="center"/>
        </w:trPr>
        <w:tc>
          <w:tcPr>
            <w:tcW w:w="416" w:type="pct"/>
            <w:tcBorders>
              <w:top w:val="single" w:color="auto" w:sz="4" w:space="0"/>
              <w:left w:val="single" w:color="auto" w:sz="4" w:space="0"/>
              <w:bottom w:val="single" w:color="auto" w:sz="4" w:space="0"/>
              <w:right w:val="single" w:color="auto" w:sz="4" w:space="0"/>
            </w:tcBorders>
            <w:noWrap w:val="0"/>
            <w:vAlign w:val="center"/>
          </w:tcPr>
          <w:p w14:paraId="1AB884F4">
            <w:pPr>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w:t>
            </w:r>
          </w:p>
        </w:tc>
        <w:tc>
          <w:tcPr>
            <w:tcW w:w="773" w:type="pct"/>
            <w:tcBorders>
              <w:top w:val="single" w:color="auto" w:sz="4" w:space="0"/>
              <w:left w:val="single" w:color="auto" w:sz="4" w:space="0"/>
              <w:bottom w:val="single" w:color="auto" w:sz="4" w:space="0"/>
              <w:right w:val="single" w:color="auto" w:sz="4" w:space="0"/>
            </w:tcBorders>
            <w:noWrap w:val="0"/>
            <w:vAlign w:val="center"/>
          </w:tcPr>
          <w:p w14:paraId="453CB451">
            <w:pPr>
              <w:numPr>
                <w:ilvl w:val="0"/>
                <w:numId w:val="0"/>
              </w:numPr>
              <w:jc w:val="cente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监控电脑主机</w:t>
            </w:r>
          </w:p>
        </w:tc>
        <w:tc>
          <w:tcPr>
            <w:tcW w:w="7040" w:type="dxa"/>
            <w:tcBorders>
              <w:top w:val="single" w:color="auto" w:sz="4" w:space="0"/>
              <w:left w:val="single" w:color="auto" w:sz="4" w:space="0"/>
              <w:bottom w:val="single" w:color="auto" w:sz="4" w:space="0"/>
              <w:right w:val="single" w:color="auto" w:sz="4" w:space="0"/>
            </w:tcBorders>
            <w:noWrap w:val="0"/>
            <w:vAlign w:val="center"/>
          </w:tcPr>
          <w:p w14:paraId="6D415D45">
            <w:pPr>
              <w:ind w:firstLine="0" w:firstLineChars="0"/>
              <w:rPr>
                <w:rFonts w:hint="eastAsia" w:ascii="宋体" w:hAnsi="宋体" w:eastAsia="宋体" w:cs="宋体"/>
                <w:sz w:val="24"/>
                <w:szCs w:val="24"/>
                <w:lang w:val="zh-CN" w:eastAsia="zh-CN"/>
              </w:rPr>
            </w:pPr>
            <w:r>
              <w:rPr>
                <w:rFonts w:hint="default" w:ascii="宋体" w:hAnsi="宋体" w:cs="宋体"/>
                <w:sz w:val="24"/>
                <w:szCs w:val="24"/>
                <w:lang w:eastAsia="zh-CN"/>
              </w:rPr>
              <w:t>1.</w:t>
            </w:r>
            <w:r>
              <w:rPr>
                <w:rFonts w:hint="eastAsia" w:ascii="宋体" w:hAnsi="宋体" w:eastAsia="宋体" w:cs="宋体"/>
                <w:sz w:val="24"/>
                <w:szCs w:val="24"/>
                <w:lang w:val="zh-CN" w:eastAsia="zh-CN"/>
              </w:rPr>
              <w:t>CPU：</w:t>
            </w:r>
            <w:r>
              <w:rPr>
                <w:rFonts w:hint="eastAsia" w:ascii="宋体" w:hAnsi="宋体" w:eastAsia="宋体" w:cs="宋体"/>
                <w:sz w:val="24"/>
                <w:szCs w:val="24"/>
                <w:lang w:val="zh-CN"/>
              </w:rPr>
              <w:t>内核数≥</w:t>
            </w:r>
            <w:r>
              <w:rPr>
                <w:rFonts w:hint="eastAsia" w:ascii="宋体" w:hAnsi="宋体" w:eastAsia="宋体" w:cs="宋体"/>
                <w:sz w:val="24"/>
                <w:szCs w:val="24"/>
                <w:lang w:val="en-US" w:eastAsia="zh-CN"/>
              </w:rPr>
              <w:t>4</w:t>
            </w:r>
            <w:r>
              <w:rPr>
                <w:rFonts w:hint="eastAsia" w:ascii="宋体" w:hAnsi="宋体" w:eastAsia="宋体" w:cs="宋体"/>
                <w:sz w:val="24"/>
                <w:szCs w:val="24"/>
                <w:lang w:val="zh-CN"/>
              </w:rPr>
              <w:t>，</w:t>
            </w:r>
            <w:r>
              <w:rPr>
                <w:rFonts w:hint="eastAsia" w:ascii="宋体" w:hAnsi="宋体" w:eastAsia="宋体" w:cs="宋体"/>
                <w:sz w:val="24"/>
                <w:szCs w:val="24"/>
              </w:rPr>
              <w:t>总线程数</w:t>
            </w:r>
            <w:r>
              <w:rPr>
                <w:rFonts w:hint="eastAsia" w:ascii="宋体" w:hAnsi="宋体" w:eastAsia="宋体" w:cs="宋体"/>
                <w:sz w:val="24"/>
                <w:szCs w:val="24"/>
                <w:lang w:val="zh-CN"/>
              </w:rPr>
              <w:t>≥</w:t>
            </w:r>
            <w:r>
              <w:rPr>
                <w:rFonts w:hint="default" w:ascii="宋体" w:hAnsi="宋体" w:cs="宋体"/>
                <w:sz w:val="24"/>
                <w:szCs w:val="24"/>
                <w:lang w:eastAsia="zh-CN"/>
              </w:rPr>
              <w:t>4</w:t>
            </w:r>
            <w:r>
              <w:rPr>
                <w:rFonts w:hint="eastAsia" w:ascii="宋体" w:hAnsi="宋体" w:eastAsia="宋体" w:cs="宋体"/>
                <w:sz w:val="24"/>
                <w:szCs w:val="24"/>
                <w:lang w:val="zh-CN"/>
              </w:rPr>
              <w:t>，基本频率≥</w:t>
            </w:r>
            <w:r>
              <w:rPr>
                <w:rFonts w:hint="eastAsia" w:ascii="宋体" w:hAnsi="宋体" w:eastAsia="宋体" w:cs="宋体"/>
                <w:sz w:val="24"/>
                <w:szCs w:val="24"/>
                <w:lang w:val="en-US" w:eastAsia="zh-CN"/>
              </w:rPr>
              <w:t>3.3</w:t>
            </w:r>
            <w:r>
              <w:rPr>
                <w:rFonts w:hint="eastAsia" w:ascii="宋体" w:hAnsi="宋体" w:eastAsia="宋体" w:cs="宋体"/>
                <w:sz w:val="24"/>
                <w:szCs w:val="24"/>
                <w:lang w:val="zh-CN"/>
              </w:rPr>
              <w:t>GHz，最大</w:t>
            </w:r>
            <w:r>
              <w:rPr>
                <w:rFonts w:hint="eastAsia" w:ascii="宋体" w:hAnsi="宋体" w:cs="宋体"/>
                <w:sz w:val="24"/>
                <w:szCs w:val="24"/>
                <w:lang w:val="zh-CN"/>
              </w:rPr>
              <w:t>动态加速率</w:t>
            </w:r>
            <w:r>
              <w:rPr>
                <w:rFonts w:hint="eastAsia" w:ascii="宋体" w:hAnsi="宋体" w:eastAsia="宋体" w:cs="宋体"/>
                <w:sz w:val="24"/>
                <w:szCs w:val="24"/>
                <w:lang w:val="zh-CN"/>
              </w:rPr>
              <w:t>≥4.</w:t>
            </w:r>
            <w:r>
              <w:rPr>
                <w:rFonts w:hint="eastAsia" w:ascii="宋体" w:hAnsi="宋体" w:eastAsia="宋体" w:cs="宋体"/>
                <w:sz w:val="24"/>
                <w:szCs w:val="24"/>
                <w:lang w:val="en-US" w:eastAsia="zh-CN"/>
              </w:rPr>
              <w:t>3</w:t>
            </w:r>
            <w:r>
              <w:rPr>
                <w:rFonts w:hint="eastAsia" w:ascii="宋体" w:hAnsi="宋体" w:eastAsia="宋体" w:cs="宋体"/>
                <w:sz w:val="24"/>
                <w:szCs w:val="24"/>
                <w:lang w:val="zh-CN"/>
              </w:rPr>
              <w:t>GHz），缓存≥20MB（投标时需注明CPU详细型号，需提供CPU厂家官网截图证明并加盖投标人公章）</w:t>
            </w:r>
            <w:r>
              <w:rPr>
                <w:rFonts w:hint="eastAsia" w:ascii="宋体" w:hAnsi="宋体" w:eastAsia="宋体" w:cs="宋体"/>
                <w:sz w:val="24"/>
                <w:szCs w:val="24"/>
                <w:lang w:val="zh-CN" w:eastAsia="zh-CN"/>
              </w:rPr>
              <w:t>‌‌</w:t>
            </w:r>
          </w:p>
          <w:p w14:paraId="4CE1145F">
            <w:pPr>
              <w:numPr>
                <w:ilvl w:val="0"/>
                <w:numId w:val="0"/>
              </w:numPr>
              <w:rPr>
                <w:rFonts w:hint="eastAsia" w:ascii="宋体" w:hAnsi="宋体" w:eastAsia="宋体" w:cs="宋体"/>
                <w:sz w:val="24"/>
                <w:szCs w:val="24"/>
                <w:lang w:val="en-US" w:eastAsia="zh-CN"/>
              </w:rPr>
            </w:pPr>
            <w:r>
              <w:rPr>
                <w:rFonts w:hint="default" w:ascii="宋体" w:hAnsi="宋体" w:cs="宋体"/>
                <w:sz w:val="24"/>
                <w:szCs w:val="24"/>
              </w:rPr>
              <w:t>2.</w:t>
            </w:r>
            <w:r>
              <w:rPr>
                <w:rFonts w:hint="eastAsia" w:ascii="宋体" w:hAnsi="宋体" w:eastAsia="宋体" w:cs="宋体"/>
                <w:sz w:val="24"/>
                <w:szCs w:val="24"/>
                <w:lang w:val="zh-CN"/>
              </w:rPr>
              <w:t>芯片组：</w:t>
            </w:r>
            <w:r>
              <w:rPr>
                <w:rFonts w:hint="eastAsia" w:ascii="宋体" w:hAnsi="宋体" w:cs="宋体"/>
                <w:sz w:val="24"/>
                <w:szCs w:val="24"/>
                <w:lang w:val="zh-CN"/>
              </w:rPr>
              <w:t>与</w:t>
            </w:r>
            <w:r>
              <w:rPr>
                <w:rFonts w:hint="eastAsia" w:ascii="宋体" w:hAnsi="宋体" w:cs="宋体"/>
                <w:sz w:val="24"/>
                <w:szCs w:val="24"/>
                <w:lang w:val="en-US" w:eastAsia="zh-CN"/>
              </w:rPr>
              <w:t>CPU配套的芯片组</w:t>
            </w:r>
            <w:r>
              <w:rPr>
                <w:rFonts w:hint="eastAsia" w:ascii="宋体" w:hAnsi="宋体" w:eastAsia="宋体" w:cs="宋体"/>
                <w:sz w:val="24"/>
                <w:szCs w:val="24"/>
                <w:lang w:val="en-US" w:eastAsia="zh-CN"/>
              </w:rPr>
              <w:t>；</w:t>
            </w:r>
          </w:p>
          <w:p w14:paraId="4D5A0285">
            <w:pPr>
              <w:numPr>
                <w:ilvl w:val="0"/>
                <w:numId w:val="0"/>
              </w:numPr>
              <w:rPr>
                <w:rFonts w:hint="eastAsia" w:ascii="宋体" w:hAnsi="宋体" w:eastAsia="宋体" w:cs="宋体"/>
                <w:sz w:val="24"/>
                <w:szCs w:val="24"/>
                <w:lang w:val="zh-CN" w:eastAsia="zh-CN"/>
              </w:rPr>
            </w:pPr>
            <w:r>
              <w:rPr>
                <w:rFonts w:hint="default" w:ascii="宋体" w:hAnsi="宋体" w:cs="宋体"/>
                <w:sz w:val="24"/>
                <w:szCs w:val="24"/>
                <w:lang w:eastAsia="zh-CN"/>
              </w:rPr>
              <w:t>3.</w:t>
            </w:r>
            <w:r>
              <w:rPr>
                <w:rFonts w:hint="eastAsia" w:ascii="宋体" w:hAnsi="宋体" w:eastAsia="宋体" w:cs="宋体"/>
                <w:sz w:val="24"/>
                <w:szCs w:val="24"/>
                <w:lang w:val="zh-CN" w:eastAsia="zh-CN"/>
              </w:rPr>
              <w:t>内存：</w:t>
            </w:r>
            <w:r>
              <w:rPr>
                <w:rFonts w:hint="eastAsia" w:ascii="宋体" w:hAnsi="宋体" w:eastAsia="宋体" w:cs="宋体"/>
                <w:sz w:val="24"/>
                <w:szCs w:val="24"/>
                <w:lang w:val="zh-CN"/>
              </w:rPr>
              <w:t>≥</w:t>
            </w:r>
            <w:r>
              <w:rPr>
                <w:rFonts w:hint="eastAsia" w:ascii="宋体" w:hAnsi="宋体" w:eastAsia="宋体" w:cs="宋体"/>
                <w:sz w:val="24"/>
                <w:szCs w:val="24"/>
                <w:lang w:val="zh-CN" w:eastAsia="zh-CN"/>
              </w:rPr>
              <w:t>8G DDR4；</w:t>
            </w:r>
          </w:p>
          <w:p w14:paraId="39D312A6">
            <w:pPr>
              <w:numPr>
                <w:ilvl w:val="0"/>
                <w:numId w:val="0"/>
              </w:numPr>
              <w:ind w:left="0" w:leftChars="0" w:firstLine="0" w:firstLineChars="0"/>
              <w:rPr>
                <w:rFonts w:hint="eastAsia" w:ascii="宋体" w:hAnsi="宋体" w:eastAsia="宋体" w:cs="宋体"/>
                <w:sz w:val="24"/>
                <w:szCs w:val="24"/>
                <w:lang w:val="zh-CN" w:eastAsia="zh-CN"/>
              </w:rPr>
            </w:pPr>
            <w:r>
              <w:rPr>
                <w:rFonts w:hint="default" w:ascii="宋体" w:hAnsi="宋体" w:cs="宋体"/>
                <w:sz w:val="24"/>
                <w:szCs w:val="24"/>
                <w:lang w:eastAsia="zh-CN"/>
              </w:rPr>
              <w:t>4.</w:t>
            </w:r>
            <w:r>
              <w:rPr>
                <w:rFonts w:hint="eastAsia" w:ascii="宋体" w:hAnsi="宋体" w:eastAsia="宋体" w:cs="宋体"/>
                <w:sz w:val="24"/>
                <w:szCs w:val="24"/>
                <w:lang w:val="zh-CN" w:eastAsia="zh-CN"/>
              </w:rPr>
              <w:t>存储：</w:t>
            </w:r>
            <w:r>
              <w:rPr>
                <w:rFonts w:hint="eastAsia" w:ascii="宋体" w:hAnsi="宋体" w:eastAsia="宋体" w:cs="宋体"/>
                <w:sz w:val="24"/>
                <w:szCs w:val="24"/>
                <w:lang w:val="zh-CN"/>
              </w:rPr>
              <w:t>≥</w:t>
            </w:r>
            <w:r>
              <w:rPr>
                <w:rFonts w:hint="eastAsia" w:ascii="宋体" w:hAnsi="宋体" w:eastAsia="宋体" w:cs="宋体"/>
                <w:sz w:val="24"/>
                <w:szCs w:val="24"/>
                <w:lang w:val="zh-CN" w:eastAsia="zh-CN"/>
              </w:rPr>
              <w:t>512G SSD；</w:t>
            </w:r>
          </w:p>
        </w:tc>
      </w:tr>
      <w:tr w14:paraId="40AB149D">
        <w:tblPrEx>
          <w:tblCellMar>
            <w:top w:w="15" w:type="dxa"/>
            <w:left w:w="15" w:type="dxa"/>
            <w:bottom w:w="15" w:type="dxa"/>
            <w:right w:w="15" w:type="dxa"/>
          </w:tblCellMar>
        </w:tblPrEx>
        <w:trPr>
          <w:trHeight w:val="576" w:hRule="atLeast"/>
          <w:jc w:val="center"/>
        </w:trPr>
        <w:tc>
          <w:tcPr>
            <w:tcW w:w="416" w:type="pct"/>
            <w:tcBorders>
              <w:top w:val="single" w:color="auto" w:sz="4" w:space="0"/>
              <w:left w:val="single" w:color="auto" w:sz="4" w:space="0"/>
              <w:bottom w:val="single" w:color="auto" w:sz="4" w:space="0"/>
              <w:right w:val="single" w:color="auto" w:sz="4" w:space="0"/>
            </w:tcBorders>
            <w:noWrap w:val="0"/>
            <w:vAlign w:val="center"/>
          </w:tcPr>
          <w:p w14:paraId="6E04F00D">
            <w:pPr>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w:t>
            </w:r>
          </w:p>
        </w:tc>
        <w:tc>
          <w:tcPr>
            <w:tcW w:w="773" w:type="pct"/>
            <w:tcBorders>
              <w:top w:val="single" w:color="auto" w:sz="4" w:space="0"/>
              <w:left w:val="single" w:color="auto" w:sz="4" w:space="0"/>
              <w:bottom w:val="single" w:color="auto" w:sz="4" w:space="0"/>
              <w:right w:val="single" w:color="auto" w:sz="4" w:space="0"/>
            </w:tcBorders>
            <w:noWrap w:val="0"/>
            <w:vAlign w:val="center"/>
          </w:tcPr>
          <w:p w14:paraId="4B29787E">
            <w:pPr>
              <w:numPr>
                <w:ilvl w:val="0"/>
                <w:numId w:val="0"/>
              </w:numPr>
              <w:jc w:val="cente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监控电脑显示器</w:t>
            </w:r>
          </w:p>
        </w:tc>
        <w:tc>
          <w:tcPr>
            <w:tcW w:w="7040" w:type="dxa"/>
            <w:tcBorders>
              <w:top w:val="single" w:color="auto" w:sz="4" w:space="0"/>
              <w:left w:val="single" w:color="auto" w:sz="4" w:space="0"/>
              <w:bottom w:val="single" w:color="auto" w:sz="4" w:space="0"/>
              <w:right w:val="single" w:color="auto" w:sz="4" w:space="0"/>
            </w:tcBorders>
            <w:noWrap w:val="0"/>
            <w:vAlign w:val="center"/>
          </w:tcPr>
          <w:p w14:paraId="13771614">
            <w:pPr>
              <w:numPr>
                <w:ilvl w:val="0"/>
                <w:numId w:val="0"/>
              </w:numPr>
              <w:ind w:left="0" w:leftChars="0" w:firstLine="0" w:firstLineChars="0"/>
              <w:rPr>
                <w:rFonts w:hint="eastAsia" w:ascii="宋体" w:hAnsi="宋体" w:eastAsia="宋体" w:cs="宋体"/>
                <w:sz w:val="24"/>
                <w:szCs w:val="24"/>
                <w:lang w:val="zh-CN" w:eastAsia="zh-CN"/>
              </w:rPr>
            </w:pPr>
            <w:r>
              <w:rPr>
                <w:rFonts w:hint="eastAsia" w:ascii="宋体" w:hAnsi="宋体" w:eastAsia="宋体" w:cs="宋体"/>
                <w:sz w:val="24"/>
                <w:szCs w:val="24"/>
                <w:lang w:val="zh-CN"/>
              </w:rPr>
              <w:t>显示器：≥23.8英寸超窄边框LED显示器，分辨率≥1920*1080</w:t>
            </w:r>
          </w:p>
        </w:tc>
      </w:tr>
      <w:tr w14:paraId="58BEE416">
        <w:tblPrEx>
          <w:tblCellMar>
            <w:top w:w="15" w:type="dxa"/>
            <w:left w:w="15" w:type="dxa"/>
            <w:bottom w:w="15" w:type="dxa"/>
            <w:right w:w="15" w:type="dxa"/>
          </w:tblCellMar>
        </w:tblPrEx>
        <w:trPr>
          <w:trHeight w:val="90" w:hRule="atLeast"/>
          <w:jc w:val="center"/>
        </w:trPr>
        <w:tc>
          <w:tcPr>
            <w:tcW w:w="416" w:type="pct"/>
            <w:tcBorders>
              <w:top w:val="single" w:color="auto" w:sz="4" w:space="0"/>
              <w:left w:val="single" w:color="auto" w:sz="4" w:space="0"/>
              <w:bottom w:val="single" w:color="auto" w:sz="4" w:space="0"/>
              <w:right w:val="single" w:color="auto" w:sz="4" w:space="0"/>
            </w:tcBorders>
            <w:noWrap w:val="0"/>
            <w:vAlign w:val="center"/>
          </w:tcPr>
          <w:p w14:paraId="11008269">
            <w:pPr>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w:t>
            </w:r>
          </w:p>
        </w:tc>
        <w:tc>
          <w:tcPr>
            <w:tcW w:w="773" w:type="pct"/>
            <w:tcBorders>
              <w:top w:val="single" w:color="auto" w:sz="4" w:space="0"/>
              <w:left w:val="single" w:color="auto" w:sz="4" w:space="0"/>
              <w:bottom w:val="single" w:color="auto" w:sz="4" w:space="0"/>
              <w:right w:val="single" w:color="auto" w:sz="4" w:space="0"/>
            </w:tcBorders>
            <w:noWrap w:val="0"/>
            <w:vAlign w:val="center"/>
          </w:tcPr>
          <w:p w14:paraId="16847AAB">
            <w:pPr>
              <w:numPr>
                <w:ilvl w:val="0"/>
                <w:numId w:val="0"/>
              </w:numPr>
              <w:jc w:val="cente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学生凳</w:t>
            </w:r>
          </w:p>
        </w:tc>
        <w:tc>
          <w:tcPr>
            <w:tcW w:w="7040" w:type="dxa"/>
            <w:tcBorders>
              <w:top w:val="single" w:color="auto" w:sz="4" w:space="0"/>
              <w:left w:val="single" w:color="auto" w:sz="4" w:space="0"/>
              <w:bottom w:val="single" w:color="auto" w:sz="4" w:space="0"/>
              <w:right w:val="single" w:color="auto" w:sz="4" w:space="0"/>
            </w:tcBorders>
            <w:noWrap w:val="0"/>
            <w:vAlign w:val="center"/>
          </w:tcPr>
          <w:p w14:paraId="0D7E0A1E">
            <w:pPr>
              <w:numPr>
                <w:ilvl w:val="0"/>
                <w:numId w:val="0"/>
              </w:numPr>
              <w:ind w:left="0" w:leftChars="0" w:firstLine="0" w:firstLineChars="0"/>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方凳：钢木结构，凳面为</w:t>
            </w:r>
            <w:r>
              <w:rPr>
                <w:rFonts w:hint="eastAsia" w:ascii="宋体" w:hAnsi="宋体" w:cs="宋体"/>
                <w:sz w:val="24"/>
                <w:szCs w:val="24"/>
                <w:lang w:val="zh-CN" w:eastAsia="zh-CN"/>
              </w:rPr>
              <w:t>≥</w:t>
            </w:r>
            <w:r>
              <w:rPr>
                <w:rFonts w:hint="eastAsia" w:ascii="宋体" w:hAnsi="宋体" w:eastAsia="宋体" w:cs="宋体"/>
                <w:sz w:val="24"/>
                <w:szCs w:val="24"/>
                <w:lang w:val="zh-CN" w:eastAsia="zh-CN"/>
              </w:rPr>
              <w:t>25mm厚实木颗粒板；立柱为</w:t>
            </w:r>
            <w:r>
              <w:rPr>
                <w:rFonts w:hint="eastAsia" w:ascii="宋体" w:hAnsi="宋体" w:cs="宋体"/>
                <w:sz w:val="24"/>
                <w:szCs w:val="24"/>
                <w:lang w:val="zh-CN" w:eastAsia="zh-CN"/>
              </w:rPr>
              <w:t>≥</w:t>
            </w:r>
            <w:r>
              <w:rPr>
                <w:rFonts w:hint="eastAsia" w:ascii="宋体" w:hAnsi="宋体" w:eastAsia="宋体" w:cs="宋体"/>
                <w:sz w:val="24"/>
                <w:szCs w:val="24"/>
                <w:lang w:val="zh-CN" w:eastAsia="zh-CN"/>
              </w:rPr>
              <w:t>30*30*1.5mm厚，横衬为</w:t>
            </w:r>
            <w:r>
              <w:rPr>
                <w:rFonts w:hint="eastAsia" w:ascii="宋体" w:hAnsi="宋体" w:cs="宋体"/>
                <w:sz w:val="24"/>
                <w:szCs w:val="24"/>
                <w:lang w:val="zh-CN" w:eastAsia="zh-CN"/>
              </w:rPr>
              <w:t>≥</w:t>
            </w:r>
            <w:r>
              <w:rPr>
                <w:rFonts w:hint="eastAsia" w:ascii="宋体" w:hAnsi="宋体" w:eastAsia="宋体" w:cs="宋体"/>
                <w:sz w:val="24"/>
                <w:szCs w:val="24"/>
                <w:lang w:val="zh-CN" w:eastAsia="zh-CN"/>
              </w:rPr>
              <w:t>20*30*1.2mm厚冷轧钢管制作。</w:t>
            </w:r>
          </w:p>
        </w:tc>
      </w:tr>
      <w:tr w14:paraId="5BDDEB5C">
        <w:tblPrEx>
          <w:tblCellMar>
            <w:top w:w="15" w:type="dxa"/>
            <w:left w:w="15" w:type="dxa"/>
            <w:bottom w:w="15" w:type="dxa"/>
            <w:right w:w="15" w:type="dxa"/>
          </w:tblCellMar>
        </w:tblPrEx>
        <w:trPr>
          <w:trHeight w:val="576" w:hRule="atLeast"/>
          <w:jc w:val="center"/>
        </w:trPr>
        <w:tc>
          <w:tcPr>
            <w:tcW w:w="416" w:type="pct"/>
            <w:tcBorders>
              <w:top w:val="single" w:color="auto" w:sz="4" w:space="0"/>
              <w:left w:val="single" w:color="auto" w:sz="4" w:space="0"/>
              <w:bottom w:val="single" w:color="auto" w:sz="4" w:space="0"/>
              <w:right w:val="single" w:color="auto" w:sz="4" w:space="0"/>
            </w:tcBorders>
            <w:noWrap w:val="0"/>
            <w:vAlign w:val="center"/>
          </w:tcPr>
          <w:p w14:paraId="3F2C5055">
            <w:pPr>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w:t>
            </w:r>
          </w:p>
        </w:tc>
        <w:tc>
          <w:tcPr>
            <w:tcW w:w="773" w:type="pct"/>
            <w:tcBorders>
              <w:top w:val="single" w:color="auto" w:sz="4" w:space="0"/>
              <w:left w:val="single" w:color="auto" w:sz="4" w:space="0"/>
              <w:bottom w:val="single" w:color="auto" w:sz="4" w:space="0"/>
              <w:right w:val="single" w:color="auto" w:sz="4" w:space="0"/>
            </w:tcBorders>
            <w:noWrap w:val="0"/>
            <w:vAlign w:val="center"/>
          </w:tcPr>
          <w:p w14:paraId="1DFBD47B">
            <w:pPr>
              <w:numPr>
                <w:ilvl w:val="0"/>
                <w:numId w:val="0"/>
              </w:numPr>
              <w:jc w:val="center"/>
              <w:rPr>
                <w:rFonts w:hint="eastAsia" w:ascii="宋体" w:hAnsi="宋体" w:eastAsia="宋体" w:cs="宋体"/>
                <w:sz w:val="24"/>
                <w:szCs w:val="24"/>
                <w:lang w:val="zh-CN" w:eastAsia="zh-CN"/>
              </w:rPr>
            </w:pPr>
            <w:r>
              <w:rPr>
                <w:rFonts w:hint="eastAsia" w:ascii="宋体" w:hAnsi="宋体" w:cs="宋体"/>
                <w:sz w:val="24"/>
                <w:szCs w:val="24"/>
                <w:lang w:val="zh-CN" w:eastAsia="zh-CN"/>
              </w:rPr>
              <w:t>实训</w:t>
            </w:r>
            <w:r>
              <w:rPr>
                <w:rFonts w:hint="eastAsia" w:ascii="宋体" w:hAnsi="宋体" w:eastAsia="宋体" w:cs="宋体"/>
                <w:sz w:val="24"/>
                <w:szCs w:val="24"/>
                <w:lang w:val="zh-CN" w:eastAsia="zh-CN"/>
              </w:rPr>
              <w:t>椅</w:t>
            </w:r>
          </w:p>
        </w:tc>
        <w:tc>
          <w:tcPr>
            <w:tcW w:w="3810" w:type="pct"/>
            <w:tcBorders>
              <w:top w:val="single" w:color="auto" w:sz="4" w:space="0"/>
              <w:left w:val="single" w:color="auto" w:sz="4" w:space="0"/>
              <w:bottom w:val="single" w:color="auto" w:sz="4" w:space="0"/>
              <w:right w:val="single" w:color="auto" w:sz="4" w:space="0"/>
            </w:tcBorders>
            <w:noWrap w:val="0"/>
            <w:vAlign w:val="center"/>
          </w:tcPr>
          <w:p w14:paraId="5AF58A11">
            <w:pPr>
              <w:numPr>
                <w:ilvl w:val="0"/>
                <w:numId w:val="3"/>
              </w:numPr>
              <w:ind w:left="105" w:leftChars="0" w:firstLine="0" w:firstLineChars="0"/>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网布：采用高级双层弹力网；</w:t>
            </w:r>
          </w:p>
          <w:p w14:paraId="0534D465">
            <w:pPr>
              <w:numPr>
                <w:ilvl w:val="0"/>
                <w:numId w:val="3"/>
              </w:numPr>
              <w:ind w:left="105" w:leftChars="0" w:firstLine="0" w:firstLineChars="0"/>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座布：采用高级弹力网布；</w:t>
            </w:r>
          </w:p>
          <w:p w14:paraId="406D299C">
            <w:pPr>
              <w:numPr>
                <w:ilvl w:val="0"/>
                <w:numId w:val="3"/>
              </w:numPr>
              <w:ind w:left="105" w:leftChars="0" w:firstLine="0" w:firstLineChars="0"/>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背筐：采用白色PP加纤全新料，升降头枕；</w:t>
            </w:r>
          </w:p>
          <w:p w14:paraId="45A40153">
            <w:pPr>
              <w:numPr>
                <w:ilvl w:val="0"/>
                <w:numId w:val="3"/>
              </w:numPr>
              <w:ind w:left="105" w:leftChars="0" w:firstLine="0" w:firstLineChars="0"/>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海绵：采用高密度海绵；</w:t>
            </w:r>
          </w:p>
          <w:p w14:paraId="60FD29D3">
            <w:pPr>
              <w:numPr>
                <w:ilvl w:val="0"/>
                <w:numId w:val="3"/>
              </w:numPr>
              <w:ind w:left="105" w:leftChars="0" w:firstLine="0" w:firstLineChars="0"/>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木板：采用</w:t>
            </w:r>
            <w:r>
              <w:rPr>
                <w:rFonts w:hint="eastAsia" w:ascii="宋体" w:hAnsi="宋体" w:cs="宋体"/>
                <w:sz w:val="24"/>
                <w:szCs w:val="24"/>
                <w:lang w:val="zh-CN" w:eastAsia="zh-CN"/>
              </w:rPr>
              <w:t>≥</w:t>
            </w:r>
            <w:r>
              <w:rPr>
                <w:rFonts w:hint="eastAsia" w:ascii="宋体" w:hAnsi="宋体" w:eastAsia="宋体" w:cs="宋体"/>
                <w:sz w:val="24"/>
                <w:szCs w:val="24"/>
                <w:lang w:val="zh-CN" w:eastAsia="zh-CN"/>
              </w:rPr>
              <w:t>12</w:t>
            </w:r>
            <w:r>
              <w:rPr>
                <w:rFonts w:hint="eastAsia" w:ascii="宋体" w:hAnsi="宋体" w:eastAsia="宋体" w:cs="宋体"/>
                <w:sz w:val="24"/>
                <w:szCs w:val="24"/>
                <w:lang w:val="en-US" w:eastAsia="zh-CN"/>
              </w:rPr>
              <w:t>mm</w:t>
            </w:r>
            <w:r>
              <w:rPr>
                <w:rFonts w:hint="eastAsia" w:ascii="宋体" w:hAnsi="宋体" w:eastAsia="宋体" w:cs="宋体"/>
                <w:sz w:val="24"/>
                <w:szCs w:val="24"/>
                <w:lang w:val="zh-CN" w:eastAsia="zh-CN"/>
              </w:rPr>
              <w:t>的夹层板；</w:t>
            </w:r>
          </w:p>
          <w:p w14:paraId="7DA059F8">
            <w:pPr>
              <w:numPr>
                <w:ilvl w:val="0"/>
                <w:numId w:val="3"/>
              </w:numPr>
              <w:ind w:left="105" w:leftChars="0" w:firstLine="0" w:firstLineChars="0"/>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底盘：采用“国标”标准底盘；</w:t>
            </w:r>
          </w:p>
          <w:p w14:paraId="3F0BA8F2">
            <w:pPr>
              <w:pStyle w:val="8"/>
              <w:ind w:left="0" w:leftChars="0" w:firstLine="0" w:firstLineChars="0"/>
              <w:rPr>
                <w:rFonts w:hint="eastAsia" w:ascii="宋体" w:hAnsi="宋体" w:eastAsia="宋体" w:cs="宋体"/>
                <w:kern w:val="2"/>
                <w:sz w:val="24"/>
                <w:szCs w:val="24"/>
                <w:lang w:val="zh-CN" w:eastAsia="zh-CN" w:bidi="ar-SA"/>
              </w:rPr>
            </w:pPr>
            <w:r>
              <w:rPr>
                <w:rFonts w:hint="default" w:ascii="宋体" w:hAnsi="宋体" w:eastAsia="宋体" w:cs="宋体"/>
                <w:sz w:val="24"/>
                <w:szCs w:val="24"/>
                <w:lang w:eastAsia="zh-CN"/>
              </w:rPr>
              <w:t>7.</w:t>
            </w:r>
            <w:r>
              <w:rPr>
                <w:rFonts w:hint="eastAsia" w:ascii="宋体" w:hAnsi="宋体" w:eastAsia="宋体" w:cs="宋体"/>
                <w:sz w:val="24"/>
                <w:szCs w:val="24"/>
                <w:lang w:val="zh-CN" w:eastAsia="zh-CN"/>
              </w:rPr>
              <w:t>气杆：采用过</w:t>
            </w:r>
            <w:r>
              <w:rPr>
                <w:rFonts w:hint="eastAsia" w:ascii="宋体" w:hAnsi="宋体" w:eastAsia="宋体" w:cs="宋体"/>
                <w:kern w:val="2"/>
                <w:sz w:val="24"/>
                <w:szCs w:val="24"/>
                <w:lang w:val="zh-CN" w:eastAsia="zh-CN" w:bidi="ar-SA"/>
              </w:rPr>
              <w:t>SGS检测气杆</w:t>
            </w:r>
            <w:r>
              <w:rPr>
                <w:rFonts w:hint="default" w:ascii="宋体" w:hAnsi="宋体" w:eastAsia="宋体" w:cs="宋体"/>
                <w:kern w:val="2"/>
                <w:sz w:val="24"/>
                <w:szCs w:val="24"/>
                <w:lang w:val="zh-CN" w:eastAsia="zh-CN" w:bidi="ar-SA"/>
              </w:rPr>
              <w:t>（</w:t>
            </w:r>
            <w:r>
              <w:rPr>
                <w:rFonts w:hint="eastAsia" w:ascii="宋体" w:hAnsi="宋体" w:eastAsia="宋体" w:cs="宋体"/>
                <w:kern w:val="2"/>
                <w:sz w:val="24"/>
                <w:szCs w:val="24"/>
                <w:lang w:val="zh-CN" w:eastAsia="zh-CN" w:bidi="ar-SA"/>
              </w:rPr>
              <w:t>采用碳钢基体+基础涂层工艺，屈服强度≥450MPa</w:t>
            </w:r>
            <w:r>
              <w:rPr>
                <w:rFonts w:hint="default" w:ascii="宋体" w:hAnsi="宋体" w:eastAsia="宋体" w:cs="宋体"/>
                <w:kern w:val="2"/>
                <w:sz w:val="24"/>
                <w:szCs w:val="24"/>
                <w:lang w:val="zh-CN" w:eastAsia="zh-CN" w:bidi="ar-SA"/>
              </w:rPr>
              <w:t>）</w:t>
            </w:r>
            <w:r>
              <w:rPr>
                <w:rFonts w:hint="eastAsia" w:ascii="宋体" w:hAnsi="宋体" w:eastAsia="宋体" w:cs="宋体"/>
                <w:kern w:val="2"/>
                <w:sz w:val="24"/>
                <w:szCs w:val="24"/>
                <w:lang w:val="zh-CN" w:eastAsia="zh-CN" w:bidi="ar-SA"/>
              </w:rPr>
              <w:t>；</w:t>
            </w:r>
          </w:p>
          <w:p w14:paraId="539C5DAF">
            <w:pPr>
              <w:numPr>
                <w:ilvl w:val="0"/>
                <w:numId w:val="0"/>
              </w:numPr>
              <w:ind w:left="105" w:leftChars="0"/>
              <w:rPr>
                <w:rFonts w:hint="eastAsia" w:ascii="宋体" w:hAnsi="宋体" w:eastAsia="宋体" w:cs="宋体"/>
                <w:sz w:val="24"/>
                <w:szCs w:val="24"/>
                <w:lang w:val="zh-CN" w:eastAsia="zh-CN"/>
              </w:rPr>
            </w:pPr>
            <w:r>
              <w:rPr>
                <w:rFonts w:hint="default" w:ascii="宋体" w:hAnsi="宋体" w:eastAsia="宋体" w:cs="宋体"/>
                <w:sz w:val="24"/>
                <w:szCs w:val="24"/>
                <w:lang w:eastAsia="zh-CN"/>
              </w:rPr>
              <w:t>8.</w:t>
            </w:r>
            <w:r>
              <w:rPr>
                <w:rFonts w:hint="eastAsia" w:ascii="宋体" w:hAnsi="宋体" w:eastAsia="宋体" w:cs="宋体"/>
                <w:sz w:val="24"/>
                <w:szCs w:val="24"/>
                <w:lang w:val="zh-CN" w:eastAsia="zh-CN"/>
              </w:rPr>
              <w:t>脚架：采用牙尖电镀脚；</w:t>
            </w:r>
          </w:p>
          <w:p w14:paraId="20AF2D7F">
            <w:pPr>
              <w:numPr>
                <w:ilvl w:val="0"/>
                <w:numId w:val="0"/>
              </w:numPr>
              <w:ind w:left="105" w:leftChars="0"/>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9.轮子：万向静音尼龙轮。</w:t>
            </w:r>
          </w:p>
        </w:tc>
      </w:tr>
      <w:tr w14:paraId="6C6E83D6">
        <w:tblPrEx>
          <w:tblCellMar>
            <w:top w:w="15" w:type="dxa"/>
            <w:left w:w="15" w:type="dxa"/>
            <w:bottom w:w="15" w:type="dxa"/>
            <w:right w:w="15" w:type="dxa"/>
          </w:tblCellMar>
        </w:tblPrEx>
        <w:trPr>
          <w:trHeight w:val="576" w:hRule="atLeast"/>
          <w:jc w:val="center"/>
        </w:trPr>
        <w:tc>
          <w:tcPr>
            <w:tcW w:w="416" w:type="pct"/>
            <w:tcBorders>
              <w:top w:val="single" w:color="auto" w:sz="4" w:space="0"/>
              <w:left w:val="single" w:color="auto" w:sz="4" w:space="0"/>
              <w:bottom w:val="single" w:color="auto" w:sz="4" w:space="0"/>
              <w:right w:val="single" w:color="auto" w:sz="4" w:space="0"/>
            </w:tcBorders>
            <w:noWrap w:val="0"/>
            <w:vAlign w:val="center"/>
          </w:tcPr>
          <w:p w14:paraId="44CDE95C">
            <w:pPr>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19</w:t>
            </w:r>
          </w:p>
        </w:tc>
        <w:tc>
          <w:tcPr>
            <w:tcW w:w="773" w:type="pct"/>
            <w:tcBorders>
              <w:top w:val="single" w:color="auto" w:sz="4" w:space="0"/>
              <w:left w:val="single" w:color="auto" w:sz="4" w:space="0"/>
              <w:bottom w:val="single" w:color="auto" w:sz="4" w:space="0"/>
              <w:right w:val="single" w:color="auto" w:sz="4" w:space="0"/>
            </w:tcBorders>
            <w:noWrap w:val="0"/>
            <w:vAlign w:val="center"/>
          </w:tcPr>
          <w:p w14:paraId="40DBC055">
            <w:pPr>
              <w:numPr>
                <w:ilvl w:val="0"/>
                <w:numId w:val="0"/>
              </w:numPr>
              <w:jc w:val="center"/>
              <w:rPr>
                <w:rFonts w:hint="eastAsia" w:ascii="宋体" w:hAnsi="宋体" w:eastAsia="宋体" w:cs="宋体"/>
                <w:sz w:val="24"/>
                <w:szCs w:val="24"/>
                <w:lang w:val="zh-CN" w:eastAsia="zh-CN"/>
              </w:rPr>
            </w:pPr>
            <w:r>
              <w:rPr>
                <w:rFonts w:hint="eastAsia" w:ascii="宋体" w:hAnsi="宋体" w:cs="宋体"/>
                <w:sz w:val="24"/>
                <w:szCs w:val="24"/>
                <w:lang w:val="zh-CN" w:eastAsia="zh-CN"/>
              </w:rPr>
              <w:t>双工位桌</w:t>
            </w:r>
            <w:r>
              <w:rPr>
                <w:rFonts w:hint="default" w:ascii="宋体" w:hAnsi="宋体" w:cs="宋体"/>
                <w:sz w:val="24"/>
                <w:szCs w:val="24"/>
                <w:lang w:val="zh-CN" w:eastAsia="zh-CN"/>
              </w:rPr>
              <w:t>子</w:t>
            </w:r>
          </w:p>
        </w:tc>
        <w:tc>
          <w:tcPr>
            <w:tcW w:w="3810" w:type="pct"/>
            <w:tcBorders>
              <w:top w:val="single" w:color="auto" w:sz="4" w:space="0"/>
              <w:left w:val="single" w:color="auto" w:sz="4" w:space="0"/>
              <w:bottom w:val="single" w:color="auto" w:sz="4" w:space="0"/>
              <w:right w:val="single" w:color="auto" w:sz="4" w:space="0"/>
            </w:tcBorders>
            <w:noWrap w:val="0"/>
            <w:vAlign w:val="center"/>
          </w:tcPr>
          <w:p w14:paraId="7556A432">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1、尺寸：</w:t>
            </w:r>
            <w:r>
              <w:rPr>
                <w:rFonts w:hint="eastAsia" w:ascii="宋体" w:hAnsi="宋体" w:cs="宋体"/>
                <w:sz w:val="24"/>
                <w:szCs w:val="24"/>
                <w:lang w:val="zh-CN" w:eastAsia="zh-CN"/>
              </w:rPr>
              <w:t>≥</w:t>
            </w:r>
            <w:r>
              <w:rPr>
                <w:rFonts w:hint="eastAsia" w:ascii="宋体" w:hAnsi="宋体" w:eastAsia="宋体" w:cs="宋体"/>
                <w:sz w:val="24"/>
                <w:szCs w:val="24"/>
                <w:lang w:val="en-US" w:eastAsia="zh-CN"/>
              </w:rPr>
              <w:t>140</w:t>
            </w:r>
            <w:r>
              <w:rPr>
                <w:rFonts w:hint="eastAsia" w:ascii="宋体" w:hAnsi="宋体" w:eastAsia="宋体" w:cs="宋体"/>
                <w:sz w:val="24"/>
                <w:szCs w:val="24"/>
                <w:lang w:val="zh-CN" w:eastAsia="zh-CN"/>
              </w:rPr>
              <w:t>0*600*750mm</w:t>
            </w:r>
            <w:r>
              <w:rPr>
                <w:rFonts w:hint="eastAsia" w:ascii="宋体" w:hAnsi="宋体" w:eastAsia="宋体" w:cs="宋体"/>
                <w:sz w:val="24"/>
                <w:szCs w:val="24"/>
                <w:lang w:val="en-US" w:eastAsia="zh-CN"/>
              </w:rPr>
              <w:t>；</w:t>
            </w:r>
          </w:p>
          <w:p w14:paraId="3F8508AA">
            <w:pPr>
              <w:numPr>
                <w:ilvl w:val="0"/>
                <w:numId w:val="0"/>
              </w:numPr>
              <w:rPr>
                <w:rFonts w:hint="eastAsia" w:ascii="宋体" w:hAnsi="宋体" w:eastAsia="宋体" w:cs="宋体"/>
                <w:sz w:val="24"/>
                <w:szCs w:val="24"/>
                <w:lang w:val="zh-CN"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val="zh-CN" w:eastAsia="zh-CN"/>
              </w:rPr>
              <w:t>桌脚方管规格</w:t>
            </w:r>
            <w:r>
              <w:rPr>
                <w:rFonts w:hint="eastAsia" w:ascii="宋体" w:hAnsi="宋体" w:cs="宋体"/>
                <w:sz w:val="24"/>
                <w:szCs w:val="24"/>
                <w:lang w:val="zh-CN" w:eastAsia="zh-CN"/>
              </w:rPr>
              <w:t>≥</w:t>
            </w:r>
            <w:r>
              <w:rPr>
                <w:rFonts w:hint="eastAsia" w:ascii="宋体" w:hAnsi="宋体" w:eastAsia="宋体" w:cs="宋体"/>
                <w:sz w:val="24"/>
                <w:szCs w:val="24"/>
                <w:lang w:val="zh-CN" w:eastAsia="zh-CN"/>
              </w:rPr>
              <w:t>50mm*15mm,壁厚</w:t>
            </w:r>
            <w:r>
              <w:rPr>
                <w:rFonts w:hint="eastAsia" w:ascii="宋体" w:hAnsi="宋体" w:cs="宋体"/>
                <w:sz w:val="24"/>
                <w:szCs w:val="24"/>
                <w:lang w:val="zh-CN" w:eastAsia="zh-CN"/>
              </w:rPr>
              <w:t>≥</w:t>
            </w:r>
            <w:r>
              <w:rPr>
                <w:rFonts w:hint="eastAsia" w:ascii="宋体" w:hAnsi="宋体" w:eastAsia="宋体" w:cs="宋体"/>
                <w:sz w:val="24"/>
                <w:szCs w:val="24"/>
                <w:lang w:val="zh-CN" w:eastAsia="zh-CN"/>
              </w:rPr>
              <w:t>1.5mm，网板壁厚</w:t>
            </w:r>
            <w:r>
              <w:rPr>
                <w:rFonts w:hint="eastAsia" w:ascii="宋体" w:hAnsi="宋体" w:cs="宋体"/>
                <w:sz w:val="24"/>
                <w:szCs w:val="24"/>
                <w:lang w:val="zh-CN" w:eastAsia="zh-CN"/>
              </w:rPr>
              <w:t>≥</w:t>
            </w:r>
            <w:r>
              <w:rPr>
                <w:rFonts w:hint="eastAsia" w:ascii="宋体" w:hAnsi="宋体" w:eastAsia="宋体" w:cs="宋体"/>
                <w:sz w:val="24"/>
                <w:szCs w:val="24"/>
                <w:lang w:val="zh-CN" w:eastAsia="zh-CN"/>
              </w:rPr>
              <w:t>1.0mm；</w:t>
            </w:r>
          </w:p>
          <w:p w14:paraId="0DFBCB5F">
            <w:pPr>
              <w:numPr>
                <w:ilvl w:val="0"/>
                <w:numId w:val="0"/>
              </w:numPr>
              <w:rPr>
                <w:rFonts w:hint="eastAsia" w:ascii="宋体" w:hAnsi="宋体" w:eastAsia="宋体" w:cs="宋体"/>
                <w:sz w:val="24"/>
                <w:szCs w:val="24"/>
                <w:lang w:val="zh-CN"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val="zh-CN" w:eastAsia="zh-CN"/>
              </w:rPr>
              <w:t>台面：</w:t>
            </w:r>
            <w:r>
              <w:rPr>
                <w:sz w:val="24"/>
                <w:szCs w:val="24"/>
              </w:rPr>
              <w:t>厚度</w:t>
            </w:r>
            <w:r>
              <w:rPr>
                <w:rFonts w:hint="eastAsia" w:ascii="宋体" w:hAnsi="宋体" w:cs="宋体"/>
                <w:sz w:val="24"/>
                <w:szCs w:val="24"/>
                <w:lang w:val="zh-CN" w:eastAsia="zh-CN"/>
              </w:rPr>
              <w:t>≥</w:t>
            </w:r>
            <w:r>
              <w:rPr>
                <w:rFonts w:hint="eastAsia" w:ascii="宋体" w:hAnsi="宋体" w:eastAsia="宋体" w:cs="宋体"/>
                <w:sz w:val="24"/>
                <w:szCs w:val="24"/>
                <w:lang w:val="zh-CN" w:eastAsia="zh-CN"/>
              </w:rPr>
              <w:t>25mmE1优质实木颗粒板。</w:t>
            </w:r>
          </w:p>
          <w:p w14:paraId="2D022FF0">
            <w:pPr>
              <w:pStyle w:val="8"/>
              <w:ind w:left="0" w:leftChars="0" w:firstLine="0" w:firstLineChars="0"/>
              <w:rPr>
                <w:rFonts w:hint="eastAsia" w:ascii="宋体" w:hAnsi="宋体" w:eastAsia="宋体" w:cs="宋体"/>
                <w:sz w:val="24"/>
                <w:szCs w:val="24"/>
                <w:lang w:val="zh-CN"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lang w:val="zh-CN" w:eastAsia="zh-CN"/>
              </w:rPr>
              <w:t>脚套：采用优质耐磨的塑料专用脚套。表面处理采用乳化剂和碱性助洗脱脂、磷酸除锈等工艺；塑粉：选用聚酯塑粉</w:t>
            </w:r>
            <w:r>
              <w:rPr>
                <w:rFonts w:hint="eastAsia" w:ascii="宋体" w:hAnsi="宋体" w:cs="宋体"/>
                <w:sz w:val="24"/>
                <w:szCs w:val="24"/>
                <w:lang w:val="zh-CN" w:eastAsia="zh-CN"/>
              </w:rPr>
              <w:t>，</w:t>
            </w:r>
            <w:r>
              <w:rPr>
                <w:rFonts w:hint="eastAsia" w:ascii="宋体" w:hAnsi="宋体" w:eastAsia="宋体" w:cs="宋体"/>
                <w:sz w:val="24"/>
                <w:szCs w:val="24"/>
                <w:lang w:val="zh-CN" w:eastAsia="zh-CN"/>
              </w:rPr>
              <w:t>安全环保，色泽持久；生产工艺：经静电、磷化、热固性</w:t>
            </w:r>
            <w:r>
              <w:rPr>
                <w:rFonts w:hint="eastAsia" w:ascii="宋体" w:hAnsi="宋体" w:eastAsia="宋体" w:cs="宋体"/>
                <w:kern w:val="2"/>
                <w:sz w:val="24"/>
                <w:szCs w:val="24"/>
                <w:lang w:val="zh-CN" w:eastAsia="zh-CN" w:bidi="ar-SA"/>
              </w:rPr>
              <w:t>粉沫喷涂等</w:t>
            </w:r>
            <w:r>
              <w:rPr>
                <w:rFonts w:hint="default" w:ascii="宋体" w:hAnsi="宋体" w:eastAsia="宋体" w:cs="宋体"/>
                <w:kern w:val="2"/>
                <w:sz w:val="24"/>
                <w:szCs w:val="24"/>
                <w:lang w:val="zh-CN" w:eastAsia="zh-CN" w:bidi="ar-SA"/>
              </w:rPr>
              <w:t>工艺处理</w:t>
            </w:r>
            <w:r>
              <w:rPr>
                <w:rFonts w:hint="eastAsia" w:ascii="宋体" w:hAnsi="宋体" w:eastAsia="宋体" w:cs="宋体"/>
                <w:sz w:val="24"/>
                <w:szCs w:val="24"/>
                <w:lang w:val="zh-CN" w:eastAsia="zh-CN"/>
              </w:rPr>
              <w:t>处理。</w:t>
            </w:r>
          </w:p>
        </w:tc>
      </w:tr>
      <w:tr w14:paraId="7F80E286">
        <w:tblPrEx>
          <w:tblCellMar>
            <w:top w:w="15" w:type="dxa"/>
            <w:left w:w="15" w:type="dxa"/>
            <w:bottom w:w="15" w:type="dxa"/>
            <w:right w:w="15" w:type="dxa"/>
          </w:tblCellMar>
        </w:tblPrEx>
        <w:trPr>
          <w:trHeight w:val="576" w:hRule="atLeast"/>
          <w:jc w:val="center"/>
        </w:trPr>
        <w:tc>
          <w:tcPr>
            <w:tcW w:w="416" w:type="pct"/>
            <w:tcBorders>
              <w:top w:val="single" w:color="auto" w:sz="4" w:space="0"/>
              <w:left w:val="single" w:color="auto" w:sz="4" w:space="0"/>
              <w:bottom w:val="single" w:color="auto" w:sz="4" w:space="0"/>
              <w:right w:val="single" w:color="auto" w:sz="4" w:space="0"/>
            </w:tcBorders>
            <w:noWrap w:val="0"/>
            <w:vAlign w:val="center"/>
          </w:tcPr>
          <w:p w14:paraId="2118644C">
            <w:pPr>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w:t>
            </w:r>
          </w:p>
        </w:tc>
        <w:tc>
          <w:tcPr>
            <w:tcW w:w="773" w:type="pct"/>
            <w:tcBorders>
              <w:top w:val="single" w:color="auto" w:sz="4" w:space="0"/>
              <w:left w:val="single" w:color="auto" w:sz="4" w:space="0"/>
              <w:bottom w:val="single" w:color="auto" w:sz="4" w:space="0"/>
              <w:right w:val="single" w:color="auto" w:sz="4" w:space="0"/>
            </w:tcBorders>
            <w:noWrap w:val="0"/>
            <w:vAlign w:val="center"/>
          </w:tcPr>
          <w:p w14:paraId="36FC6417">
            <w:pPr>
              <w:numPr>
                <w:ilvl w:val="0"/>
                <w:numId w:val="0"/>
              </w:numPr>
              <w:jc w:val="center"/>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静电地板</w:t>
            </w:r>
          </w:p>
        </w:tc>
        <w:tc>
          <w:tcPr>
            <w:tcW w:w="3810" w:type="pct"/>
            <w:tcBorders>
              <w:top w:val="single" w:color="auto" w:sz="4" w:space="0"/>
              <w:left w:val="single" w:color="auto" w:sz="4" w:space="0"/>
              <w:bottom w:val="single" w:color="auto" w:sz="4" w:space="0"/>
              <w:right w:val="single" w:color="auto" w:sz="4" w:space="0"/>
            </w:tcBorders>
            <w:noWrap w:val="0"/>
            <w:vAlign w:val="center"/>
          </w:tcPr>
          <w:p w14:paraId="5F8131EE">
            <w:pPr>
              <w:numPr>
                <w:ilvl w:val="0"/>
                <w:numId w:val="0"/>
              </w:numPr>
              <w:rPr>
                <w:rFonts w:hint="eastAsia" w:ascii="宋体" w:hAnsi="宋体" w:eastAsia="宋体" w:cs="宋体"/>
                <w:sz w:val="24"/>
                <w:szCs w:val="24"/>
                <w:lang w:val="zh-CN" w:eastAsia="zh-CN"/>
              </w:rPr>
            </w:pPr>
            <w:r>
              <w:rPr>
                <w:rFonts w:hint="eastAsia" w:ascii="宋体" w:hAnsi="宋体" w:cs="宋体"/>
                <w:sz w:val="24"/>
                <w:szCs w:val="24"/>
                <w:lang w:val="zh-CN" w:eastAsia="zh-CN"/>
              </w:rPr>
              <w:t>≥</w:t>
            </w:r>
            <w:r>
              <w:rPr>
                <w:rFonts w:hint="eastAsia" w:ascii="宋体" w:hAnsi="宋体" w:eastAsia="宋体" w:cs="宋体"/>
                <w:sz w:val="24"/>
                <w:szCs w:val="24"/>
                <w:lang w:val="en-US" w:eastAsia="zh-CN"/>
              </w:rPr>
              <w:t>600*600*30mm</w:t>
            </w:r>
            <w:r>
              <w:rPr>
                <w:rFonts w:hint="eastAsia" w:ascii="宋体" w:hAnsi="宋体" w:eastAsia="宋体" w:cs="宋体"/>
                <w:sz w:val="24"/>
                <w:szCs w:val="24"/>
                <w:lang w:val="zh-CN" w:eastAsia="zh-CN"/>
              </w:rPr>
              <w:t>瓷砖面静电地板，含施工安装</w:t>
            </w:r>
          </w:p>
        </w:tc>
      </w:tr>
      <w:tr w14:paraId="4B459917">
        <w:tblPrEx>
          <w:tblCellMar>
            <w:top w:w="15" w:type="dxa"/>
            <w:left w:w="15" w:type="dxa"/>
            <w:bottom w:w="15" w:type="dxa"/>
            <w:right w:w="15" w:type="dxa"/>
          </w:tblCellMar>
        </w:tblPrEx>
        <w:trPr>
          <w:trHeight w:val="576" w:hRule="atLeast"/>
          <w:jc w:val="center"/>
        </w:trPr>
        <w:tc>
          <w:tcPr>
            <w:tcW w:w="416" w:type="pct"/>
            <w:tcBorders>
              <w:top w:val="single" w:color="auto" w:sz="4" w:space="0"/>
              <w:left w:val="single" w:color="auto" w:sz="4" w:space="0"/>
              <w:bottom w:val="single" w:color="auto" w:sz="4" w:space="0"/>
              <w:right w:val="single" w:color="auto" w:sz="4" w:space="0"/>
            </w:tcBorders>
            <w:noWrap w:val="0"/>
            <w:vAlign w:val="center"/>
          </w:tcPr>
          <w:p w14:paraId="3199EBD1">
            <w:pPr>
              <w:numPr>
                <w:ilvl w:val="0"/>
                <w:numId w:val="0"/>
              </w:numPr>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w:t>
            </w:r>
          </w:p>
        </w:tc>
        <w:tc>
          <w:tcPr>
            <w:tcW w:w="773" w:type="pct"/>
            <w:tcBorders>
              <w:top w:val="single" w:color="auto" w:sz="4" w:space="0"/>
              <w:left w:val="single" w:color="auto" w:sz="4" w:space="0"/>
              <w:bottom w:val="single" w:color="auto" w:sz="4" w:space="0"/>
              <w:right w:val="single" w:color="auto" w:sz="4" w:space="0"/>
            </w:tcBorders>
            <w:noWrap w:val="0"/>
            <w:vAlign w:val="center"/>
          </w:tcPr>
          <w:p w14:paraId="13EBCAB6">
            <w:pPr>
              <w:numPr>
                <w:ilvl w:val="0"/>
                <w:numId w:val="0"/>
              </w:numPr>
              <w:jc w:val="center"/>
              <w:rPr>
                <w:rFonts w:hint="eastAsia" w:ascii="宋体" w:hAnsi="宋体" w:eastAsia="宋体" w:cs="宋体"/>
                <w:sz w:val="24"/>
                <w:szCs w:val="24"/>
                <w:lang w:val="zh-CN" w:eastAsia="zh-CN"/>
              </w:rPr>
            </w:pPr>
            <w:r>
              <w:rPr>
                <w:rFonts w:hint="eastAsia" w:ascii="宋体" w:hAnsi="宋体" w:eastAsia="宋体" w:cs="宋体"/>
                <w:sz w:val="24"/>
                <w:szCs w:val="24"/>
                <w:lang w:val="en-US" w:eastAsia="zh-CN"/>
              </w:rPr>
              <w:t>实训室改造</w:t>
            </w:r>
          </w:p>
        </w:tc>
        <w:tc>
          <w:tcPr>
            <w:tcW w:w="3810" w:type="pct"/>
            <w:tcBorders>
              <w:top w:val="single" w:color="auto" w:sz="4" w:space="0"/>
              <w:left w:val="single" w:color="auto" w:sz="4" w:space="0"/>
              <w:bottom w:val="single" w:color="auto" w:sz="4" w:space="0"/>
              <w:right w:val="single" w:color="auto" w:sz="4" w:space="0"/>
            </w:tcBorders>
            <w:noWrap w:val="0"/>
            <w:vAlign w:val="center"/>
          </w:tcPr>
          <w:p w14:paraId="6FD6EC47">
            <w:pPr>
              <w:numPr>
                <w:ilvl w:val="0"/>
                <w:numId w:val="0"/>
              </w:numPr>
              <w:rPr>
                <w:rFonts w:hint="eastAsia" w:ascii="宋体" w:hAnsi="宋体" w:eastAsia="宋体" w:cs="宋体"/>
                <w:sz w:val="24"/>
                <w:szCs w:val="24"/>
                <w:lang w:val="en-US" w:eastAsia="zh-CN"/>
              </w:rPr>
            </w:pPr>
            <w:r>
              <w:rPr>
                <w:rFonts w:hint="eastAsia" w:ascii="宋体" w:hAnsi="宋体" w:eastAsia="宋体" w:cs="宋体"/>
                <w:sz w:val="24"/>
                <w:szCs w:val="24"/>
                <w:lang w:val="zh-CN" w:eastAsia="zh-CN"/>
              </w:rPr>
              <w:t>含墙面/顶面原有乳胶漆、复合地板拆除，墙面/顶面乳胶漆重新粉刷，机房文化装饰（如标语、专业文化展示等）</w:t>
            </w:r>
            <w:r>
              <w:rPr>
                <w:rFonts w:hint="eastAsia" w:ascii="宋体" w:hAnsi="宋体" w:eastAsia="宋体" w:cs="宋体"/>
                <w:sz w:val="24"/>
                <w:szCs w:val="24"/>
                <w:lang w:val="en-US" w:eastAsia="zh-CN"/>
              </w:rPr>
              <w:t>具体要求如下：</w:t>
            </w:r>
          </w:p>
          <w:p w14:paraId="74B2DCC2">
            <w:pPr>
              <w:ind w:firstLine="0" w:firstLineChars="0"/>
              <w:jc w:val="both"/>
              <w:textAlignment w:val="center"/>
              <w:rPr>
                <w:rFonts w:hint="eastAsia" w:ascii="宋体" w:hAnsi="宋体" w:eastAsia="宋体" w:cs="宋体"/>
                <w:b/>
                <w:bCs/>
                <w:kern w:val="0"/>
                <w:sz w:val="24"/>
                <w:szCs w:val="24"/>
              </w:rPr>
            </w:pPr>
            <w:r>
              <w:rPr>
                <w:rFonts w:hint="eastAsia" w:ascii="宋体" w:hAnsi="宋体" w:eastAsia="宋体" w:cs="宋体"/>
                <w:b/>
                <w:bCs/>
                <w:kern w:val="0"/>
                <w:sz w:val="24"/>
                <w:szCs w:val="24"/>
              </w:rPr>
              <w:t>包含：</w:t>
            </w:r>
          </w:p>
          <w:p w14:paraId="142C2D59">
            <w:pPr>
              <w:numPr>
                <w:ilvl w:val="0"/>
                <w:numId w:val="4"/>
              </w:numPr>
              <w:ind w:firstLine="0" w:firstLineChars="0"/>
              <w:jc w:val="both"/>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实训室</w:t>
            </w:r>
            <w:r>
              <w:rPr>
                <w:rFonts w:hint="eastAsia" w:ascii="宋体" w:hAnsi="宋体" w:eastAsia="宋体" w:cs="宋体"/>
                <w:kern w:val="0"/>
                <w:sz w:val="24"/>
                <w:szCs w:val="24"/>
              </w:rPr>
              <w:t>墙面顶面乳胶漆≥300平方</w:t>
            </w:r>
            <w:r>
              <w:rPr>
                <w:rFonts w:hint="eastAsia" w:ascii="宋体" w:hAnsi="宋体" w:eastAsia="宋体" w:cs="宋体"/>
                <w:kern w:val="0"/>
                <w:sz w:val="24"/>
                <w:szCs w:val="24"/>
                <w:lang w:eastAsia="zh-Hans"/>
              </w:rPr>
              <w:t>（抑制霉菌等级</w:t>
            </w:r>
            <w:r>
              <w:rPr>
                <w:rFonts w:hint="eastAsia" w:ascii="宋体" w:hAnsi="宋体" w:eastAsia="宋体" w:cs="宋体"/>
                <w:kern w:val="0"/>
                <w:sz w:val="24"/>
                <w:szCs w:val="24"/>
              </w:rPr>
              <w:t>≥0</w:t>
            </w:r>
            <w:r>
              <w:rPr>
                <w:rFonts w:hint="eastAsia" w:ascii="宋体" w:hAnsi="宋体" w:eastAsia="宋体" w:cs="宋体"/>
                <w:kern w:val="0"/>
                <w:sz w:val="24"/>
                <w:szCs w:val="24"/>
                <w:lang w:eastAsia="zh-Hans"/>
              </w:rPr>
              <w:t>级</w:t>
            </w:r>
            <w:r>
              <w:rPr>
                <w:rFonts w:hint="eastAsia" w:ascii="宋体" w:hAnsi="宋体" w:eastAsia="宋体" w:cs="宋体"/>
                <w:kern w:val="0"/>
                <w:sz w:val="24"/>
                <w:szCs w:val="24"/>
              </w:rPr>
              <w:t>；</w:t>
            </w:r>
            <w:r>
              <w:rPr>
                <w:rFonts w:hint="eastAsia" w:ascii="宋体" w:hAnsi="宋体" w:eastAsia="宋体" w:cs="宋体"/>
                <w:kern w:val="0"/>
                <w:sz w:val="24"/>
                <w:szCs w:val="24"/>
                <w:lang w:eastAsia="zh-Hans"/>
              </w:rPr>
              <w:t>耐洗刷性</w:t>
            </w:r>
            <w:r>
              <w:rPr>
                <w:rFonts w:hint="eastAsia" w:ascii="宋体" w:hAnsi="宋体" w:eastAsia="宋体" w:cs="宋体"/>
                <w:kern w:val="0"/>
                <w:sz w:val="24"/>
                <w:szCs w:val="24"/>
              </w:rPr>
              <w:t>≥1500</w:t>
            </w:r>
            <w:r>
              <w:rPr>
                <w:rFonts w:hint="eastAsia" w:ascii="宋体" w:hAnsi="宋体" w:eastAsia="宋体" w:cs="宋体"/>
                <w:kern w:val="0"/>
                <w:sz w:val="24"/>
                <w:szCs w:val="24"/>
                <w:lang w:eastAsia="zh-Hans"/>
              </w:rPr>
              <w:t>次不露底；符合室内空气环境检测A+标准；挥发性有机化合物VOC含量</w:t>
            </w:r>
            <w:r>
              <w:rPr>
                <w:rFonts w:hint="eastAsia" w:ascii="宋体" w:hAnsi="宋体" w:eastAsia="宋体" w:cs="宋体"/>
                <w:kern w:val="0"/>
                <w:sz w:val="24"/>
                <w:szCs w:val="24"/>
              </w:rPr>
              <w:t>≤80g/L;</w:t>
            </w:r>
            <w:r>
              <w:rPr>
                <w:rFonts w:hint="eastAsia" w:ascii="宋体" w:hAnsi="宋体" w:eastAsia="宋体" w:cs="宋体"/>
                <w:kern w:val="0"/>
                <w:sz w:val="24"/>
                <w:szCs w:val="24"/>
                <w:lang w:eastAsia="zh-Hans"/>
              </w:rPr>
              <w:t>甲醛含量</w:t>
            </w:r>
            <w:r>
              <w:rPr>
                <w:rFonts w:hint="eastAsia" w:ascii="宋体" w:hAnsi="宋体" w:eastAsia="宋体" w:cs="宋体"/>
                <w:kern w:val="0"/>
                <w:sz w:val="24"/>
                <w:szCs w:val="24"/>
              </w:rPr>
              <w:t>≤50mg/kg;)</w:t>
            </w:r>
          </w:p>
          <w:p w14:paraId="6E0C3D46">
            <w:pPr>
              <w:numPr>
                <w:ilvl w:val="0"/>
                <w:numId w:val="4"/>
              </w:numPr>
              <w:ind w:firstLine="0" w:firstLineChars="0"/>
              <w:jc w:val="both"/>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实训室复印地板约</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125平拆除及垃圾清运。</w:t>
            </w:r>
          </w:p>
          <w:p w14:paraId="5C74EBEE">
            <w:pPr>
              <w:numPr>
                <w:ilvl w:val="0"/>
                <w:numId w:val="4"/>
              </w:numPr>
              <w:ind w:firstLine="0" w:firstLineChars="0"/>
              <w:jc w:val="both"/>
              <w:textAlignment w:val="center"/>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实训室文化装饰（</w:t>
            </w:r>
            <w:r>
              <w:rPr>
                <w:rFonts w:hint="eastAsia" w:ascii="宋体" w:hAnsi="宋体" w:eastAsia="宋体" w:cs="宋体"/>
                <w:sz w:val="24"/>
                <w:szCs w:val="24"/>
                <w:lang w:val="zh-CN" w:eastAsia="zh-CN"/>
              </w:rPr>
              <w:t>如标语、专业文化展示等）</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15平方（含KT版、亚克力板）；</w:t>
            </w:r>
          </w:p>
          <w:p w14:paraId="6CE3D2D3">
            <w:pPr>
              <w:numPr>
                <w:ilvl w:val="0"/>
                <w:numId w:val="4"/>
              </w:numPr>
              <w:ind w:firstLine="0" w:firstLineChars="0"/>
              <w:jc w:val="both"/>
              <w:textAlignment w:val="center"/>
              <w:rPr>
                <w:rFonts w:hint="eastAsia" w:ascii="宋体" w:hAnsi="宋体" w:eastAsia="宋体" w:cs="宋体"/>
                <w:kern w:val="0"/>
                <w:sz w:val="24"/>
                <w:szCs w:val="24"/>
              </w:rPr>
            </w:pPr>
            <w:r>
              <w:rPr>
                <w:rFonts w:hint="eastAsia" w:ascii="宋体" w:hAnsi="宋体" w:eastAsia="宋体" w:cs="宋体"/>
                <w:kern w:val="0"/>
                <w:sz w:val="24"/>
                <w:szCs w:val="24"/>
              </w:rPr>
              <w:t>实训室窗帘约</w:t>
            </w:r>
            <w:r>
              <w:rPr>
                <w:rFonts w:hint="eastAsia" w:ascii="宋体" w:hAnsi="宋体" w:eastAsia="宋体" w:cs="宋体"/>
                <w:kern w:val="0"/>
                <w:sz w:val="24"/>
                <w:szCs w:val="24"/>
                <w:lang w:val="en-US" w:eastAsia="zh-CN"/>
              </w:rPr>
              <w:t>25</w:t>
            </w:r>
            <w:r>
              <w:rPr>
                <w:rFonts w:hint="eastAsia" w:ascii="宋体" w:hAnsi="宋体" w:eastAsia="宋体" w:cs="宋体"/>
                <w:kern w:val="0"/>
                <w:sz w:val="24"/>
                <w:szCs w:val="24"/>
              </w:rPr>
              <w:t>米(</w:t>
            </w:r>
            <w:r>
              <w:rPr>
                <w:rFonts w:hint="eastAsia" w:ascii="宋体" w:hAnsi="宋体" w:eastAsia="宋体" w:cs="宋体"/>
                <w:kern w:val="0"/>
                <w:sz w:val="24"/>
                <w:szCs w:val="24"/>
                <w:lang w:eastAsia="zh-Hans"/>
              </w:rPr>
              <w:t>类型：全遮光隔热窗帘; 材质：聚酯纤维； 遮光率</w:t>
            </w:r>
            <w:r>
              <w:rPr>
                <w:rFonts w:hint="eastAsia" w:ascii="宋体" w:hAnsi="宋体" w:eastAsia="宋体" w:cs="宋体"/>
                <w:kern w:val="0"/>
                <w:sz w:val="24"/>
                <w:szCs w:val="24"/>
              </w:rPr>
              <w:t>≥90%</w:t>
            </w:r>
            <w:r>
              <w:rPr>
                <w:rFonts w:hint="eastAsia" w:ascii="宋体" w:hAnsi="宋体" w:eastAsia="宋体" w:cs="宋体"/>
                <w:kern w:val="0"/>
                <w:sz w:val="24"/>
                <w:szCs w:val="24"/>
                <w:lang w:eastAsia="zh-Hans"/>
              </w:rPr>
              <w:t>；重量</w:t>
            </w:r>
            <w:r>
              <w:rPr>
                <w:rFonts w:hint="eastAsia" w:ascii="宋体" w:hAnsi="宋体" w:eastAsia="宋体" w:cs="宋体"/>
                <w:kern w:val="0"/>
                <w:sz w:val="24"/>
                <w:szCs w:val="24"/>
              </w:rPr>
              <w:t>≥100g/㎡</w:t>
            </w:r>
            <w:r>
              <w:rPr>
                <w:rFonts w:hint="eastAsia" w:ascii="宋体" w:hAnsi="宋体" w:eastAsia="宋体" w:cs="宋体"/>
                <w:kern w:val="0"/>
                <w:sz w:val="24"/>
                <w:szCs w:val="24"/>
                <w:lang w:eastAsia="zh-Hans"/>
              </w:rPr>
              <w:t>；配件：含罗马杆、吊环、挂钩等）</w:t>
            </w:r>
          </w:p>
          <w:p w14:paraId="16CDBF9E">
            <w:pPr>
              <w:numPr>
                <w:ilvl w:val="0"/>
                <w:numId w:val="4"/>
              </w:numPr>
              <w:ind w:firstLine="0" w:firstLineChars="0"/>
              <w:jc w:val="both"/>
              <w:textAlignment w:val="center"/>
              <w:rPr>
                <w:rFonts w:hint="eastAsia" w:ascii="宋体" w:hAnsi="宋体" w:eastAsia="宋体" w:cs="宋体"/>
                <w:sz w:val="24"/>
                <w:szCs w:val="24"/>
                <w:lang w:val="en-US" w:eastAsia="zh-CN"/>
              </w:rPr>
            </w:pPr>
            <w:r>
              <w:rPr>
                <w:rFonts w:hint="eastAsia" w:ascii="宋体" w:hAnsi="宋体" w:eastAsia="宋体" w:cs="宋体"/>
                <w:kern w:val="0"/>
                <w:sz w:val="24"/>
                <w:szCs w:val="24"/>
              </w:rPr>
              <w:t>实训室照明灯具3套</w:t>
            </w:r>
            <w:r>
              <w:rPr>
                <w:rFonts w:hint="eastAsia" w:ascii="宋体" w:hAnsi="宋体" w:eastAsia="宋体" w:cs="宋体"/>
                <w:kern w:val="0"/>
                <w:sz w:val="24"/>
                <w:szCs w:val="24"/>
                <w:lang w:eastAsia="zh-Hans"/>
              </w:rPr>
              <w:t>（类型:LED铝扣板灯；瓦数</w:t>
            </w:r>
            <w:r>
              <w:rPr>
                <w:rFonts w:hint="eastAsia" w:ascii="宋体" w:hAnsi="宋体" w:eastAsia="宋体" w:cs="宋体"/>
                <w:kern w:val="0"/>
                <w:sz w:val="24"/>
                <w:szCs w:val="24"/>
              </w:rPr>
              <w:t>≥36W</w:t>
            </w:r>
            <w:r>
              <w:rPr>
                <w:rFonts w:hint="eastAsia" w:ascii="宋体" w:hAnsi="宋体" w:eastAsia="宋体" w:cs="宋体"/>
                <w:kern w:val="0"/>
                <w:sz w:val="24"/>
                <w:szCs w:val="24"/>
                <w:lang w:eastAsia="zh-Hans"/>
              </w:rPr>
              <w:t>；光源：大功率芯片+背光透镜；光效：</w:t>
            </w:r>
            <w:r>
              <w:rPr>
                <w:rFonts w:hint="eastAsia" w:ascii="宋体" w:hAnsi="宋体" w:eastAsia="宋体" w:cs="宋体"/>
                <w:kern w:val="0"/>
                <w:sz w:val="24"/>
                <w:szCs w:val="24"/>
              </w:rPr>
              <w:t>≥5700K</w:t>
            </w:r>
            <w:r>
              <w:rPr>
                <w:rFonts w:hint="eastAsia" w:ascii="宋体" w:hAnsi="宋体" w:eastAsia="宋体" w:cs="宋体"/>
                <w:kern w:val="0"/>
                <w:sz w:val="24"/>
                <w:szCs w:val="24"/>
                <w:lang w:eastAsia="zh-Hans"/>
              </w:rPr>
              <w:t>白光；电源：高效、内置恒流驱动电源；材质：冷轧板+PC面框）</w:t>
            </w:r>
          </w:p>
        </w:tc>
      </w:tr>
    </w:tbl>
    <w:p w14:paraId="186588AE">
      <w:pPr>
        <w:numPr>
          <w:ilvl w:val="0"/>
          <w:numId w:val="0"/>
        </w:numPr>
        <w:rPr>
          <w:rFonts w:hint="default"/>
          <w:lang w:val="en-US" w:eastAsia="zh-CN"/>
        </w:rPr>
      </w:pPr>
    </w:p>
    <w:p w14:paraId="71E1D5E0">
      <w:pPr>
        <w:pStyle w:val="2"/>
        <w:ind w:left="0" w:leftChars="0" w:firstLine="301" w:firstLineChars="100"/>
        <w:rPr>
          <w:rFonts w:hint="eastAsia" w:eastAsia="宋体"/>
          <w:lang w:eastAsia="zh-CN"/>
        </w:rPr>
      </w:pPr>
      <w:r>
        <w:rPr>
          <w:rFonts w:hint="eastAsia"/>
          <w:sz w:val="30"/>
          <w:szCs w:val="30"/>
          <w:lang w:eastAsia="zh-CN"/>
        </w:rPr>
        <w:t>（四）</w:t>
      </w:r>
      <w:r>
        <w:rPr>
          <w:rFonts w:hint="eastAsia"/>
          <w:sz w:val="30"/>
          <w:szCs w:val="30"/>
        </w:rPr>
        <w:t>商务要求</w:t>
      </w:r>
    </w:p>
    <w:p w14:paraId="5ADEBB02">
      <w:pPr>
        <w:rPr>
          <w:rFonts w:hint="eastAsia"/>
          <w:sz w:val="24"/>
          <w:szCs w:val="24"/>
          <w:lang w:val="en-US" w:eastAsia="zh-CN"/>
        </w:rPr>
      </w:pPr>
      <w:r>
        <w:rPr>
          <w:rFonts w:hint="eastAsia"/>
          <w:sz w:val="24"/>
          <w:szCs w:val="24"/>
          <w:lang w:val="en-US" w:eastAsia="zh-CN"/>
        </w:rPr>
        <w:t>1.合同履行期限：合同签订后30个工作日内完成安装调试交付使用；3年原厂质保</w:t>
      </w:r>
    </w:p>
    <w:p w14:paraId="7146FAB0">
      <w:pPr>
        <w:rPr>
          <w:rFonts w:hint="eastAsia"/>
          <w:sz w:val="24"/>
          <w:szCs w:val="24"/>
          <w:lang w:val="en-US" w:eastAsia="zh-CN"/>
        </w:rPr>
      </w:pPr>
      <w:r>
        <w:rPr>
          <w:rFonts w:hint="eastAsia"/>
          <w:sz w:val="24"/>
          <w:szCs w:val="24"/>
          <w:lang w:val="en-US" w:eastAsia="zh-CN"/>
        </w:rPr>
        <w:t>2.报价要求：投标人的报价应包含为完成本招标文件提出的货物或服务等全部相关工作所有可能发生的费用，即投标总报价为“交钥匙”价。对在合同实施过程中可能发生的其他费用，采购人概不负责。对本文件未列明，而投标人认为必需的费用也需列入投标总报价。在合同实施时，采购人将不予支付中标人没有列入的项目费用，并认为此项目的费用已包含在投标总报价中。</w:t>
      </w:r>
    </w:p>
    <w:p w14:paraId="724317A6">
      <w:pPr>
        <w:rPr>
          <w:rFonts w:hint="eastAsia"/>
          <w:sz w:val="24"/>
          <w:szCs w:val="24"/>
          <w:lang w:val="en-US" w:eastAsia="zh-CN"/>
        </w:rPr>
      </w:pPr>
      <w:r>
        <w:rPr>
          <w:rFonts w:hint="eastAsia"/>
          <w:sz w:val="24"/>
          <w:szCs w:val="24"/>
          <w:lang w:val="en-US" w:eastAsia="zh-CN"/>
        </w:rPr>
        <w:t>3.付款要求：甲方收到货物且安装调试验收合格，乙方按照甲方的需要完成技术培训后，甲方收到乙方开具本项目合同全额增值税发票，按合同金额100%办理支付。乙方未及时提供增值税发票的，甲方有权延迟付款。</w:t>
      </w:r>
    </w:p>
    <w:p w14:paraId="4F28D015">
      <w:pPr>
        <w:rPr>
          <w:rFonts w:hint="eastAsia"/>
          <w:sz w:val="24"/>
          <w:szCs w:val="24"/>
          <w:lang w:val="en-US" w:eastAsia="zh-CN"/>
        </w:rPr>
      </w:pPr>
      <w:r>
        <w:rPr>
          <w:rFonts w:hint="eastAsia"/>
          <w:sz w:val="24"/>
          <w:szCs w:val="24"/>
          <w:lang w:val="en-US" w:eastAsia="zh-CN"/>
        </w:rPr>
        <w:t>4.服务要求：</w:t>
      </w:r>
    </w:p>
    <w:p w14:paraId="57FCFC41">
      <w:pPr>
        <w:numPr>
          <w:ilvl w:val="0"/>
          <w:numId w:val="0"/>
        </w:numPr>
        <w:ind w:leftChars="200"/>
        <w:rPr>
          <w:rFonts w:hint="default" w:cs="Times New Roman"/>
          <w:sz w:val="24"/>
          <w:szCs w:val="24"/>
          <w:lang w:val="zh-CN" w:eastAsia="zh-CN"/>
        </w:rPr>
      </w:pPr>
      <w:r>
        <w:rPr>
          <w:rFonts w:hint="eastAsia" w:cs="Times New Roman"/>
          <w:sz w:val="24"/>
          <w:szCs w:val="24"/>
          <w:lang w:val="zh-CN" w:eastAsia="zh-CN"/>
        </w:rPr>
        <w:t>（</w:t>
      </w:r>
      <w:r>
        <w:rPr>
          <w:rFonts w:hint="eastAsia" w:cs="Times New Roman"/>
          <w:sz w:val="24"/>
          <w:szCs w:val="24"/>
          <w:lang w:val="en-US" w:eastAsia="zh-CN"/>
        </w:rPr>
        <w:t>1</w:t>
      </w:r>
      <w:r>
        <w:rPr>
          <w:rFonts w:hint="eastAsia" w:cs="Times New Roman"/>
          <w:sz w:val="24"/>
          <w:szCs w:val="24"/>
          <w:lang w:val="zh-CN" w:eastAsia="zh-CN"/>
        </w:rPr>
        <w:t>）服务标准：</w:t>
      </w:r>
      <w:r>
        <w:rPr>
          <w:rFonts w:hint="default" w:cs="Times New Roman"/>
          <w:sz w:val="24"/>
          <w:szCs w:val="24"/>
          <w:lang w:val="zh-CN" w:eastAsia="zh-CN"/>
        </w:rPr>
        <w:t>对采购标的培训、维护技术等售后服务</w:t>
      </w:r>
      <w:r>
        <w:rPr>
          <w:rFonts w:hint="default" w:cs="Times New Roman"/>
          <w:color w:val="auto"/>
          <w:sz w:val="24"/>
          <w:szCs w:val="24"/>
          <w:lang w:val="zh-CN" w:eastAsia="zh-CN"/>
        </w:rPr>
        <w:t>的要求。提供不低于5人次的系统操作培训，</w:t>
      </w:r>
      <w:r>
        <w:rPr>
          <w:rFonts w:hint="default" w:cs="Times New Roman"/>
          <w:sz w:val="24"/>
          <w:szCs w:val="24"/>
          <w:lang w:val="zh-CN" w:eastAsia="zh-CN"/>
        </w:rPr>
        <w:t>要求培训学时不低于18学时，参培人员能够熟练使用所购置设备向学生操作示范，培训合格后由乙方颁发培训结业证书；</w:t>
      </w:r>
    </w:p>
    <w:p w14:paraId="5F430623">
      <w:pPr>
        <w:numPr>
          <w:ilvl w:val="0"/>
          <w:numId w:val="0"/>
        </w:numPr>
        <w:ind w:leftChars="200"/>
        <w:rPr>
          <w:rFonts w:hint="eastAsia" w:cs="Times New Roman"/>
          <w:sz w:val="24"/>
          <w:szCs w:val="24"/>
          <w:lang w:val="zh-CN" w:eastAsia="zh-CN"/>
        </w:rPr>
      </w:pPr>
      <w:r>
        <w:rPr>
          <w:rFonts w:hint="eastAsia" w:cs="Times New Roman"/>
          <w:sz w:val="24"/>
          <w:szCs w:val="24"/>
          <w:lang w:val="zh-CN" w:eastAsia="zh-CN"/>
        </w:rPr>
        <w:t>（</w:t>
      </w:r>
      <w:r>
        <w:rPr>
          <w:rFonts w:hint="eastAsia" w:cs="Times New Roman"/>
          <w:sz w:val="24"/>
          <w:szCs w:val="24"/>
          <w:lang w:val="en-US" w:eastAsia="zh-CN"/>
        </w:rPr>
        <w:t>2</w:t>
      </w:r>
      <w:r>
        <w:rPr>
          <w:rFonts w:hint="eastAsia" w:cs="Times New Roman"/>
          <w:sz w:val="24"/>
          <w:szCs w:val="24"/>
          <w:lang w:val="zh-CN" w:eastAsia="zh-CN"/>
        </w:rPr>
        <w:t>）服务效率：对采购标的服务响应时间的要求。维护响应时间≤2小时，到场维修时间≤24小时。在武汉有售后服务中心，质保期内定期对设备检查、维修及保养。</w:t>
      </w:r>
    </w:p>
    <w:p w14:paraId="77E0FD6E">
      <w:pPr>
        <w:widowControl w:val="0"/>
        <w:spacing w:line="240" w:lineRule="auto"/>
        <w:ind w:firstLine="240" w:firstLineChars="100"/>
        <w:jc w:val="both"/>
        <w:rPr>
          <w:rFonts w:hint="eastAsia" w:ascii="宋体" w:hAnsi="宋体" w:cs="宋体"/>
          <w:sz w:val="24"/>
          <w:szCs w:val="24"/>
          <w:lang w:val="en-US" w:eastAsia="zh-CN"/>
        </w:rPr>
      </w:pPr>
      <w:r>
        <w:rPr>
          <w:rFonts w:hint="eastAsia" w:cs="Times New Roman"/>
          <w:sz w:val="24"/>
          <w:szCs w:val="24"/>
          <w:lang w:val="en-US" w:eastAsia="zh-CN"/>
        </w:rPr>
        <w:t>5.</w:t>
      </w:r>
      <w:r>
        <w:rPr>
          <w:rFonts w:hint="eastAsia" w:ascii="宋体" w:hAnsi="宋体" w:cs="宋体"/>
          <w:sz w:val="24"/>
          <w:szCs w:val="24"/>
          <w:lang w:val="en-US" w:eastAsia="zh-CN"/>
        </w:rPr>
        <w:t>制造商实力：</w:t>
      </w:r>
    </w:p>
    <w:p w14:paraId="049BDB59">
      <w:pPr>
        <w:rPr>
          <w:rFonts w:hint="eastAsia" w:cs="Times New Roman"/>
          <w:sz w:val="24"/>
          <w:szCs w:val="24"/>
          <w:lang w:val="en-US" w:eastAsia="zh-CN"/>
        </w:rPr>
      </w:pPr>
      <w:r>
        <w:rPr>
          <w:rFonts w:hint="eastAsia" w:cs="Times New Roman"/>
          <w:sz w:val="24"/>
          <w:szCs w:val="24"/>
          <w:lang w:val="en-US" w:eastAsia="zh-CN"/>
        </w:rPr>
        <w:t>（1）所投核心产品（实训计算机）制造商获得国家信息安全测评信息安全服务资质证书</w:t>
      </w:r>
    </w:p>
    <w:p w14:paraId="5D36DF2C">
      <w:pPr>
        <w:rPr>
          <w:rFonts w:hint="eastAsia" w:cs="Times New Roman"/>
          <w:sz w:val="24"/>
          <w:szCs w:val="24"/>
          <w:lang w:val="en-US" w:eastAsia="zh-CN"/>
        </w:rPr>
      </w:pPr>
      <w:r>
        <w:rPr>
          <w:rFonts w:hint="eastAsia" w:cs="Times New Roman"/>
          <w:sz w:val="24"/>
          <w:szCs w:val="24"/>
          <w:lang w:val="en-US" w:eastAsia="zh-CN"/>
        </w:rPr>
        <w:t>（2）投标人所投核心产品（实训计算机）制造厂商服务体系获得国家信息安全服务资质证</w:t>
      </w:r>
    </w:p>
    <w:p w14:paraId="2F9CEB38">
      <w:pPr>
        <w:rPr>
          <w:rFonts w:hint="eastAsia" w:cs="Times New Roman"/>
          <w:sz w:val="24"/>
          <w:szCs w:val="24"/>
          <w:lang w:val="en-US" w:eastAsia="zh-CN"/>
        </w:rPr>
      </w:pPr>
      <w:r>
        <w:rPr>
          <w:rFonts w:hint="eastAsia" w:cs="Times New Roman"/>
          <w:sz w:val="24"/>
          <w:szCs w:val="24"/>
          <w:lang w:val="en-US" w:eastAsia="zh-CN"/>
        </w:rPr>
        <w:t>（3）所投核心产品（实训计算机）制造商获得工业和信息化部《工业产品绿色设计示范企业》</w:t>
      </w:r>
    </w:p>
    <w:p w14:paraId="2E75DE87">
      <w:pPr>
        <w:rPr>
          <w:rFonts w:hint="eastAsia" w:cs="Times New Roman"/>
          <w:sz w:val="24"/>
          <w:szCs w:val="24"/>
          <w:lang w:val="en-US" w:eastAsia="zh-CN"/>
        </w:rPr>
      </w:pPr>
      <w:r>
        <w:rPr>
          <w:rFonts w:hint="eastAsia" w:cs="Times New Roman"/>
          <w:sz w:val="24"/>
          <w:szCs w:val="24"/>
          <w:lang w:val="en-US" w:eastAsia="zh-CN"/>
        </w:rPr>
        <w:t>（4）所投智慧黑板产品</w:t>
      </w:r>
      <w:r>
        <w:rPr>
          <w:rFonts w:hint="eastAsia" w:cs="Times New Roman"/>
          <w:sz w:val="24"/>
          <w:szCs w:val="24"/>
          <w:lang w:val="en-US" w:eastAsia="zh-Hans"/>
        </w:rPr>
        <w:t>制造商</w:t>
      </w:r>
      <w:r>
        <w:rPr>
          <w:rFonts w:hint="eastAsia" w:cs="Times New Roman"/>
          <w:sz w:val="24"/>
          <w:szCs w:val="24"/>
          <w:lang w:val="en-US" w:eastAsia="zh-CN"/>
        </w:rPr>
        <w:t>具有由国家认证认可监督管理委员会认证机构颁发有效的认证证书：1、低碳体系；2、IECQ有害物质体系</w:t>
      </w:r>
    </w:p>
    <w:p w14:paraId="73358D63">
      <w:pPr>
        <w:rPr>
          <w:rFonts w:hint="eastAsia" w:cs="Times New Roman"/>
          <w:sz w:val="24"/>
          <w:szCs w:val="24"/>
          <w:lang w:val="en-US" w:eastAsia="zh-CN"/>
        </w:rPr>
      </w:pPr>
      <w:r>
        <w:rPr>
          <w:rFonts w:hint="eastAsia" w:cs="Times New Roman"/>
          <w:sz w:val="24"/>
          <w:szCs w:val="24"/>
          <w:lang w:val="en-US" w:eastAsia="zh-CN"/>
        </w:rPr>
        <w:t>（5）为确保师生教学数据隐私安全管理，要求所投集中控制管理平台制造商具有由国家认证认可监督管理委员会认证机构颁发有效的认证证书：1、云服务信息安全管理体系；2、隐私信息管理体系</w:t>
      </w:r>
    </w:p>
    <w:p w14:paraId="0672518C">
      <w:pPr>
        <w:rPr>
          <w:rFonts w:hint="eastAsia" w:cs="Times New Roman"/>
          <w:sz w:val="24"/>
          <w:szCs w:val="24"/>
          <w:lang w:val="en-US" w:eastAsia="zh-CN"/>
        </w:rPr>
      </w:pPr>
      <w:r>
        <w:rPr>
          <w:rFonts w:hint="eastAsia" w:cs="Times New Roman"/>
          <w:sz w:val="24"/>
          <w:szCs w:val="24"/>
          <w:lang w:val="en-US" w:eastAsia="zh-CN"/>
        </w:rPr>
        <w:t>（6）所投智慧黑板教学软件制造商具有一定的数据管理能力，须通过DCMM（数据管理能力）认证</w:t>
      </w:r>
    </w:p>
    <w:p w14:paraId="13B61AEC">
      <w:pPr>
        <w:rPr>
          <w:rFonts w:hint="eastAsia" w:cs="Times New Roman"/>
          <w:sz w:val="24"/>
          <w:szCs w:val="24"/>
          <w:lang w:val="en-US" w:eastAsia="zh-CN"/>
        </w:rPr>
      </w:pPr>
      <w:r>
        <w:rPr>
          <w:rFonts w:hint="eastAsia" w:cs="Times New Roman"/>
          <w:sz w:val="24"/>
          <w:szCs w:val="24"/>
          <w:lang w:val="en-US" w:eastAsia="zh-CN"/>
        </w:rPr>
        <w:t>6.所投核心产品（实训计算机）整机通过盐雾试验及腐蚀试验评级试验；</w:t>
      </w:r>
    </w:p>
    <w:p w14:paraId="1762CC11">
      <w:pPr>
        <w:rPr>
          <w:rFonts w:hint="eastAsia" w:cs="Times New Roman"/>
          <w:sz w:val="24"/>
          <w:szCs w:val="24"/>
          <w:lang w:val="en-US" w:eastAsia="zh-CN"/>
        </w:rPr>
      </w:pPr>
      <w:r>
        <w:rPr>
          <w:rFonts w:hint="eastAsia" w:cs="Times New Roman"/>
          <w:sz w:val="24"/>
          <w:szCs w:val="24"/>
          <w:lang w:val="en-US" w:eastAsia="zh-CN"/>
        </w:rPr>
        <w:t>7.所投核心产品（实训计算机）</w:t>
      </w:r>
      <w:r>
        <w:rPr>
          <w:rFonts w:hint="default" w:cs="Times New Roman"/>
          <w:sz w:val="24"/>
          <w:szCs w:val="24"/>
          <w:lang w:val="en-US" w:eastAsia="zh-CN"/>
        </w:rPr>
        <w:t>制造商实验室具备有效CNAS实验室认可证书</w:t>
      </w:r>
      <w:r>
        <w:rPr>
          <w:rFonts w:hint="eastAsia" w:cs="Times New Roman"/>
          <w:sz w:val="24"/>
          <w:szCs w:val="24"/>
          <w:lang w:val="en-US" w:eastAsia="zh-CN"/>
        </w:rPr>
        <w:t>；</w:t>
      </w:r>
    </w:p>
    <w:p w14:paraId="5A2C7520">
      <w:pPr>
        <w:rPr>
          <w:rFonts w:hint="eastAsia" w:cs="Times New Roman"/>
          <w:sz w:val="24"/>
          <w:szCs w:val="24"/>
          <w:lang w:val="en-US" w:eastAsia="zh-CN"/>
        </w:rPr>
      </w:pPr>
      <w:r>
        <w:rPr>
          <w:rFonts w:hint="eastAsia" w:cs="Times New Roman"/>
          <w:sz w:val="24"/>
          <w:szCs w:val="24"/>
          <w:lang w:val="en-US" w:eastAsia="zh-CN"/>
        </w:rPr>
        <w:t>8.供应商需提供项目服务方案，包括但不限于：项目服务标准；项目实施的各个阶段详细计划；项目实施过程中的管理及保障措施；项目质量管理</w:t>
      </w:r>
    </w:p>
    <w:p w14:paraId="5AB57553">
      <w:pPr>
        <w:rPr>
          <w:rFonts w:hint="eastAsia" w:cs="Times New Roman"/>
          <w:sz w:val="24"/>
          <w:szCs w:val="24"/>
          <w:lang w:val="en-US" w:eastAsia="zh-CN"/>
        </w:rPr>
      </w:pPr>
      <w:r>
        <w:rPr>
          <w:rFonts w:hint="eastAsia" w:cs="Times New Roman"/>
          <w:sz w:val="24"/>
          <w:szCs w:val="24"/>
          <w:lang w:val="en-US" w:eastAsia="zh-CN"/>
        </w:rPr>
        <w:t>9.供应商需提供项目培训方案，包括但不限于：培训时间计划；培训课程；培训人员安排；培训成果验收</w:t>
      </w:r>
    </w:p>
    <w:p w14:paraId="5AD7F77D">
      <w:pPr>
        <w:rPr>
          <w:rFonts w:hint="eastAsia" w:cs="Times New Roman"/>
          <w:sz w:val="24"/>
          <w:szCs w:val="24"/>
          <w:lang w:val="en-US" w:eastAsia="zh-CN"/>
        </w:rPr>
      </w:pPr>
      <w:r>
        <w:rPr>
          <w:rFonts w:hint="eastAsia" w:cs="Times New Roman"/>
          <w:sz w:val="24"/>
          <w:szCs w:val="24"/>
          <w:lang w:val="en-US" w:eastAsia="zh-CN"/>
        </w:rPr>
        <w:t>10.供应商需提供售后及运维方案，包括但不限于：售后服务体系、售后响应时间；运维服务方案。</w:t>
      </w:r>
    </w:p>
    <w:p w14:paraId="61A67F5B">
      <w:pPr>
        <w:rPr>
          <w:rFonts w:hint="default" w:cs="Times New Roman"/>
          <w:sz w:val="24"/>
          <w:szCs w:val="24"/>
          <w:lang w:val="en-US" w:eastAsia="zh-CN"/>
        </w:rPr>
      </w:pPr>
      <w:r>
        <w:rPr>
          <w:rFonts w:hint="eastAsia" w:cs="Times New Roman"/>
          <w:sz w:val="24"/>
          <w:szCs w:val="24"/>
          <w:lang w:val="en-US" w:eastAsia="zh-CN"/>
        </w:rPr>
        <w:t>11.供应商需提供项目应急方案，包括但不限于：突发状况应急保障措施；系统故障预警实施方案。</w:t>
      </w:r>
    </w:p>
    <w:p w14:paraId="0ED773BF">
      <w:pPr>
        <w:rPr>
          <w:rFonts w:hint="eastAsia"/>
        </w:rPr>
      </w:pPr>
      <w:r>
        <w:rPr>
          <w:rFonts w:hint="eastAsia"/>
        </w:rPr>
        <w:br w:type="page"/>
      </w:r>
    </w:p>
    <w:p w14:paraId="5BE56EB2">
      <w:pPr>
        <w:pStyle w:val="3"/>
        <w:ind w:firstLine="0" w:firstLineChars="0"/>
        <w:jc w:val="center"/>
      </w:pPr>
      <w:r>
        <w:rPr>
          <w:rFonts w:hint="eastAsia"/>
        </w:rPr>
        <w:t>第三部分评标方法及评分标准</w:t>
      </w:r>
      <w:bookmarkEnd w:id="13"/>
      <w:bookmarkEnd w:id="14"/>
    </w:p>
    <w:p w14:paraId="308E43B8">
      <w:pPr>
        <w:pStyle w:val="2"/>
        <w:spacing w:line="560" w:lineRule="exact"/>
        <w:ind w:firstLine="602"/>
        <w:rPr>
          <w:sz w:val="30"/>
          <w:szCs w:val="30"/>
        </w:rPr>
      </w:pPr>
      <w:bookmarkStart w:id="15" w:name="_Toc10998"/>
      <w:bookmarkStart w:id="16" w:name="_Toc1458938"/>
      <w:r>
        <w:rPr>
          <w:rFonts w:hint="eastAsia"/>
          <w:sz w:val="30"/>
          <w:szCs w:val="30"/>
        </w:rPr>
        <w:t>一、评标方法</w:t>
      </w:r>
      <w:bookmarkEnd w:id="15"/>
      <w:bookmarkEnd w:id="16"/>
    </w:p>
    <w:p w14:paraId="721FF23F">
      <w:pPr>
        <w:spacing w:line="560" w:lineRule="exact"/>
        <w:ind w:firstLine="480"/>
        <w:rPr>
          <w:rFonts w:ascii="宋体" w:hAnsi="宋体"/>
          <w:sz w:val="24"/>
          <w:szCs w:val="20"/>
          <w:lang w:val="zh-CN"/>
        </w:rPr>
      </w:pPr>
      <w:r>
        <w:rPr>
          <w:rFonts w:hint="eastAsia" w:ascii="宋体" w:hAnsi="宋体"/>
          <w:sz w:val="24"/>
          <w:szCs w:val="20"/>
          <w:lang w:val="zh-CN"/>
        </w:rPr>
        <w:t>本项目评标采用</w:t>
      </w:r>
      <w:r>
        <w:rPr>
          <w:rFonts w:hint="eastAsia" w:ascii="宋体" w:hAnsi="宋体"/>
          <w:b/>
          <w:sz w:val="24"/>
          <w:szCs w:val="20"/>
          <w:lang w:val="zh-CN"/>
        </w:rPr>
        <w:t>综合评分法</w:t>
      </w:r>
      <w:r>
        <w:rPr>
          <w:rFonts w:hint="eastAsia" w:ascii="宋体" w:hAnsi="宋体"/>
          <w:sz w:val="24"/>
          <w:szCs w:val="20"/>
          <w:lang w:val="zh-CN"/>
        </w:rPr>
        <w:t>。综合评分法</w:t>
      </w:r>
      <w:r>
        <w:rPr>
          <w:rFonts w:ascii="宋体" w:hAnsi="宋体"/>
          <w:sz w:val="24"/>
          <w:szCs w:val="20"/>
          <w:lang w:val="zh-CN"/>
        </w:rPr>
        <w:t>是指投标文件满足招标文件全部实质性要求，且按照评审因素的量化指标评审得分最高的投标人为中标候选人的评标方法。</w:t>
      </w:r>
    </w:p>
    <w:p w14:paraId="18839051">
      <w:pPr>
        <w:pStyle w:val="2"/>
        <w:spacing w:line="560" w:lineRule="exact"/>
        <w:ind w:firstLine="602"/>
        <w:rPr>
          <w:rFonts w:hint="eastAsia"/>
          <w:sz w:val="30"/>
          <w:szCs w:val="30"/>
        </w:rPr>
      </w:pPr>
      <w:bookmarkStart w:id="17" w:name="_Toc35"/>
      <w:r>
        <w:rPr>
          <w:rFonts w:hint="eastAsia"/>
          <w:sz w:val="30"/>
          <w:szCs w:val="30"/>
        </w:rPr>
        <w:t>二、评审因素及评分标准</w:t>
      </w:r>
      <w:bookmarkEnd w:id="17"/>
    </w:p>
    <w:p w14:paraId="742AC76F">
      <w:pPr>
        <w:ind w:left="0" w:leftChars="0" w:firstLine="0" w:firstLineChars="0"/>
        <w:outlineLvl w:val="1"/>
      </w:pPr>
      <w:r>
        <w:rPr>
          <w:rFonts w:hint="eastAsia"/>
          <w:sz w:val="30"/>
          <w:szCs w:val="30"/>
          <w:lang w:eastAsia="zh-CN"/>
        </w:rPr>
        <w:t>第</w:t>
      </w:r>
      <w:r>
        <w:rPr>
          <w:rFonts w:hint="eastAsia"/>
          <w:sz w:val="30"/>
          <w:szCs w:val="30"/>
          <w:lang w:val="en-US" w:eastAsia="zh-CN"/>
        </w:rPr>
        <w:t>1</w:t>
      </w:r>
      <w:r>
        <w:rPr>
          <w:rFonts w:hint="eastAsia"/>
          <w:sz w:val="30"/>
          <w:szCs w:val="30"/>
          <w:lang w:eastAsia="zh-CN"/>
        </w:rPr>
        <w:t>包：武汉市东西湖职业技术学校计算机专业教学条件改善更新项目</w:t>
      </w:r>
    </w:p>
    <w:tbl>
      <w:tblPr>
        <w:tblStyle w:val="21"/>
        <w:tblW w:w="1037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45"/>
        <w:gridCol w:w="790"/>
        <w:gridCol w:w="7773"/>
        <w:gridCol w:w="668"/>
      </w:tblGrid>
      <w:tr w14:paraId="2926E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1145" w:type="dxa"/>
            <w:tcBorders>
              <w:top w:val="single" w:color="000000" w:sz="4" w:space="0"/>
              <w:left w:val="single" w:color="000000" w:sz="4" w:space="0"/>
              <w:bottom w:val="single" w:color="000000" w:sz="4" w:space="0"/>
              <w:right w:val="single" w:color="000000" w:sz="4" w:space="0"/>
            </w:tcBorders>
            <w:noWrap w:val="0"/>
            <w:vAlign w:val="center"/>
          </w:tcPr>
          <w:p w14:paraId="3F06D002">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评标</w:t>
            </w:r>
          </w:p>
          <w:p w14:paraId="49D14FA2">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项目</w:t>
            </w:r>
          </w:p>
        </w:tc>
        <w:tc>
          <w:tcPr>
            <w:tcW w:w="790" w:type="dxa"/>
            <w:tcBorders>
              <w:top w:val="single" w:color="000000" w:sz="4" w:space="0"/>
              <w:left w:val="single" w:color="000000" w:sz="4" w:space="0"/>
              <w:bottom w:val="single" w:color="000000" w:sz="4" w:space="0"/>
              <w:right w:val="single" w:color="000000" w:sz="4" w:space="0"/>
            </w:tcBorders>
            <w:noWrap w:val="0"/>
            <w:vAlign w:val="center"/>
          </w:tcPr>
          <w:p w14:paraId="5E9BAD98">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评标分项</w:t>
            </w:r>
          </w:p>
        </w:tc>
        <w:tc>
          <w:tcPr>
            <w:tcW w:w="7773" w:type="dxa"/>
            <w:tcBorders>
              <w:top w:val="single" w:color="000000" w:sz="4" w:space="0"/>
              <w:left w:val="single" w:color="000000" w:sz="4" w:space="0"/>
              <w:bottom w:val="single" w:color="000000" w:sz="4" w:space="0"/>
              <w:right w:val="single" w:color="000000" w:sz="4" w:space="0"/>
            </w:tcBorders>
            <w:noWrap w:val="0"/>
            <w:vAlign w:val="center"/>
          </w:tcPr>
          <w:p w14:paraId="60158C67">
            <w:pPr>
              <w:keepNext w:val="0"/>
              <w:keepLines w:val="0"/>
              <w:widowControl/>
              <w:suppressLineNumbers w:val="0"/>
              <w:spacing w:line="240" w:lineRule="auto"/>
              <w:ind w:left="-2" w:leftChars="0"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评议打分细则</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14:paraId="282B1EA2">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分值</w:t>
            </w:r>
          </w:p>
        </w:tc>
      </w:tr>
      <w:tr w14:paraId="09EAC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45" w:type="dxa"/>
            <w:tcBorders>
              <w:top w:val="single" w:color="000000" w:sz="4" w:space="0"/>
              <w:left w:val="single" w:color="000000" w:sz="4" w:space="0"/>
              <w:right w:val="single" w:color="000000" w:sz="4" w:space="0"/>
            </w:tcBorders>
            <w:noWrap w:val="0"/>
            <w:vAlign w:val="center"/>
          </w:tcPr>
          <w:p w14:paraId="734CA39A">
            <w:pPr>
              <w:widowControl w:val="0"/>
              <w:spacing w:line="240" w:lineRule="auto"/>
              <w:ind w:firstLine="0" w:firstLineChars="0"/>
              <w:jc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价格部分（5</w:t>
            </w:r>
            <w:r>
              <w:rPr>
                <w:rFonts w:hint="eastAsia" w:ascii="宋体" w:hAnsi="宋体" w:cs="宋体"/>
                <w:i w:val="0"/>
                <w:iCs w:val="0"/>
                <w:color w:val="000000"/>
                <w:kern w:val="0"/>
                <w:sz w:val="24"/>
                <w:szCs w:val="24"/>
                <w:u w:val="none"/>
                <w:lang w:val="en-US" w:eastAsia="zh-CN" w:bidi="ar"/>
              </w:rPr>
              <w:t>0</w:t>
            </w:r>
            <w:r>
              <w:rPr>
                <w:rFonts w:hint="eastAsia" w:ascii="宋体" w:hAnsi="宋体" w:eastAsia="宋体" w:cs="宋体"/>
                <w:i w:val="0"/>
                <w:iCs w:val="0"/>
                <w:color w:val="000000"/>
                <w:kern w:val="0"/>
                <w:sz w:val="24"/>
                <w:szCs w:val="24"/>
                <w:u w:val="none"/>
                <w:lang w:val="en-US" w:eastAsia="zh-CN" w:bidi="ar"/>
              </w:rPr>
              <w:t>分）</w:t>
            </w:r>
          </w:p>
        </w:tc>
        <w:tc>
          <w:tcPr>
            <w:tcW w:w="790" w:type="dxa"/>
            <w:tcBorders>
              <w:top w:val="single" w:color="000000" w:sz="4" w:space="0"/>
              <w:left w:val="single" w:color="000000" w:sz="4" w:space="0"/>
              <w:bottom w:val="single" w:color="auto" w:sz="4" w:space="0"/>
              <w:right w:val="single" w:color="000000" w:sz="4" w:space="0"/>
            </w:tcBorders>
            <w:noWrap w:val="0"/>
            <w:vAlign w:val="center"/>
          </w:tcPr>
          <w:p w14:paraId="120D0412">
            <w:pPr>
              <w:widowControl w:val="0"/>
              <w:spacing w:line="240" w:lineRule="auto"/>
              <w:ind w:firstLine="0" w:firstLineChars="0"/>
              <w:jc w:val="both"/>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000000"/>
                <w:sz w:val="24"/>
                <w:szCs w:val="24"/>
                <w:lang w:val="en-US" w:eastAsia="zh-CN"/>
              </w:rPr>
              <w:t>报价</w:t>
            </w:r>
          </w:p>
        </w:tc>
        <w:tc>
          <w:tcPr>
            <w:tcW w:w="7773" w:type="dxa"/>
            <w:tcBorders>
              <w:top w:val="single" w:color="000000" w:sz="4" w:space="0"/>
              <w:left w:val="single" w:color="000000" w:sz="4" w:space="0"/>
              <w:bottom w:val="single" w:color="auto" w:sz="4" w:space="0"/>
              <w:right w:val="single" w:color="000000" w:sz="4" w:space="0"/>
            </w:tcBorders>
            <w:noWrap w:val="0"/>
            <w:vAlign w:val="center"/>
          </w:tcPr>
          <w:p w14:paraId="294CA595">
            <w:pPr>
              <w:widowControl w:val="0"/>
              <w:spacing w:line="240" w:lineRule="auto"/>
              <w:ind w:firstLine="0" w:firstLineChars="0"/>
              <w:jc w:val="both"/>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采用低价优先法计算，即满足招标文件要求且投标价格（落实政府采购政策进行价格调整的，以调整后的价格计算）最低的投标报价为评标基准价，其报价分为满分。其他投标人的报价分按照下列公式计算：报价分=</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评标基准价／投标报价</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×5</w:t>
            </w:r>
            <w:r>
              <w:rPr>
                <w:rFonts w:hint="eastAsia" w:ascii="宋体" w:hAnsi="宋体" w:cs="宋体"/>
                <w:i w:val="0"/>
                <w:iCs w:val="0"/>
                <w:color w:val="000000"/>
                <w:kern w:val="0"/>
                <w:sz w:val="24"/>
                <w:szCs w:val="24"/>
                <w:u w:val="none"/>
                <w:lang w:val="en-US" w:eastAsia="zh-CN" w:bidi="ar"/>
              </w:rPr>
              <w:t>0</w:t>
            </w:r>
            <w:r>
              <w:rPr>
                <w:rFonts w:hint="eastAsia" w:ascii="宋体" w:hAnsi="宋体" w:eastAsia="宋体" w:cs="宋体"/>
                <w:i w:val="0"/>
                <w:iCs w:val="0"/>
                <w:color w:val="000000"/>
                <w:kern w:val="0"/>
                <w:sz w:val="24"/>
                <w:szCs w:val="24"/>
                <w:u w:val="none"/>
                <w:lang w:val="en-US" w:eastAsia="zh-CN" w:bidi="ar"/>
              </w:rPr>
              <w:t>%×100</w:t>
            </w:r>
            <w:r>
              <w:rPr>
                <w:rFonts w:hint="eastAsia" w:ascii="宋体" w:hAnsi="宋体" w:cs="宋体"/>
                <w:i w:val="0"/>
                <w:iCs w:val="0"/>
                <w:color w:val="000000"/>
                <w:kern w:val="0"/>
                <w:sz w:val="24"/>
                <w:szCs w:val="24"/>
                <w:u w:val="none"/>
                <w:lang w:val="en-US" w:eastAsia="zh-CN" w:bidi="ar"/>
              </w:rPr>
              <w:t>（保留两位小数）</w:t>
            </w:r>
          </w:p>
        </w:tc>
        <w:tc>
          <w:tcPr>
            <w:tcW w:w="668" w:type="dxa"/>
            <w:tcBorders>
              <w:top w:val="single" w:color="000000" w:sz="4" w:space="0"/>
              <w:left w:val="single" w:color="000000" w:sz="4" w:space="0"/>
              <w:bottom w:val="single" w:color="auto" w:sz="4" w:space="0"/>
              <w:right w:val="single" w:color="000000" w:sz="4" w:space="0"/>
            </w:tcBorders>
            <w:noWrap w:val="0"/>
            <w:vAlign w:val="center"/>
          </w:tcPr>
          <w:p w14:paraId="1C43AFAE">
            <w:pPr>
              <w:keepNext w:val="0"/>
              <w:keepLines w:val="0"/>
              <w:widowControl/>
              <w:suppressLineNumbers w:val="0"/>
              <w:spacing w:line="240" w:lineRule="auto"/>
              <w:ind w:firstLine="0" w:firstLineChars="0"/>
              <w:jc w:val="center"/>
              <w:textAlignment w:val="center"/>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50</w:t>
            </w:r>
          </w:p>
        </w:tc>
      </w:tr>
      <w:tr w14:paraId="6C1DE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145" w:type="dxa"/>
            <w:vMerge w:val="restart"/>
            <w:tcBorders>
              <w:top w:val="single" w:color="000000" w:sz="4" w:space="0"/>
              <w:left w:val="single" w:color="000000" w:sz="4" w:space="0"/>
              <w:right w:val="single" w:color="000000" w:sz="4" w:space="0"/>
            </w:tcBorders>
            <w:noWrap w:val="0"/>
            <w:vAlign w:val="center"/>
          </w:tcPr>
          <w:p w14:paraId="26658B00">
            <w:pPr>
              <w:widowControl w:val="0"/>
              <w:spacing w:line="240" w:lineRule="auto"/>
              <w:ind w:firstLine="0" w:firstLineChars="0"/>
              <w:jc w:val="center"/>
              <w:rPr>
                <w:rFonts w:hint="eastAsia" w:ascii="宋体" w:hAnsi="宋体" w:eastAsia="宋体" w:cs="宋体"/>
                <w:i w:val="0"/>
                <w:iCs w:val="0"/>
                <w:color w:val="auto"/>
                <w:sz w:val="24"/>
                <w:szCs w:val="24"/>
                <w:u w:val="none"/>
                <w:lang w:val="en-US" w:eastAsia="zh-CN"/>
              </w:rPr>
            </w:pPr>
            <w:r>
              <w:rPr>
                <w:rFonts w:hint="eastAsia" w:ascii="宋体" w:hAnsi="宋体" w:eastAsia="宋体" w:cs="宋体"/>
                <w:i w:val="0"/>
                <w:iCs w:val="0"/>
                <w:color w:val="auto"/>
                <w:sz w:val="24"/>
                <w:szCs w:val="24"/>
                <w:u w:val="none"/>
                <w:lang w:val="en-US" w:eastAsia="zh-CN"/>
              </w:rPr>
              <w:t>商务部分（</w:t>
            </w:r>
            <w:r>
              <w:rPr>
                <w:rFonts w:hint="eastAsia" w:ascii="宋体" w:hAnsi="宋体" w:cs="宋体"/>
                <w:i w:val="0"/>
                <w:iCs w:val="0"/>
                <w:color w:val="auto"/>
                <w:sz w:val="24"/>
                <w:szCs w:val="24"/>
                <w:u w:val="none"/>
                <w:lang w:val="en-US" w:eastAsia="zh-CN"/>
              </w:rPr>
              <w:t>10</w:t>
            </w:r>
            <w:r>
              <w:rPr>
                <w:rFonts w:hint="eastAsia" w:ascii="宋体" w:hAnsi="宋体" w:eastAsia="宋体" w:cs="宋体"/>
                <w:i w:val="0"/>
                <w:iCs w:val="0"/>
                <w:color w:val="auto"/>
                <w:sz w:val="24"/>
                <w:szCs w:val="24"/>
                <w:u w:val="none"/>
                <w:lang w:val="en-US" w:eastAsia="zh-CN"/>
              </w:rPr>
              <w:t>分）</w:t>
            </w:r>
          </w:p>
        </w:tc>
        <w:tc>
          <w:tcPr>
            <w:tcW w:w="790" w:type="dxa"/>
            <w:tcBorders>
              <w:top w:val="single" w:color="000000" w:sz="4" w:space="0"/>
              <w:left w:val="single" w:color="000000" w:sz="4" w:space="0"/>
              <w:bottom w:val="single" w:color="auto" w:sz="4" w:space="0"/>
              <w:right w:val="single" w:color="000000" w:sz="4" w:space="0"/>
            </w:tcBorders>
            <w:noWrap w:val="0"/>
            <w:vAlign w:val="center"/>
          </w:tcPr>
          <w:p w14:paraId="6E4EEDBA">
            <w:pPr>
              <w:widowControl w:val="0"/>
              <w:spacing w:line="240" w:lineRule="auto"/>
              <w:ind w:firstLine="0" w:firstLineChars="0"/>
              <w:jc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类似业绩</w:t>
            </w:r>
          </w:p>
        </w:tc>
        <w:tc>
          <w:tcPr>
            <w:tcW w:w="7773" w:type="dxa"/>
            <w:tcBorders>
              <w:top w:val="single" w:color="000000" w:sz="4" w:space="0"/>
              <w:left w:val="single" w:color="000000" w:sz="4" w:space="0"/>
              <w:bottom w:val="single" w:color="auto" w:sz="4" w:space="0"/>
              <w:right w:val="single" w:color="000000" w:sz="4" w:space="0"/>
            </w:tcBorders>
            <w:noWrap w:val="0"/>
            <w:vAlign w:val="center"/>
          </w:tcPr>
          <w:p w14:paraId="7AF3B829">
            <w:pPr>
              <w:widowControl w:val="0"/>
              <w:spacing w:line="240" w:lineRule="auto"/>
              <w:ind w:firstLine="0" w:firstLineChars="0"/>
              <w:jc w:val="both"/>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为保证项目质量，投标人近三年来（2023年</w:t>
            </w:r>
            <w:r>
              <w:rPr>
                <w:rFonts w:hint="eastAsia" w:ascii="宋体" w:hAnsi="宋体" w:cs="宋体"/>
                <w:i w:val="0"/>
                <w:iCs w:val="0"/>
                <w:color w:val="auto"/>
                <w:kern w:val="0"/>
                <w:sz w:val="24"/>
                <w:szCs w:val="24"/>
                <w:u w:val="none"/>
                <w:lang w:val="en-US" w:eastAsia="zh-CN" w:bidi="ar"/>
              </w:rPr>
              <w:t>5</w:t>
            </w:r>
            <w:r>
              <w:rPr>
                <w:rFonts w:hint="eastAsia" w:ascii="宋体" w:hAnsi="宋体" w:eastAsia="宋体" w:cs="宋体"/>
                <w:i w:val="0"/>
                <w:iCs w:val="0"/>
                <w:color w:val="auto"/>
                <w:kern w:val="0"/>
                <w:sz w:val="24"/>
                <w:szCs w:val="24"/>
                <w:u w:val="none"/>
                <w:lang w:val="en-US" w:eastAsia="zh-CN" w:bidi="ar"/>
              </w:rPr>
              <w:t>月至今）具备类似成功案例经验，须同时提供相关类似项目业绩证明（</w:t>
            </w:r>
            <w:r>
              <w:rPr>
                <w:rFonts w:hint="eastAsia" w:ascii="宋体" w:hAnsi="宋体" w:cs="宋体"/>
                <w:i w:val="0"/>
                <w:iCs w:val="0"/>
                <w:color w:val="auto"/>
                <w:kern w:val="0"/>
                <w:sz w:val="24"/>
                <w:szCs w:val="24"/>
                <w:u w:val="none"/>
                <w:lang w:val="en-US" w:eastAsia="zh-CN" w:bidi="ar"/>
              </w:rPr>
              <w:t>包括但不限于</w:t>
            </w:r>
            <w:r>
              <w:rPr>
                <w:rFonts w:hint="eastAsia" w:ascii="宋体" w:hAnsi="宋体" w:eastAsia="宋体" w:cs="宋体"/>
                <w:i w:val="0"/>
                <w:iCs w:val="0"/>
                <w:color w:val="auto"/>
                <w:kern w:val="0"/>
                <w:sz w:val="24"/>
                <w:szCs w:val="24"/>
                <w:u w:val="none"/>
                <w:lang w:val="en-US" w:eastAsia="zh-CN" w:bidi="ar"/>
              </w:rPr>
              <w:t>标准化考场机房类项目）；</w:t>
            </w:r>
          </w:p>
          <w:p w14:paraId="13AD9C8B">
            <w:pPr>
              <w:widowControl w:val="0"/>
              <w:spacing w:line="240" w:lineRule="auto"/>
              <w:ind w:firstLine="0" w:firstLineChars="0"/>
              <w:jc w:val="both"/>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注：业绩证明须提供合同（所提供的合同须提供供货清单页（可以不牵涉金额等相关商业信息）、合同双方签署页及合同签署双方的完整信息）和中标通知书；</w:t>
            </w:r>
          </w:p>
          <w:p w14:paraId="47F10B2F">
            <w:pPr>
              <w:widowControl w:val="0"/>
              <w:spacing w:line="240" w:lineRule="auto"/>
              <w:ind w:firstLine="0" w:firstLineChars="0"/>
              <w:jc w:val="both"/>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每提供一份完整的证明文件得1分，共3分；未提供或提供资料不完整的，不得分；</w:t>
            </w:r>
          </w:p>
        </w:tc>
        <w:tc>
          <w:tcPr>
            <w:tcW w:w="668" w:type="dxa"/>
            <w:tcBorders>
              <w:top w:val="single" w:color="000000" w:sz="4" w:space="0"/>
              <w:left w:val="single" w:color="000000" w:sz="4" w:space="0"/>
              <w:bottom w:val="single" w:color="auto" w:sz="4" w:space="0"/>
              <w:right w:val="single" w:color="000000" w:sz="4" w:space="0"/>
            </w:tcBorders>
            <w:noWrap w:val="0"/>
            <w:vAlign w:val="center"/>
          </w:tcPr>
          <w:p w14:paraId="5A7BF4AE">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w:t>
            </w:r>
          </w:p>
        </w:tc>
      </w:tr>
      <w:tr w14:paraId="150111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8" w:hRule="atLeast"/>
          <w:jc w:val="center"/>
        </w:trPr>
        <w:tc>
          <w:tcPr>
            <w:tcW w:w="11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EE2F11">
            <w:pPr>
              <w:widowControl w:val="0"/>
              <w:spacing w:line="240" w:lineRule="auto"/>
              <w:ind w:firstLine="0" w:firstLineChars="0"/>
              <w:jc w:val="center"/>
              <w:rPr>
                <w:rFonts w:hint="eastAsia" w:ascii="宋体" w:hAnsi="宋体" w:eastAsia="宋体" w:cs="宋体"/>
                <w:i w:val="0"/>
                <w:iCs w:val="0"/>
                <w:color w:val="auto"/>
                <w:sz w:val="24"/>
                <w:szCs w:val="24"/>
                <w:u w:val="none"/>
              </w:rPr>
            </w:pPr>
          </w:p>
        </w:tc>
        <w:tc>
          <w:tcPr>
            <w:tcW w:w="790" w:type="dxa"/>
            <w:tcBorders>
              <w:top w:val="single" w:color="auto" w:sz="4" w:space="0"/>
              <w:left w:val="single" w:color="000000" w:sz="4" w:space="0"/>
              <w:right w:val="single" w:color="000000" w:sz="4" w:space="0"/>
            </w:tcBorders>
            <w:noWrap w:val="0"/>
            <w:vAlign w:val="center"/>
          </w:tcPr>
          <w:p w14:paraId="44C06C91">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服务保障</w:t>
            </w:r>
          </w:p>
        </w:tc>
        <w:tc>
          <w:tcPr>
            <w:tcW w:w="7773" w:type="dxa"/>
            <w:tcBorders>
              <w:top w:val="single" w:color="auto" w:sz="4" w:space="0"/>
              <w:left w:val="single" w:color="000000" w:sz="4" w:space="0"/>
              <w:bottom w:val="single" w:color="auto" w:sz="4" w:space="0"/>
              <w:right w:val="single" w:color="auto" w:sz="4" w:space="0"/>
            </w:tcBorders>
            <w:noWrap w:val="0"/>
            <w:vAlign w:val="center"/>
          </w:tcPr>
          <w:p w14:paraId="65B0181B">
            <w:pPr>
              <w:widowControl w:val="0"/>
              <w:spacing w:line="240" w:lineRule="auto"/>
              <w:ind w:firstLine="0" w:firstLineChars="0"/>
              <w:jc w:val="both"/>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为保证“智慧教学终端”的服务保障能力，投标人须提供所投“智慧教学终端”生产厂家依据国标GB/T15496-2017《企业标准体系要求》达到标准化等级服务证书</w:t>
            </w:r>
            <w:r>
              <w:rPr>
                <w:rFonts w:hint="eastAsia" w:ascii="宋体" w:hAnsi="宋体" w:eastAsia="宋体" w:cs="宋体"/>
                <w:i w:val="0"/>
                <w:iCs w:val="0"/>
                <w:color w:val="auto"/>
                <w:kern w:val="0"/>
                <w:sz w:val="24"/>
                <w:szCs w:val="24"/>
                <w:u w:val="none"/>
                <w:lang w:val="en-US" w:eastAsia="zh-CN" w:bidi="ar"/>
              </w:rPr>
              <w:t>，</w:t>
            </w:r>
            <w:r>
              <w:rPr>
                <w:rFonts w:hint="eastAsia" w:ascii="宋体" w:hAnsi="宋体" w:cs="宋体"/>
                <w:i w:val="0"/>
                <w:iCs w:val="0"/>
                <w:color w:val="auto"/>
                <w:kern w:val="0"/>
                <w:sz w:val="24"/>
                <w:szCs w:val="24"/>
                <w:u w:val="none"/>
                <w:lang w:val="en-US" w:eastAsia="zh-CN" w:bidi="ar"/>
              </w:rPr>
              <w:t>并根据证书等级按以下标准计分：</w:t>
            </w:r>
          </w:p>
          <w:p w14:paraId="373CB71F">
            <w:pPr>
              <w:widowControl w:val="0"/>
              <w:spacing w:line="240" w:lineRule="auto"/>
              <w:ind w:firstLine="0" w:firstLineChars="0"/>
              <w:jc w:val="left"/>
              <w:rPr>
                <w:rFonts w:hint="eastAsia"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达到标准化等级服务5A认证的得3分；4A认证的得2分；3A认证的得1分；提供其他等级或未提供证书不得分。</w:t>
            </w:r>
          </w:p>
          <w:p w14:paraId="7FC2C6EC">
            <w:pPr>
              <w:widowControl w:val="0"/>
              <w:spacing w:line="240" w:lineRule="auto"/>
              <w:ind w:firstLine="0" w:firstLineChars="0"/>
              <w:jc w:val="left"/>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需</w:t>
            </w:r>
            <w:r>
              <w:rPr>
                <w:rFonts w:hint="eastAsia" w:ascii="宋体" w:hAnsi="宋体" w:cs="宋体"/>
                <w:i w:val="0"/>
                <w:iCs w:val="0"/>
                <w:color w:val="auto"/>
                <w:kern w:val="0"/>
                <w:sz w:val="24"/>
                <w:szCs w:val="24"/>
                <w:u w:val="none"/>
                <w:lang w:val="en-US" w:eastAsia="zh-CN" w:bidi="ar"/>
              </w:rPr>
              <w:t>提供认证证书，并提供全国认证认可信息公共服务平台：http://cx.cnca.cn/查询结果截图证明并加盖投标人公章。</w:t>
            </w:r>
          </w:p>
        </w:tc>
        <w:tc>
          <w:tcPr>
            <w:tcW w:w="668" w:type="dxa"/>
            <w:tcBorders>
              <w:top w:val="single" w:color="auto" w:sz="4" w:space="0"/>
              <w:left w:val="single" w:color="auto" w:sz="4" w:space="0"/>
              <w:bottom w:val="single" w:color="auto" w:sz="4" w:space="0"/>
              <w:right w:val="single" w:color="auto" w:sz="4" w:space="0"/>
            </w:tcBorders>
            <w:noWrap w:val="0"/>
            <w:vAlign w:val="center"/>
          </w:tcPr>
          <w:p w14:paraId="03334536">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3</w:t>
            </w:r>
          </w:p>
        </w:tc>
      </w:tr>
      <w:tr w14:paraId="5E48A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 w:hRule="atLeast"/>
          <w:jc w:val="center"/>
        </w:trPr>
        <w:tc>
          <w:tcPr>
            <w:tcW w:w="1145" w:type="dxa"/>
            <w:vMerge w:val="continue"/>
            <w:tcBorders>
              <w:left w:val="single" w:color="000000" w:sz="4" w:space="0"/>
              <w:bottom w:val="single" w:color="000000" w:sz="4" w:space="0"/>
              <w:right w:val="single" w:color="000000" w:sz="4" w:space="0"/>
            </w:tcBorders>
            <w:noWrap w:val="0"/>
            <w:vAlign w:val="center"/>
          </w:tcPr>
          <w:p w14:paraId="0571BD10">
            <w:pPr>
              <w:widowControl w:val="0"/>
              <w:spacing w:line="240" w:lineRule="auto"/>
              <w:ind w:firstLine="0" w:firstLineChars="0"/>
              <w:jc w:val="center"/>
              <w:rPr>
                <w:rFonts w:hint="eastAsia" w:ascii="宋体" w:hAnsi="宋体" w:eastAsia="宋体" w:cs="宋体"/>
                <w:i w:val="0"/>
                <w:iCs w:val="0"/>
                <w:color w:val="auto"/>
                <w:sz w:val="24"/>
                <w:szCs w:val="24"/>
                <w:u w:val="none"/>
              </w:rPr>
            </w:pPr>
          </w:p>
        </w:tc>
        <w:tc>
          <w:tcPr>
            <w:tcW w:w="790" w:type="dxa"/>
            <w:tcBorders>
              <w:top w:val="single" w:color="auto" w:sz="4" w:space="0"/>
              <w:left w:val="single" w:color="000000" w:sz="4" w:space="0"/>
              <w:bottom w:val="single" w:color="auto" w:sz="4" w:space="0"/>
              <w:right w:val="single" w:color="000000" w:sz="4" w:space="0"/>
            </w:tcBorders>
            <w:noWrap w:val="0"/>
            <w:vAlign w:val="center"/>
          </w:tcPr>
          <w:p w14:paraId="6246437F">
            <w:pPr>
              <w:widowControl w:val="0"/>
              <w:spacing w:line="240" w:lineRule="auto"/>
              <w:ind w:firstLine="0" w:firstLineChars="0"/>
              <w:jc w:val="center"/>
              <w:rPr>
                <w:rFonts w:hint="eastAsia"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投入人员</w:t>
            </w:r>
          </w:p>
        </w:tc>
        <w:tc>
          <w:tcPr>
            <w:tcW w:w="7773" w:type="dxa"/>
            <w:tcBorders>
              <w:top w:val="single" w:color="auto" w:sz="4" w:space="0"/>
              <w:left w:val="single" w:color="000000" w:sz="4" w:space="0"/>
              <w:bottom w:val="single" w:color="auto" w:sz="4" w:space="0"/>
              <w:right w:val="single" w:color="000000" w:sz="4" w:space="0"/>
            </w:tcBorders>
            <w:noWrap w:val="0"/>
            <w:vAlign w:val="center"/>
          </w:tcPr>
          <w:p w14:paraId="2FE7C22C">
            <w:pPr>
              <w:widowControl w:val="0"/>
              <w:spacing w:line="240" w:lineRule="auto"/>
              <w:ind w:firstLine="0" w:firstLineChars="0"/>
              <w:jc w:val="both"/>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1.</w:t>
            </w:r>
            <w:r>
              <w:rPr>
                <w:rFonts w:hint="eastAsia" w:ascii="宋体" w:hAnsi="宋体" w:cs="宋体"/>
                <w:i w:val="0"/>
                <w:iCs w:val="0"/>
                <w:color w:val="auto"/>
                <w:kern w:val="0"/>
                <w:sz w:val="24"/>
                <w:szCs w:val="24"/>
                <w:u w:val="none"/>
                <w:lang w:val="en-US" w:eastAsia="zh-CN" w:bidi="ar"/>
              </w:rPr>
              <w:t>投标人</w:t>
            </w:r>
            <w:r>
              <w:rPr>
                <w:rFonts w:hint="eastAsia" w:ascii="宋体" w:hAnsi="宋体" w:eastAsia="宋体" w:cs="宋体"/>
                <w:i w:val="0"/>
                <w:iCs w:val="0"/>
                <w:color w:val="auto"/>
                <w:kern w:val="0"/>
                <w:sz w:val="24"/>
                <w:szCs w:val="24"/>
                <w:u w:val="none"/>
                <w:lang w:val="en-US" w:eastAsia="zh-CN" w:bidi="ar"/>
              </w:rPr>
              <w:t>针对本项目拟投入的项目经理具有高级工程师职称或信息系统项目管理师的</w:t>
            </w:r>
            <w:r>
              <w:rPr>
                <w:rFonts w:hint="eastAsia" w:ascii="宋体" w:hAnsi="宋体" w:cs="宋体"/>
                <w:i w:val="0"/>
                <w:iCs w:val="0"/>
                <w:color w:val="auto"/>
                <w:kern w:val="0"/>
                <w:sz w:val="24"/>
                <w:szCs w:val="24"/>
                <w:u w:val="none"/>
                <w:lang w:val="en-US" w:eastAsia="zh-CN" w:bidi="ar"/>
              </w:rPr>
              <w:t>，</w:t>
            </w:r>
            <w:r>
              <w:rPr>
                <w:rFonts w:hint="eastAsia" w:ascii="宋体" w:hAnsi="宋体" w:eastAsia="宋体" w:cs="宋体"/>
                <w:i w:val="0"/>
                <w:iCs w:val="0"/>
                <w:color w:val="auto"/>
                <w:kern w:val="0"/>
                <w:sz w:val="24"/>
                <w:szCs w:val="24"/>
                <w:u w:val="none"/>
                <w:lang w:val="en-US" w:eastAsia="zh-CN" w:bidi="ar"/>
              </w:rPr>
              <w:t>得1分。</w:t>
            </w:r>
          </w:p>
          <w:p w14:paraId="0A6137A0">
            <w:pPr>
              <w:widowControl w:val="0"/>
              <w:spacing w:line="240" w:lineRule="auto"/>
              <w:ind w:firstLine="0" w:firstLineChars="0"/>
              <w:jc w:val="both"/>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2.供应商针对本项目拟投入的技术负责人（与项目经理不得为同一人）具有高级工程师</w:t>
            </w:r>
            <w:r>
              <w:rPr>
                <w:rFonts w:hint="eastAsia" w:ascii="宋体" w:hAnsi="宋体" w:cs="宋体"/>
                <w:i w:val="0"/>
                <w:iCs w:val="0"/>
                <w:color w:val="auto"/>
                <w:kern w:val="0"/>
                <w:sz w:val="24"/>
                <w:szCs w:val="24"/>
                <w:u w:val="none"/>
                <w:lang w:val="en-US" w:eastAsia="zh-CN" w:bidi="ar"/>
              </w:rPr>
              <w:t>职称</w:t>
            </w:r>
            <w:bookmarkStart w:id="19" w:name="_GoBack"/>
            <w:bookmarkEnd w:id="19"/>
            <w:r>
              <w:rPr>
                <w:rFonts w:hint="eastAsia" w:ascii="宋体" w:hAnsi="宋体" w:eastAsia="宋体" w:cs="宋体"/>
                <w:i w:val="0"/>
                <w:iCs w:val="0"/>
                <w:color w:val="auto"/>
                <w:kern w:val="0"/>
                <w:sz w:val="24"/>
                <w:szCs w:val="24"/>
                <w:u w:val="none"/>
                <w:lang w:val="en-US" w:eastAsia="zh-CN" w:bidi="ar"/>
              </w:rPr>
              <w:t>或信息系统项目管理师的</w:t>
            </w:r>
            <w:r>
              <w:rPr>
                <w:rFonts w:hint="eastAsia" w:ascii="宋体" w:hAnsi="宋体" w:cs="宋体"/>
                <w:i w:val="0"/>
                <w:iCs w:val="0"/>
                <w:color w:val="auto"/>
                <w:kern w:val="0"/>
                <w:sz w:val="24"/>
                <w:szCs w:val="24"/>
                <w:u w:val="none"/>
                <w:lang w:val="en-US" w:eastAsia="zh-CN" w:bidi="ar"/>
              </w:rPr>
              <w:t>，</w:t>
            </w:r>
            <w:r>
              <w:rPr>
                <w:rFonts w:hint="eastAsia" w:ascii="宋体" w:hAnsi="宋体" w:eastAsia="宋体" w:cs="宋体"/>
                <w:i w:val="0"/>
                <w:iCs w:val="0"/>
                <w:color w:val="auto"/>
                <w:kern w:val="0"/>
                <w:sz w:val="24"/>
                <w:szCs w:val="24"/>
                <w:u w:val="none"/>
                <w:lang w:val="en-US" w:eastAsia="zh-CN" w:bidi="ar"/>
              </w:rPr>
              <w:t>得1分。</w:t>
            </w:r>
          </w:p>
          <w:p w14:paraId="63AE763F">
            <w:pPr>
              <w:widowControl w:val="0"/>
              <w:spacing w:line="240" w:lineRule="auto"/>
              <w:ind w:firstLine="0" w:firstLineChars="0"/>
              <w:jc w:val="both"/>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（需提供相关证书复印件并加盖投标人公章，否则不得分。）</w:t>
            </w:r>
          </w:p>
        </w:tc>
        <w:tc>
          <w:tcPr>
            <w:tcW w:w="668" w:type="dxa"/>
            <w:tcBorders>
              <w:top w:val="single" w:color="auto" w:sz="4" w:space="0"/>
              <w:left w:val="single" w:color="000000" w:sz="4" w:space="0"/>
              <w:bottom w:val="single" w:color="000000" w:sz="4" w:space="0"/>
              <w:right w:val="single" w:color="000000" w:sz="4" w:space="0"/>
            </w:tcBorders>
            <w:noWrap w:val="0"/>
            <w:vAlign w:val="center"/>
          </w:tcPr>
          <w:p w14:paraId="154A0F68">
            <w:pPr>
              <w:keepNext w:val="0"/>
              <w:keepLines w:val="0"/>
              <w:widowControl/>
              <w:suppressLineNumbers w:val="0"/>
              <w:spacing w:line="240" w:lineRule="auto"/>
              <w:ind w:firstLine="0" w:firstLineChars="0"/>
              <w:jc w:val="center"/>
              <w:textAlignment w:val="center"/>
              <w:rPr>
                <w:rFonts w:hint="default" w:ascii="宋体" w:hAnsi="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w:t>
            </w:r>
          </w:p>
        </w:tc>
      </w:tr>
      <w:tr w14:paraId="335BA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7" w:hRule="atLeast"/>
          <w:jc w:val="center"/>
        </w:trPr>
        <w:tc>
          <w:tcPr>
            <w:tcW w:w="1145" w:type="dxa"/>
            <w:vMerge w:val="continue"/>
            <w:tcBorders>
              <w:left w:val="single" w:color="000000" w:sz="4" w:space="0"/>
              <w:bottom w:val="single" w:color="000000" w:sz="4" w:space="0"/>
              <w:right w:val="single" w:color="000000" w:sz="4" w:space="0"/>
            </w:tcBorders>
            <w:noWrap w:val="0"/>
            <w:vAlign w:val="center"/>
          </w:tcPr>
          <w:p w14:paraId="185C3CC8">
            <w:pPr>
              <w:widowControl w:val="0"/>
              <w:spacing w:line="240" w:lineRule="auto"/>
              <w:ind w:firstLine="0" w:firstLineChars="0"/>
              <w:jc w:val="center"/>
              <w:rPr>
                <w:rFonts w:hint="eastAsia" w:ascii="宋体" w:hAnsi="宋体" w:eastAsia="宋体" w:cs="宋体"/>
                <w:i w:val="0"/>
                <w:iCs w:val="0"/>
                <w:color w:val="auto"/>
                <w:sz w:val="24"/>
                <w:szCs w:val="24"/>
                <w:u w:val="none"/>
              </w:rPr>
            </w:pPr>
          </w:p>
        </w:tc>
        <w:tc>
          <w:tcPr>
            <w:tcW w:w="790" w:type="dxa"/>
            <w:tcBorders>
              <w:top w:val="single" w:color="auto" w:sz="4" w:space="0"/>
              <w:left w:val="single" w:color="000000" w:sz="4" w:space="0"/>
              <w:bottom w:val="single" w:color="000000" w:sz="4" w:space="0"/>
              <w:right w:val="single" w:color="000000" w:sz="4" w:space="0"/>
            </w:tcBorders>
            <w:noWrap w:val="0"/>
            <w:vAlign w:val="center"/>
          </w:tcPr>
          <w:p w14:paraId="52DF85C8">
            <w:pPr>
              <w:widowControl w:val="0"/>
              <w:spacing w:line="240" w:lineRule="auto"/>
              <w:ind w:firstLine="0" w:firstLineChars="0"/>
              <w:jc w:val="center"/>
              <w:rPr>
                <w:rFonts w:hint="eastAsia"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质保期</w:t>
            </w:r>
          </w:p>
        </w:tc>
        <w:tc>
          <w:tcPr>
            <w:tcW w:w="7773" w:type="dxa"/>
            <w:tcBorders>
              <w:top w:val="single" w:color="auto" w:sz="4" w:space="0"/>
              <w:left w:val="single" w:color="000000" w:sz="4" w:space="0"/>
              <w:bottom w:val="single" w:color="000000" w:sz="4" w:space="0"/>
              <w:right w:val="single" w:color="000000" w:sz="4" w:space="0"/>
            </w:tcBorders>
            <w:noWrap w:val="0"/>
            <w:vAlign w:val="center"/>
          </w:tcPr>
          <w:p w14:paraId="65EBFF15">
            <w:pPr>
              <w:keepNext w:val="0"/>
              <w:keepLines w:val="0"/>
              <w:widowControl/>
              <w:suppressLineNumbers w:val="0"/>
              <w:spacing w:line="240" w:lineRule="auto"/>
              <w:ind w:left="-2" w:lef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投标人在满足招标文件基本要求的情况下，承诺质保期、服务标准年限每增加一年得</w:t>
            </w:r>
            <w:r>
              <w:rPr>
                <w:rFonts w:hint="eastAsia" w:ascii="宋体" w:hAnsi="宋体" w:cs="宋体"/>
                <w:i w:val="0"/>
                <w:iCs w:val="0"/>
                <w:color w:val="auto"/>
                <w:kern w:val="0"/>
                <w:sz w:val="24"/>
                <w:szCs w:val="24"/>
                <w:u w:val="none"/>
                <w:lang w:val="en-US" w:eastAsia="zh-CN" w:bidi="ar"/>
              </w:rPr>
              <w:t>1</w:t>
            </w:r>
            <w:r>
              <w:rPr>
                <w:rFonts w:hint="eastAsia" w:ascii="宋体" w:hAnsi="宋体" w:eastAsia="宋体" w:cs="宋体"/>
                <w:i w:val="0"/>
                <w:iCs w:val="0"/>
                <w:color w:val="auto"/>
                <w:kern w:val="0"/>
                <w:sz w:val="24"/>
                <w:szCs w:val="24"/>
                <w:u w:val="none"/>
                <w:lang w:val="en-US" w:eastAsia="zh-CN" w:bidi="ar"/>
              </w:rPr>
              <w:t>分，最多得</w:t>
            </w:r>
            <w:r>
              <w:rPr>
                <w:rFonts w:hint="eastAsia" w:ascii="宋体" w:hAnsi="宋体" w:cs="宋体"/>
                <w:i w:val="0"/>
                <w:iCs w:val="0"/>
                <w:color w:val="auto"/>
                <w:kern w:val="0"/>
                <w:sz w:val="24"/>
                <w:szCs w:val="24"/>
                <w:u w:val="none"/>
                <w:lang w:val="en-US" w:eastAsia="zh-CN" w:bidi="ar"/>
              </w:rPr>
              <w:t>2</w:t>
            </w:r>
            <w:r>
              <w:rPr>
                <w:rFonts w:hint="eastAsia" w:ascii="宋体" w:hAnsi="宋体" w:eastAsia="宋体" w:cs="宋体"/>
                <w:i w:val="0"/>
                <w:iCs w:val="0"/>
                <w:color w:val="auto"/>
                <w:kern w:val="0"/>
                <w:sz w:val="24"/>
                <w:szCs w:val="24"/>
                <w:u w:val="none"/>
                <w:lang w:val="en-US" w:eastAsia="zh-CN" w:bidi="ar"/>
              </w:rPr>
              <w:t>分。需提供承诺函并加盖投标人公章。</w:t>
            </w:r>
          </w:p>
        </w:tc>
        <w:tc>
          <w:tcPr>
            <w:tcW w:w="668" w:type="dxa"/>
            <w:tcBorders>
              <w:top w:val="single" w:color="auto" w:sz="4" w:space="0"/>
              <w:left w:val="single" w:color="000000" w:sz="4" w:space="0"/>
              <w:bottom w:val="single" w:color="000000" w:sz="4" w:space="0"/>
              <w:right w:val="single" w:color="000000" w:sz="4" w:space="0"/>
            </w:tcBorders>
            <w:noWrap w:val="0"/>
            <w:vAlign w:val="center"/>
          </w:tcPr>
          <w:p w14:paraId="7FDF6AE8">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2</w:t>
            </w:r>
          </w:p>
        </w:tc>
      </w:tr>
      <w:tr w14:paraId="041EB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66" w:hRule="atLeast"/>
          <w:jc w:val="center"/>
        </w:trPr>
        <w:tc>
          <w:tcPr>
            <w:tcW w:w="1145" w:type="dxa"/>
            <w:vMerge w:val="restart"/>
            <w:tcBorders>
              <w:top w:val="single" w:color="000000" w:sz="4" w:space="0"/>
              <w:left w:val="single" w:color="000000" w:sz="4" w:space="0"/>
              <w:bottom w:val="single" w:color="000000" w:sz="4" w:space="0"/>
              <w:right w:val="single" w:color="000000" w:sz="4" w:space="0"/>
            </w:tcBorders>
            <w:noWrap w:val="0"/>
            <w:vAlign w:val="center"/>
          </w:tcPr>
          <w:p w14:paraId="362E36FA">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技术部分（</w:t>
            </w:r>
            <w:r>
              <w:rPr>
                <w:rFonts w:hint="eastAsia" w:ascii="宋体" w:hAnsi="宋体" w:cs="宋体"/>
                <w:i w:val="0"/>
                <w:iCs w:val="0"/>
                <w:color w:val="auto"/>
                <w:kern w:val="0"/>
                <w:sz w:val="24"/>
                <w:szCs w:val="24"/>
                <w:u w:val="none"/>
                <w:lang w:val="en-US" w:eastAsia="zh-CN" w:bidi="ar"/>
              </w:rPr>
              <w:t>40</w:t>
            </w:r>
            <w:r>
              <w:rPr>
                <w:rFonts w:hint="eastAsia" w:ascii="宋体" w:hAnsi="宋体" w:eastAsia="宋体" w:cs="宋体"/>
                <w:i w:val="0"/>
                <w:iCs w:val="0"/>
                <w:color w:val="auto"/>
                <w:kern w:val="0"/>
                <w:sz w:val="24"/>
                <w:szCs w:val="24"/>
                <w:u w:val="none"/>
                <w:lang w:val="en-US" w:eastAsia="zh-CN" w:bidi="ar"/>
              </w:rPr>
              <w:t>分）</w:t>
            </w:r>
          </w:p>
        </w:tc>
        <w:tc>
          <w:tcPr>
            <w:tcW w:w="790" w:type="dxa"/>
            <w:tcBorders>
              <w:top w:val="single" w:color="000000" w:sz="4" w:space="0"/>
              <w:left w:val="single" w:color="000000" w:sz="4" w:space="0"/>
              <w:bottom w:val="single" w:color="auto" w:sz="4" w:space="0"/>
              <w:right w:val="single" w:color="000000" w:sz="4" w:space="0"/>
            </w:tcBorders>
            <w:noWrap w:val="0"/>
            <w:vAlign w:val="center"/>
          </w:tcPr>
          <w:p w14:paraId="6557937F">
            <w:pPr>
              <w:keepNext w:val="0"/>
              <w:keepLines w:val="0"/>
              <w:widowControl/>
              <w:suppressLineNumbers w:val="0"/>
              <w:spacing w:line="240" w:lineRule="auto"/>
              <w:ind w:firstLine="0" w:firstLineChars="0"/>
              <w:jc w:val="center"/>
              <w:textAlignment w:val="center"/>
              <w:rPr>
                <w:rFonts w:hint="default" w:ascii="宋体" w:hAnsi="宋体" w:eastAsia="宋体" w:cs="宋体"/>
                <w:i w:val="0"/>
                <w:iCs w:val="0"/>
                <w:color w:val="auto"/>
                <w:sz w:val="24"/>
                <w:szCs w:val="24"/>
                <w:u w:val="none"/>
                <w:lang w:val="en-US" w:eastAsia="zh-CN"/>
              </w:rPr>
            </w:pPr>
            <w:r>
              <w:rPr>
                <w:rFonts w:hint="eastAsia" w:ascii="宋体" w:hAnsi="宋体" w:cs="宋体"/>
                <w:i w:val="0"/>
                <w:iCs w:val="0"/>
                <w:color w:val="auto"/>
                <w:sz w:val="24"/>
                <w:szCs w:val="24"/>
                <w:u w:val="none"/>
                <w:lang w:val="en-US" w:eastAsia="zh-CN"/>
              </w:rPr>
              <w:t>重要技术指标</w:t>
            </w:r>
          </w:p>
        </w:tc>
        <w:tc>
          <w:tcPr>
            <w:tcW w:w="7773" w:type="dxa"/>
            <w:tcBorders>
              <w:top w:val="single" w:color="000000" w:sz="4" w:space="0"/>
              <w:left w:val="single" w:color="000000" w:sz="4" w:space="0"/>
              <w:bottom w:val="single" w:color="auto" w:sz="4" w:space="0"/>
              <w:right w:val="single" w:color="000000" w:sz="4" w:space="0"/>
            </w:tcBorders>
            <w:noWrap w:val="0"/>
            <w:vAlign w:val="center"/>
          </w:tcPr>
          <w:p w14:paraId="1815219A">
            <w:pPr>
              <w:keepNext w:val="0"/>
              <w:keepLines w:val="0"/>
              <w:widowControl/>
              <w:suppressLineNumbers w:val="0"/>
              <w:spacing w:line="240" w:lineRule="auto"/>
              <w:ind w:left="-2" w:leftChars="0"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根据招标文件采购清单及技术参数的要求，投标人所投产品技术参数和配置完全满足或优于招标文件技术参数、要求的，得1</w:t>
            </w:r>
            <w:r>
              <w:rPr>
                <w:rFonts w:hint="eastAsia" w:ascii="宋体" w:hAnsi="宋体" w:cs="宋体"/>
                <w:i w:val="0"/>
                <w:iCs w:val="0"/>
                <w:color w:val="auto"/>
                <w:kern w:val="0"/>
                <w:sz w:val="24"/>
                <w:szCs w:val="24"/>
                <w:u w:val="none"/>
                <w:lang w:val="en-US" w:eastAsia="zh-CN" w:bidi="ar"/>
              </w:rPr>
              <w:t>9</w:t>
            </w:r>
            <w:r>
              <w:rPr>
                <w:rFonts w:hint="eastAsia" w:ascii="宋体" w:hAnsi="宋体" w:eastAsia="宋体" w:cs="宋体"/>
                <w:i w:val="0"/>
                <w:iCs w:val="0"/>
                <w:color w:val="auto"/>
                <w:kern w:val="0"/>
                <w:sz w:val="24"/>
                <w:szCs w:val="24"/>
                <w:u w:val="none"/>
                <w:lang w:val="en-US" w:eastAsia="zh-CN" w:bidi="ar"/>
              </w:rPr>
              <w:t>分；标“▲”参数</w:t>
            </w:r>
            <w:r>
              <w:rPr>
                <w:rFonts w:hint="eastAsia" w:ascii="宋体" w:hAnsi="宋体" w:cs="宋体"/>
                <w:i w:val="0"/>
                <w:iCs w:val="0"/>
                <w:color w:val="auto"/>
                <w:kern w:val="0"/>
                <w:sz w:val="24"/>
                <w:szCs w:val="24"/>
                <w:u w:val="none"/>
                <w:lang w:val="en-US" w:eastAsia="zh-CN" w:bidi="ar"/>
              </w:rPr>
              <w:t>为本项目重要参数指标。</w:t>
            </w:r>
            <w:r>
              <w:rPr>
                <w:rFonts w:hint="eastAsia" w:ascii="宋体" w:hAnsi="宋体" w:eastAsia="宋体" w:cs="宋体"/>
                <w:i w:val="0"/>
                <w:iCs w:val="0"/>
                <w:color w:val="auto"/>
                <w:kern w:val="0"/>
                <w:sz w:val="24"/>
                <w:szCs w:val="24"/>
                <w:u w:val="none"/>
                <w:lang w:val="en-US" w:eastAsia="zh-CN" w:bidi="ar"/>
              </w:rPr>
              <w:t>每有1项不满足的扣1分，</w:t>
            </w:r>
            <w:r>
              <w:rPr>
                <w:rFonts w:hint="eastAsia" w:ascii="宋体" w:hAnsi="宋体" w:cs="宋体"/>
                <w:i w:val="0"/>
                <w:iCs w:val="0"/>
                <w:color w:val="auto"/>
                <w:kern w:val="0"/>
                <w:sz w:val="24"/>
                <w:szCs w:val="24"/>
                <w:u w:val="none"/>
                <w:lang w:val="en-US" w:eastAsia="zh-CN" w:bidi="ar"/>
              </w:rPr>
              <w:t>扣完为止</w:t>
            </w:r>
            <w:r>
              <w:rPr>
                <w:rFonts w:hint="eastAsia" w:ascii="宋体" w:hAnsi="宋体" w:eastAsia="宋体" w:cs="宋体"/>
                <w:i w:val="0"/>
                <w:iCs w:val="0"/>
                <w:color w:val="auto"/>
                <w:kern w:val="0"/>
                <w:sz w:val="24"/>
                <w:szCs w:val="24"/>
                <w:u w:val="none"/>
                <w:lang w:val="en-US" w:eastAsia="zh-CN" w:bidi="ar"/>
              </w:rPr>
              <w:t>。重复参数只评估一次，不做重复计算。</w:t>
            </w:r>
          </w:p>
          <w:p w14:paraId="47161967">
            <w:pPr>
              <w:keepNext w:val="0"/>
              <w:keepLines w:val="0"/>
              <w:widowControl/>
              <w:suppressLineNumbers w:val="0"/>
              <w:spacing w:line="240" w:lineRule="auto"/>
              <w:ind w:left="-2" w:leftChars="0" w:firstLine="0" w:firstLineChars="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注：投标人应按照招标文件要求提供证明材料，如不满足招标文件要求或未提供证明材料，则视为该项技术指标负偏离。</w:t>
            </w:r>
          </w:p>
        </w:tc>
        <w:tc>
          <w:tcPr>
            <w:tcW w:w="668" w:type="dxa"/>
            <w:tcBorders>
              <w:top w:val="single" w:color="000000" w:sz="4" w:space="0"/>
              <w:left w:val="single" w:color="000000" w:sz="4" w:space="0"/>
              <w:bottom w:val="single" w:color="auto" w:sz="4" w:space="0"/>
              <w:right w:val="single" w:color="000000" w:sz="4" w:space="0"/>
            </w:tcBorders>
            <w:noWrap w:val="0"/>
            <w:vAlign w:val="center"/>
          </w:tcPr>
          <w:p w14:paraId="6F3F1735">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1</w:t>
            </w:r>
            <w:r>
              <w:rPr>
                <w:rFonts w:hint="eastAsia" w:ascii="宋体" w:hAnsi="宋体" w:cs="宋体"/>
                <w:i w:val="0"/>
                <w:iCs w:val="0"/>
                <w:color w:val="auto"/>
                <w:kern w:val="0"/>
                <w:sz w:val="24"/>
                <w:szCs w:val="24"/>
                <w:u w:val="none"/>
                <w:lang w:val="en-US" w:eastAsia="zh-CN" w:bidi="ar"/>
              </w:rPr>
              <w:t>9</w:t>
            </w:r>
          </w:p>
        </w:tc>
      </w:tr>
      <w:tr w14:paraId="61FFC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jc w:val="center"/>
        </w:trPr>
        <w:tc>
          <w:tcPr>
            <w:tcW w:w="1145" w:type="dxa"/>
            <w:vMerge w:val="continue"/>
            <w:tcBorders>
              <w:left w:val="single" w:color="000000" w:sz="4" w:space="0"/>
              <w:right w:val="single" w:color="000000" w:sz="4" w:space="0"/>
            </w:tcBorders>
            <w:noWrap w:val="0"/>
            <w:vAlign w:val="center"/>
          </w:tcPr>
          <w:p w14:paraId="1ECEC2D1">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p>
        </w:tc>
        <w:tc>
          <w:tcPr>
            <w:tcW w:w="790" w:type="dxa"/>
            <w:tcBorders>
              <w:top w:val="single" w:color="auto" w:sz="4" w:space="0"/>
              <w:left w:val="single" w:color="000000" w:sz="4" w:space="0"/>
              <w:bottom w:val="single" w:color="auto" w:sz="4" w:space="0"/>
              <w:right w:val="single" w:color="000000" w:sz="4" w:space="0"/>
            </w:tcBorders>
            <w:noWrap w:val="0"/>
            <w:vAlign w:val="center"/>
          </w:tcPr>
          <w:p w14:paraId="1F40EED8">
            <w:pPr>
              <w:keepNext w:val="0"/>
              <w:keepLines w:val="0"/>
              <w:widowControl/>
              <w:suppressLineNumbers w:val="0"/>
              <w:spacing w:line="240" w:lineRule="auto"/>
              <w:ind w:firstLine="0" w:firstLine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演示技术指标</w:t>
            </w:r>
          </w:p>
        </w:tc>
        <w:tc>
          <w:tcPr>
            <w:tcW w:w="7773" w:type="dxa"/>
            <w:tcBorders>
              <w:top w:val="single" w:color="auto" w:sz="4" w:space="0"/>
              <w:left w:val="single" w:color="000000" w:sz="4" w:space="0"/>
              <w:bottom w:val="single" w:color="auto" w:sz="4" w:space="0"/>
              <w:right w:val="single" w:color="000000" w:sz="4" w:space="0"/>
            </w:tcBorders>
            <w:noWrap w:val="0"/>
            <w:vAlign w:val="center"/>
          </w:tcPr>
          <w:p w14:paraId="657F705B">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为了验证投标人所提供的产品功能实现及场景还原效果是否满足采购人教学需求，保证项目顺利实施，标“●”参数需提供视频演示以下内容</w:t>
            </w:r>
            <w:r>
              <w:rPr>
                <w:rFonts w:hint="eastAsia" w:ascii="宋体" w:hAnsi="宋体" w:cs="宋体"/>
                <w:i w:val="0"/>
                <w:iCs w:val="0"/>
                <w:color w:val="auto"/>
                <w:kern w:val="0"/>
                <w:sz w:val="24"/>
                <w:szCs w:val="24"/>
                <w:highlight w:val="none"/>
                <w:u w:val="none"/>
                <w:lang w:val="en-US" w:eastAsia="zh-CN" w:bidi="ar"/>
              </w:rPr>
              <w:t>。</w:t>
            </w:r>
          </w:p>
          <w:p w14:paraId="14876B16">
            <w:pPr>
              <w:keepNext w:val="0"/>
              <w:keepLines w:val="0"/>
              <w:widowControl/>
              <w:suppressLineNumbers w:val="0"/>
              <w:spacing w:line="240" w:lineRule="auto"/>
              <w:ind w:firstLine="0" w:firstLineChars="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cs="宋体"/>
                <w:b/>
                <w:bCs/>
                <w:i w:val="0"/>
                <w:iCs w:val="0"/>
                <w:color w:val="auto"/>
                <w:kern w:val="0"/>
                <w:sz w:val="24"/>
                <w:szCs w:val="24"/>
                <w:highlight w:val="none"/>
                <w:u w:val="none"/>
                <w:lang w:val="en-US" w:eastAsia="zh-CN" w:bidi="ar"/>
              </w:rPr>
              <w:t>（1）</w:t>
            </w:r>
            <w:r>
              <w:rPr>
                <w:rFonts w:hint="eastAsia" w:ascii="宋体" w:hAnsi="宋体" w:eastAsia="宋体" w:cs="宋体"/>
                <w:b/>
                <w:bCs/>
                <w:i w:val="0"/>
                <w:iCs w:val="0"/>
                <w:color w:val="auto"/>
                <w:kern w:val="0"/>
                <w:sz w:val="24"/>
                <w:szCs w:val="24"/>
                <w:highlight w:val="none"/>
                <w:u w:val="none"/>
                <w:lang w:val="en-US" w:eastAsia="zh-CN" w:bidi="ar"/>
              </w:rPr>
              <w:t>功能演示1：</w:t>
            </w:r>
          </w:p>
          <w:p w14:paraId="6D3E202D">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7.</w:t>
            </w:r>
            <w:r>
              <w:rPr>
                <w:rFonts w:hint="eastAsia" w:ascii="宋体" w:hAnsi="宋体" w:eastAsia="宋体" w:cs="宋体"/>
                <w:i w:val="0"/>
                <w:iCs w:val="0"/>
                <w:color w:val="auto"/>
                <w:kern w:val="0"/>
                <w:sz w:val="24"/>
                <w:szCs w:val="24"/>
                <w:highlight w:val="none"/>
                <w:u w:val="none"/>
                <w:lang w:val="en-US" w:eastAsia="zh-CN" w:bidi="ar"/>
              </w:rPr>
              <w:t>等级考试系统（一级WPS）：</w:t>
            </w:r>
          </w:p>
          <w:p w14:paraId="1F222823">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一、服务器端功能</w:t>
            </w:r>
          </w:p>
          <w:p w14:paraId="5254C5A3">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●1）导入、更新题库：升级只需要在服务器端更新题库，客户端会在下一次启动时自动下载最新试卷；（提供操作功能视频）以上演示内容完整且全部符合要求得1</w:t>
            </w:r>
            <w:r>
              <w:rPr>
                <w:rFonts w:hint="eastAsia" w:ascii="宋体" w:hAnsi="宋体" w:cs="宋体"/>
                <w:i w:val="0"/>
                <w:iCs w:val="0"/>
                <w:color w:val="auto"/>
                <w:kern w:val="0"/>
                <w:sz w:val="24"/>
                <w:szCs w:val="24"/>
                <w:highlight w:val="none"/>
                <w:u w:val="none"/>
                <w:lang w:val="en-US" w:eastAsia="zh-CN" w:bidi="ar"/>
              </w:rPr>
              <w:t>.5</w:t>
            </w:r>
            <w:r>
              <w:rPr>
                <w:rFonts w:hint="eastAsia" w:ascii="宋体" w:hAnsi="宋体" w:eastAsia="宋体" w:cs="宋体"/>
                <w:i w:val="0"/>
                <w:iCs w:val="0"/>
                <w:color w:val="auto"/>
                <w:kern w:val="0"/>
                <w:sz w:val="24"/>
                <w:szCs w:val="24"/>
                <w:highlight w:val="none"/>
                <w:u w:val="none"/>
                <w:lang w:val="en-US" w:eastAsia="zh-CN" w:bidi="ar"/>
              </w:rPr>
              <w:t>分，否则得0分。</w:t>
            </w:r>
          </w:p>
          <w:p w14:paraId="5CCF4677">
            <w:pPr>
              <w:keepNext w:val="0"/>
              <w:keepLines w:val="0"/>
              <w:widowControl/>
              <w:suppressLineNumbers w:val="0"/>
              <w:spacing w:line="240" w:lineRule="auto"/>
              <w:ind w:firstLine="0" w:firstLineChars="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cs="宋体"/>
                <w:b/>
                <w:bCs/>
                <w:i w:val="0"/>
                <w:iCs w:val="0"/>
                <w:color w:val="auto"/>
                <w:kern w:val="0"/>
                <w:sz w:val="24"/>
                <w:szCs w:val="24"/>
                <w:highlight w:val="none"/>
                <w:u w:val="none"/>
                <w:lang w:val="en-US" w:eastAsia="zh-CN" w:bidi="ar"/>
              </w:rPr>
              <w:t>（2）</w:t>
            </w:r>
            <w:r>
              <w:rPr>
                <w:rFonts w:hint="eastAsia" w:ascii="宋体" w:hAnsi="宋体" w:eastAsia="宋体" w:cs="宋体"/>
                <w:b/>
                <w:bCs/>
                <w:i w:val="0"/>
                <w:iCs w:val="0"/>
                <w:color w:val="auto"/>
                <w:kern w:val="0"/>
                <w:sz w:val="24"/>
                <w:szCs w:val="24"/>
                <w:highlight w:val="none"/>
                <w:u w:val="none"/>
                <w:lang w:val="en-US" w:eastAsia="zh-CN" w:bidi="ar"/>
              </w:rPr>
              <w:t>功能演示2：</w:t>
            </w:r>
          </w:p>
          <w:p w14:paraId="4D38DF4E">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7.</w:t>
            </w:r>
            <w:r>
              <w:rPr>
                <w:rFonts w:hint="eastAsia" w:ascii="宋体" w:hAnsi="宋体" w:eastAsia="宋体" w:cs="宋体"/>
                <w:i w:val="0"/>
                <w:iCs w:val="0"/>
                <w:color w:val="auto"/>
                <w:kern w:val="0"/>
                <w:sz w:val="24"/>
                <w:szCs w:val="24"/>
                <w:highlight w:val="none"/>
                <w:u w:val="none"/>
                <w:lang w:val="en-US" w:eastAsia="zh-CN" w:bidi="ar"/>
              </w:rPr>
              <w:t>等级考试系统（一级WPS）：</w:t>
            </w:r>
          </w:p>
          <w:p w14:paraId="7D5BACC0">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一、服务器端功能</w:t>
            </w:r>
          </w:p>
          <w:p w14:paraId="7A7FD767">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4）多科目题库管理：可添加多个科目，练习模式时客户端根据加密狗控制显示多个科目，考试模式时客户端根据预置的学号对应的科目自动下载该科目的试卷；（提供操作功能视频）以上演示内容完整且全部符合要求得1</w:t>
            </w:r>
            <w:r>
              <w:rPr>
                <w:rFonts w:hint="eastAsia" w:ascii="宋体" w:hAnsi="宋体" w:cs="宋体"/>
                <w:i w:val="0"/>
                <w:iCs w:val="0"/>
                <w:color w:val="auto"/>
                <w:kern w:val="0"/>
                <w:sz w:val="24"/>
                <w:szCs w:val="24"/>
                <w:highlight w:val="none"/>
                <w:u w:val="none"/>
                <w:lang w:val="en-US" w:eastAsia="zh-CN" w:bidi="ar"/>
              </w:rPr>
              <w:t>.5</w:t>
            </w:r>
            <w:r>
              <w:rPr>
                <w:rFonts w:hint="eastAsia" w:ascii="宋体" w:hAnsi="宋体" w:eastAsia="宋体" w:cs="宋体"/>
                <w:i w:val="0"/>
                <w:iCs w:val="0"/>
                <w:color w:val="auto"/>
                <w:kern w:val="0"/>
                <w:sz w:val="24"/>
                <w:szCs w:val="24"/>
                <w:highlight w:val="none"/>
                <w:u w:val="none"/>
                <w:lang w:val="en-US" w:eastAsia="zh-CN" w:bidi="ar"/>
              </w:rPr>
              <w:t>分，否则得0分。</w:t>
            </w:r>
          </w:p>
          <w:p w14:paraId="0E3A2FD7">
            <w:pPr>
              <w:keepNext w:val="0"/>
              <w:keepLines w:val="0"/>
              <w:widowControl/>
              <w:suppressLineNumbers w:val="0"/>
              <w:spacing w:line="240" w:lineRule="auto"/>
              <w:ind w:firstLine="0" w:firstLineChars="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cs="宋体"/>
                <w:b/>
                <w:bCs/>
                <w:i w:val="0"/>
                <w:iCs w:val="0"/>
                <w:color w:val="auto"/>
                <w:kern w:val="0"/>
                <w:sz w:val="24"/>
                <w:szCs w:val="24"/>
                <w:highlight w:val="none"/>
                <w:u w:val="none"/>
                <w:lang w:val="en-US" w:eastAsia="zh-CN" w:bidi="ar"/>
              </w:rPr>
              <w:t>（3）</w:t>
            </w:r>
            <w:r>
              <w:rPr>
                <w:rFonts w:hint="eastAsia" w:ascii="宋体" w:hAnsi="宋体" w:eastAsia="宋体" w:cs="宋体"/>
                <w:b/>
                <w:bCs/>
                <w:i w:val="0"/>
                <w:iCs w:val="0"/>
                <w:color w:val="auto"/>
                <w:kern w:val="0"/>
                <w:sz w:val="24"/>
                <w:szCs w:val="24"/>
                <w:highlight w:val="none"/>
                <w:u w:val="none"/>
                <w:lang w:val="en-US" w:eastAsia="zh-CN" w:bidi="ar"/>
              </w:rPr>
              <w:t>功能演示3：</w:t>
            </w:r>
          </w:p>
          <w:p w14:paraId="2711C2F9">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7.</w:t>
            </w:r>
            <w:r>
              <w:rPr>
                <w:rFonts w:hint="eastAsia" w:ascii="宋体" w:hAnsi="宋体" w:eastAsia="宋体" w:cs="宋体"/>
                <w:i w:val="0"/>
                <w:iCs w:val="0"/>
                <w:color w:val="auto"/>
                <w:kern w:val="0"/>
                <w:sz w:val="24"/>
                <w:szCs w:val="24"/>
                <w:highlight w:val="none"/>
                <w:u w:val="none"/>
                <w:lang w:val="en-US" w:eastAsia="zh-CN" w:bidi="ar"/>
              </w:rPr>
              <w:t>等级考试系统（一级WPS）：</w:t>
            </w:r>
          </w:p>
          <w:p w14:paraId="159BDB44">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一、服务器端功能</w:t>
            </w:r>
          </w:p>
          <w:p w14:paraId="322E2F9B">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●8）数据备份/还原：对于服务器端的数据可以进行备份存储，必要时也可以还原查看；（提供操作功能视频）以上演示内容完整且全部符合要求得1</w:t>
            </w:r>
            <w:r>
              <w:rPr>
                <w:rFonts w:hint="eastAsia" w:ascii="宋体" w:hAnsi="宋体" w:cs="宋体"/>
                <w:i w:val="0"/>
                <w:iCs w:val="0"/>
                <w:color w:val="auto"/>
                <w:kern w:val="0"/>
                <w:sz w:val="24"/>
                <w:szCs w:val="24"/>
                <w:highlight w:val="none"/>
                <w:u w:val="none"/>
                <w:lang w:val="en-US" w:eastAsia="zh-CN" w:bidi="ar"/>
              </w:rPr>
              <w:t>.5</w:t>
            </w:r>
            <w:r>
              <w:rPr>
                <w:rFonts w:hint="eastAsia" w:ascii="宋体" w:hAnsi="宋体" w:eastAsia="宋体" w:cs="宋体"/>
                <w:i w:val="0"/>
                <w:iCs w:val="0"/>
                <w:color w:val="auto"/>
                <w:kern w:val="0"/>
                <w:sz w:val="24"/>
                <w:szCs w:val="24"/>
                <w:highlight w:val="none"/>
                <w:u w:val="none"/>
                <w:lang w:val="en-US" w:eastAsia="zh-CN" w:bidi="ar"/>
              </w:rPr>
              <w:t>分，否则得0分。</w:t>
            </w:r>
          </w:p>
          <w:p w14:paraId="7D7E1D6A">
            <w:pPr>
              <w:keepNext w:val="0"/>
              <w:keepLines w:val="0"/>
              <w:widowControl/>
              <w:suppressLineNumbers w:val="0"/>
              <w:spacing w:line="240" w:lineRule="auto"/>
              <w:ind w:firstLine="0" w:firstLineChars="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cs="宋体"/>
                <w:b/>
                <w:bCs/>
                <w:i w:val="0"/>
                <w:iCs w:val="0"/>
                <w:color w:val="auto"/>
                <w:kern w:val="0"/>
                <w:sz w:val="24"/>
                <w:szCs w:val="24"/>
                <w:highlight w:val="none"/>
                <w:u w:val="none"/>
                <w:lang w:val="en-US" w:eastAsia="zh-CN" w:bidi="ar"/>
              </w:rPr>
              <w:t>（4）</w:t>
            </w:r>
            <w:r>
              <w:rPr>
                <w:rFonts w:hint="eastAsia" w:ascii="宋体" w:hAnsi="宋体" w:eastAsia="宋体" w:cs="宋体"/>
                <w:b/>
                <w:bCs/>
                <w:i w:val="0"/>
                <w:iCs w:val="0"/>
                <w:color w:val="auto"/>
                <w:kern w:val="0"/>
                <w:sz w:val="24"/>
                <w:szCs w:val="24"/>
                <w:highlight w:val="none"/>
                <w:u w:val="none"/>
                <w:lang w:val="en-US" w:eastAsia="zh-CN" w:bidi="ar"/>
              </w:rPr>
              <w:t>功能演示4：</w:t>
            </w:r>
          </w:p>
          <w:p w14:paraId="02D5218B">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7.</w:t>
            </w:r>
            <w:r>
              <w:rPr>
                <w:rFonts w:hint="eastAsia" w:ascii="宋体" w:hAnsi="宋体" w:eastAsia="宋体" w:cs="宋体"/>
                <w:i w:val="0"/>
                <w:iCs w:val="0"/>
                <w:color w:val="auto"/>
                <w:kern w:val="0"/>
                <w:sz w:val="24"/>
                <w:szCs w:val="24"/>
                <w:highlight w:val="none"/>
                <w:u w:val="none"/>
                <w:lang w:val="en-US" w:eastAsia="zh-CN" w:bidi="ar"/>
              </w:rPr>
              <w:t>等级考试系统（一级WPS）：</w:t>
            </w:r>
          </w:p>
          <w:p w14:paraId="6BF157B8">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二、客户端功能</w:t>
            </w:r>
          </w:p>
          <w:p w14:paraId="6C633AAB">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●2）详细的操作讲解（MP4格式，真人讲解）：对上机题的所有步骤进行详细讲解演示，实现自动评分，进行详细的知识点解析，方便学习；（提供操作功能视频）以上演示内容完整且全部符合要求得1</w:t>
            </w:r>
            <w:r>
              <w:rPr>
                <w:rFonts w:hint="eastAsia" w:ascii="宋体" w:hAnsi="宋体" w:cs="宋体"/>
                <w:i w:val="0"/>
                <w:iCs w:val="0"/>
                <w:color w:val="auto"/>
                <w:kern w:val="0"/>
                <w:sz w:val="24"/>
                <w:szCs w:val="24"/>
                <w:highlight w:val="none"/>
                <w:u w:val="none"/>
                <w:lang w:val="en-US" w:eastAsia="zh-CN" w:bidi="ar"/>
              </w:rPr>
              <w:t>.5</w:t>
            </w:r>
            <w:r>
              <w:rPr>
                <w:rFonts w:hint="eastAsia" w:ascii="宋体" w:hAnsi="宋体" w:eastAsia="宋体" w:cs="宋体"/>
                <w:i w:val="0"/>
                <w:iCs w:val="0"/>
                <w:color w:val="auto"/>
                <w:kern w:val="0"/>
                <w:sz w:val="24"/>
                <w:szCs w:val="24"/>
                <w:highlight w:val="none"/>
                <w:u w:val="none"/>
                <w:lang w:val="en-US" w:eastAsia="zh-CN" w:bidi="ar"/>
              </w:rPr>
              <w:t>分，否则得0分。</w:t>
            </w:r>
          </w:p>
          <w:p w14:paraId="792DFD37">
            <w:pPr>
              <w:keepNext w:val="0"/>
              <w:keepLines w:val="0"/>
              <w:widowControl/>
              <w:suppressLineNumbers w:val="0"/>
              <w:spacing w:line="240" w:lineRule="auto"/>
              <w:ind w:firstLine="0" w:firstLineChars="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cs="宋体"/>
                <w:b/>
                <w:bCs/>
                <w:i w:val="0"/>
                <w:iCs w:val="0"/>
                <w:color w:val="auto"/>
                <w:kern w:val="0"/>
                <w:sz w:val="24"/>
                <w:szCs w:val="24"/>
                <w:highlight w:val="none"/>
                <w:u w:val="none"/>
                <w:lang w:val="en-US" w:eastAsia="zh-CN" w:bidi="ar"/>
              </w:rPr>
              <w:t>（5）</w:t>
            </w:r>
            <w:r>
              <w:rPr>
                <w:rFonts w:hint="eastAsia" w:ascii="宋体" w:hAnsi="宋体" w:eastAsia="宋体" w:cs="宋体"/>
                <w:b/>
                <w:bCs/>
                <w:i w:val="0"/>
                <w:iCs w:val="0"/>
                <w:color w:val="auto"/>
                <w:kern w:val="0"/>
                <w:sz w:val="24"/>
                <w:szCs w:val="24"/>
                <w:highlight w:val="none"/>
                <w:u w:val="none"/>
                <w:lang w:val="en-US" w:eastAsia="zh-CN" w:bidi="ar"/>
              </w:rPr>
              <w:t>功能演示</w:t>
            </w:r>
            <w:r>
              <w:rPr>
                <w:rFonts w:hint="eastAsia" w:ascii="宋体" w:hAnsi="宋体" w:cs="宋体"/>
                <w:b/>
                <w:bCs/>
                <w:i w:val="0"/>
                <w:iCs w:val="0"/>
                <w:color w:val="auto"/>
                <w:kern w:val="0"/>
                <w:sz w:val="24"/>
                <w:szCs w:val="24"/>
                <w:highlight w:val="none"/>
                <w:u w:val="none"/>
                <w:lang w:val="en-US" w:eastAsia="zh-CN" w:bidi="ar"/>
              </w:rPr>
              <w:t>5</w:t>
            </w:r>
            <w:r>
              <w:rPr>
                <w:rFonts w:hint="eastAsia" w:ascii="宋体" w:hAnsi="宋体" w:eastAsia="宋体" w:cs="宋体"/>
                <w:b/>
                <w:bCs/>
                <w:i w:val="0"/>
                <w:iCs w:val="0"/>
                <w:color w:val="auto"/>
                <w:kern w:val="0"/>
                <w:sz w:val="24"/>
                <w:szCs w:val="24"/>
                <w:highlight w:val="none"/>
                <w:u w:val="none"/>
                <w:lang w:val="en-US" w:eastAsia="zh-CN" w:bidi="ar"/>
              </w:rPr>
              <w:t>：</w:t>
            </w:r>
          </w:p>
          <w:p w14:paraId="40F7B2A5">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13.</w:t>
            </w:r>
            <w:r>
              <w:rPr>
                <w:rFonts w:hint="eastAsia" w:ascii="宋体" w:hAnsi="宋体" w:eastAsia="宋体" w:cs="宋体"/>
                <w:i w:val="0"/>
                <w:iCs w:val="0"/>
                <w:color w:val="auto"/>
                <w:kern w:val="0"/>
                <w:sz w:val="24"/>
                <w:szCs w:val="24"/>
                <w:highlight w:val="none"/>
                <w:u w:val="none"/>
                <w:lang w:val="en-US" w:eastAsia="zh-CN" w:bidi="ar"/>
              </w:rPr>
              <w:t>AI全向拾音麦：</w:t>
            </w:r>
          </w:p>
          <w:p w14:paraId="06424438">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●16.支持多种类别的噪声抑制，如教室中常见的敲桌子、衣物面料摩擦声等噪声（提供对应降噪算法开、关的噪声抑制效果演示视频，视频中间不允许有任何剪辑）；以上演示内容完整且全部符合要求得1</w:t>
            </w:r>
            <w:r>
              <w:rPr>
                <w:rFonts w:hint="eastAsia" w:ascii="宋体" w:hAnsi="宋体" w:cs="宋体"/>
                <w:i w:val="0"/>
                <w:iCs w:val="0"/>
                <w:color w:val="auto"/>
                <w:kern w:val="0"/>
                <w:sz w:val="24"/>
                <w:szCs w:val="24"/>
                <w:highlight w:val="none"/>
                <w:u w:val="none"/>
                <w:lang w:val="en-US" w:eastAsia="zh-CN" w:bidi="ar"/>
              </w:rPr>
              <w:t>.5</w:t>
            </w:r>
            <w:r>
              <w:rPr>
                <w:rFonts w:hint="eastAsia" w:ascii="宋体" w:hAnsi="宋体" w:eastAsia="宋体" w:cs="宋体"/>
                <w:i w:val="0"/>
                <w:iCs w:val="0"/>
                <w:color w:val="auto"/>
                <w:kern w:val="0"/>
                <w:sz w:val="24"/>
                <w:szCs w:val="24"/>
                <w:highlight w:val="none"/>
                <w:u w:val="none"/>
                <w:lang w:val="en-US" w:eastAsia="zh-CN" w:bidi="ar"/>
              </w:rPr>
              <w:t>分，否则得0分。</w:t>
            </w:r>
          </w:p>
          <w:p w14:paraId="669B0CCD">
            <w:pPr>
              <w:keepNext w:val="0"/>
              <w:keepLines w:val="0"/>
              <w:widowControl/>
              <w:suppressLineNumbers w:val="0"/>
              <w:spacing w:line="240" w:lineRule="auto"/>
              <w:ind w:firstLine="0" w:firstLineChars="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cs="宋体"/>
                <w:b/>
                <w:bCs/>
                <w:i w:val="0"/>
                <w:iCs w:val="0"/>
                <w:color w:val="auto"/>
                <w:kern w:val="0"/>
                <w:sz w:val="24"/>
                <w:szCs w:val="24"/>
                <w:highlight w:val="none"/>
                <w:u w:val="none"/>
                <w:lang w:val="en-US" w:eastAsia="zh-CN" w:bidi="ar"/>
              </w:rPr>
              <w:t>（6）</w:t>
            </w:r>
            <w:r>
              <w:rPr>
                <w:rFonts w:hint="eastAsia" w:ascii="宋体" w:hAnsi="宋体" w:eastAsia="宋体" w:cs="宋体"/>
                <w:b/>
                <w:bCs/>
                <w:i w:val="0"/>
                <w:iCs w:val="0"/>
                <w:color w:val="auto"/>
                <w:kern w:val="0"/>
                <w:sz w:val="24"/>
                <w:szCs w:val="24"/>
                <w:highlight w:val="none"/>
                <w:u w:val="none"/>
                <w:lang w:val="en-US" w:eastAsia="zh-CN" w:bidi="ar"/>
              </w:rPr>
              <w:t>功能演示</w:t>
            </w:r>
            <w:r>
              <w:rPr>
                <w:rFonts w:hint="eastAsia" w:ascii="宋体" w:hAnsi="宋体" w:cs="宋体"/>
                <w:b/>
                <w:bCs/>
                <w:i w:val="0"/>
                <w:iCs w:val="0"/>
                <w:color w:val="auto"/>
                <w:kern w:val="0"/>
                <w:sz w:val="24"/>
                <w:szCs w:val="24"/>
                <w:highlight w:val="none"/>
                <w:u w:val="none"/>
                <w:lang w:val="en-US" w:eastAsia="zh-CN" w:bidi="ar"/>
              </w:rPr>
              <w:t>6</w:t>
            </w:r>
            <w:r>
              <w:rPr>
                <w:rFonts w:hint="eastAsia" w:ascii="宋体" w:hAnsi="宋体" w:eastAsia="宋体" w:cs="宋体"/>
                <w:b/>
                <w:bCs/>
                <w:i w:val="0"/>
                <w:iCs w:val="0"/>
                <w:color w:val="auto"/>
                <w:kern w:val="0"/>
                <w:sz w:val="24"/>
                <w:szCs w:val="24"/>
                <w:highlight w:val="none"/>
                <w:u w:val="none"/>
                <w:lang w:val="en-US" w:eastAsia="zh-CN" w:bidi="ar"/>
              </w:rPr>
              <w:t>：</w:t>
            </w:r>
          </w:p>
          <w:p w14:paraId="729F8703">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13.AI全向拾音麦：</w:t>
            </w:r>
          </w:p>
          <w:p w14:paraId="6D7CA35A">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23.可基于室内平面图标示的域精确设置拾音区，并灵活调节拾音区覆盖范围，根据建筑结构，能够满足矩形、方形、梯形或其他与建筑结构匹配的拾音区形状，调节范围可以精确到0.01米（提供拾音区范围、形状调节功能演示视频）；以上演示内容完整且全部符合要求得1</w:t>
            </w:r>
            <w:r>
              <w:rPr>
                <w:rFonts w:hint="eastAsia" w:ascii="宋体" w:hAnsi="宋体" w:cs="宋体"/>
                <w:i w:val="0"/>
                <w:iCs w:val="0"/>
                <w:color w:val="auto"/>
                <w:kern w:val="0"/>
                <w:sz w:val="24"/>
                <w:szCs w:val="24"/>
                <w:highlight w:val="none"/>
                <w:u w:val="none"/>
                <w:lang w:val="en-US" w:eastAsia="zh-CN" w:bidi="ar"/>
              </w:rPr>
              <w:t>.5</w:t>
            </w:r>
            <w:r>
              <w:rPr>
                <w:rFonts w:hint="eastAsia" w:ascii="宋体" w:hAnsi="宋体" w:eastAsia="宋体" w:cs="宋体"/>
                <w:i w:val="0"/>
                <w:iCs w:val="0"/>
                <w:color w:val="auto"/>
                <w:kern w:val="0"/>
                <w:sz w:val="24"/>
                <w:szCs w:val="24"/>
                <w:highlight w:val="none"/>
                <w:u w:val="none"/>
                <w:lang w:val="en-US" w:eastAsia="zh-CN" w:bidi="ar"/>
              </w:rPr>
              <w:t>分，否则得0分。</w:t>
            </w:r>
          </w:p>
          <w:p w14:paraId="574DD42E">
            <w:pPr>
              <w:keepNext w:val="0"/>
              <w:keepLines w:val="0"/>
              <w:widowControl/>
              <w:suppressLineNumbers w:val="0"/>
              <w:spacing w:line="240" w:lineRule="auto"/>
              <w:ind w:firstLine="0" w:firstLineChars="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cs="宋体"/>
                <w:b/>
                <w:bCs/>
                <w:i w:val="0"/>
                <w:iCs w:val="0"/>
                <w:color w:val="auto"/>
                <w:kern w:val="0"/>
                <w:sz w:val="24"/>
                <w:szCs w:val="24"/>
                <w:highlight w:val="none"/>
                <w:u w:val="none"/>
                <w:lang w:val="en-US" w:eastAsia="zh-CN" w:bidi="ar"/>
              </w:rPr>
              <w:t>（7）</w:t>
            </w:r>
            <w:r>
              <w:rPr>
                <w:rFonts w:hint="eastAsia" w:ascii="宋体" w:hAnsi="宋体" w:eastAsia="宋体" w:cs="宋体"/>
                <w:b/>
                <w:bCs/>
                <w:i w:val="0"/>
                <w:iCs w:val="0"/>
                <w:color w:val="auto"/>
                <w:kern w:val="0"/>
                <w:sz w:val="24"/>
                <w:szCs w:val="24"/>
                <w:highlight w:val="none"/>
                <w:u w:val="none"/>
                <w:lang w:val="en-US" w:eastAsia="zh-CN" w:bidi="ar"/>
              </w:rPr>
              <w:t>功能演示</w:t>
            </w:r>
            <w:r>
              <w:rPr>
                <w:rFonts w:hint="eastAsia" w:ascii="宋体" w:hAnsi="宋体" w:cs="宋体"/>
                <w:b/>
                <w:bCs/>
                <w:i w:val="0"/>
                <w:iCs w:val="0"/>
                <w:color w:val="auto"/>
                <w:kern w:val="0"/>
                <w:sz w:val="24"/>
                <w:szCs w:val="24"/>
                <w:highlight w:val="none"/>
                <w:u w:val="none"/>
                <w:lang w:val="en-US" w:eastAsia="zh-CN" w:bidi="ar"/>
              </w:rPr>
              <w:t>7</w:t>
            </w:r>
            <w:r>
              <w:rPr>
                <w:rFonts w:hint="eastAsia" w:ascii="宋体" w:hAnsi="宋体" w:eastAsia="宋体" w:cs="宋体"/>
                <w:b/>
                <w:bCs/>
                <w:i w:val="0"/>
                <w:iCs w:val="0"/>
                <w:color w:val="auto"/>
                <w:kern w:val="0"/>
                <w:sz w:val="24"/>
                <w:szCs w:val="24"/>
                <w:highlight w:val="none"/>
                <w:u w:val="none"/>
                <w:lang w:val="en-US" w:eastAsia="zh-CN" w:bidi="ar"/>
              </w:rPr>
              <w:t>：</w:t>
            </w:r>
          </w:p>
          <w:p w14:paraId="49C85868">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13.</w:t>
            </w:r>
            <w:r>
              <w:rPr>
                <w:rFonts w:hint="eastAsia" w:ascii="宋体" w:hAnsi="宋体" w:eastAsia="宋体" w:cs="宋体"/>
                <w:i w:val="0"/>
                <w:iCs w:val="0"/>
                <w:color w:val="auto"/>
                <w:kern w:val="0"/>
                <w:sz w:val="24"/>
                <w:szCs w:val="24"/>
                <w:highlight w:val="none"/>
                <w:u w:val="none"/>
                <w:lang w:val="en-US" w:eastAsia="zh-CN" w:bidi="ar"/>
              </w:rPr>
              <w:t>AI全向拾音麦：</w:t>
            </w:r>
          </w:p>
          <w:p w14:paraId="55B07973">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●27.吸顶麦系统支持配置的保存、导入，预配置多个参数进行切换，方便大规模系统配置和调试（提供调试软件录制视频，视频中间不允许有任何剪辑）；以上演示内容完整且全部符合要求得1</w:t>
            </w:r>
            <w:r>
              <w:rPr>
                <w:rFonts w:hint="eastAsia" w:ascii="宋体" w:hAnsi="宋体" w:cs="宋体"/>
                <w:i w:val="0"/>
                <w:iCs w:val="0"/>
                <w:color w:val="auto"/>
                <w:kern w:val="0"/>
                <w:sz w:val="24"/>
                <w:szCs w:val="24"/>
                <w:highlight w:val="none"/>
                <w:u w:val="none"/>
                <w:lang w:val="en-US" w:eastAsia="zh-CN" w:bidi="ar"/>
              </w:rPr>
              <w:t>.5</w:t>
            </w:r>
            <w:r>
              <w:rPr>
                <w:rFonts w:hint="eastAsia" w:ascii="宋体" w:hAnsi="宋体" w:eastAsia="宋体" w:cs="宋体"/>
                <w:i w:val="0"/>
                <w:iCs w:val="0"/>
                <w:color w:val="auto"/>
                <w:kern w:val="0"/>
                <w:sz w:val="24"/>
                <w:szCs w:val="24"/>
                <w:highlight w:val="none"/>
                <w:u w:val="none"/>
                <w:lang w:val="en-US" w:eastAsia="zh-CN" w:bidi="ar"/>
              </w:rPr>
              <w:t>分，否则得0分。</w:t>
            </w:r>
          </w:p>
          <w:p w14:paraId="191BC905">
            <w:pPr>
              <w:keepNext w:val="0"/>
              <w:keepLines w:val="0"/>
              <w:widowControl/>
              <w:suppressLineNumbers w:val="0"/>
              <w:spacing w:line="240" w:lineRule="auto"/>
              <w:ind w:firstLine="0" w:firstLineChars="0"/>
              <w:jc w:val="left"/>
              <w:textAlignment w:val="center"/>
              <w:rPr>
                <w:rFonts w:hint="eastAsia" w:ascii="宋体" w:hAnsi="宋体" w:eastAsia="宋体" w:cs="宋体"/>
                <w:b/>
                <w:bCs/>
                <w:i w:val="0"/>
                <w:iCs w:val="0"/>
                <w:color w:val="auto"/>
                <w:kern w:val="0"/>
                <w:sz w:val="24"/>
                <w:szCs w:val="24"/>
                <w:highlight w:val="none"/>
                <w:u w:val="none"/>
                <w:lang w:val="en-US" w:eastAsia="zh-CN" w:bidi="ar"/>
              </w:rPr>
            </w:pPr>
            <w:r>
              <w:rPr>
                <w:rFonts w:hint="eastAsia" w:ascii="宋体" w:hAnsi="宋体" w:cs="宋体"/>
                <w:b/>
                <w:bCs/>
                <w:i w:val="0"/>
                <w:iCs w:val="0"/>
                <w:color w:val="auto"/>
                <w:kern w:val="0"/>
                <w:sz w:val="24"/>
                <w:szCs w:val="24"/>
                <w:highlight w:val="none"/>
                <w:u w:val="none"/>
                <w:lang w:val="en-US" w:eastAsia="zh-CN" w:bidi="ar"/>
              </w:rPr>
              <w:t>（8）</w:t>
            </w:r>
            <w:r>
              <w:rPr>
                <w:rFonts w:hint="eastAsia" w:ascii="宋体" w:hAnsi="宋体" w:eastAsia="宋体" w:cs="宋体"/>
                <w:b/>
                <w:bCs/>
                <w:i w:val="0"/>
                <w:iCs w:val="0"/>
                <w:color w:val="auto"/>
                <w:kern w:val="0"/>
                <w:sz w:val="24"/>
                <w:szCs w:val="24"/>
                <w:highlight w:val="none"/>
                <w:u w:val="none"/>
                <w:lang w:val="en-US" w:eastAsia="zh-CN" w:bidi="ar"/>
              </w:rPr>
              <w:t>功能演示</w:t>
            </w:r>
            <w:r>
              <w:rPr>
                <w:rFonts w:hint="eastAsia" w:ascii="宋体" w:hAnsi="宋体" w:cs="宋体"/>
                <w:b/>
                <w:bCs/>
                <w:i w:val="0"/>
                <w:iCs w:val="0"/>
                <w:color w:val="auto"/>
                <w:kern w:val="0"/>
                <w:sz w:val="24"/>
                <w:szCs w:val="24"/>
                <w:highlight w:val="none"/>
                <w:u w:val="none"/>
                <w:lang w:val="en-US" w:eastAsia="zh-CN" w:bidi="ar"/>
              </w:rPr>
              <w:t>8</w:t>
            </w:r>
            <w:r>
              <w:rPr>
                <w:rFonts w:hint="eastAsia" w:ascii="宋体" w:hAnsi="宋体" w:eastAsia="宋体" w:cs="宋体"/>
                <w:b/>
                <w:bCs/>
                <w:i w:val="0"/>
                <w:iCs w:val="0"/>
                <w:color w:val="auto"/>
                <w:kern w:val="0"/>
                <w:sz w:val="24"/>
                <w:szCs w:val="24"/>
                <w:highlight w:val="none"/>
                <w:u w:val="none"/>
                <w:lang w:val="en-US" w:eastAsia="zh-CN" w:bidi="ar"/>
              </w:rPr>
              <w:t>：</w:t>
            </w:r>
          </w:p>
          <w:p w14:paraId="2786EEE6">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auto"/>
                <w:kern w:val="0"/>
                <w:sz w:val="24"/>
                <w:szCs w:val="24"/>
                <w:highlight w:val="none"/>
                <w:u w:val="none"/>
                <w:lang w:val="en-US" w:eastAsia="zh-CN" w:bidi="ar"/>
              </w:rPr>
            </w:pPr>
            <w:r>
              <w:rPr>
                <w:rFonts w:hint="eastAsia" w:ascii="宋体" w:hAnsi="宋体" w:cs="宋体"/>
                <w:i w:val="0"/>
                <w:iCs w:val="0"/>
                <w:color w:val="auto"/>
                <w:kern w:val="0"/>
                <w:sz w:val="24"/>
                <w:szCs w:val="24"/>
                <w:highlight w:val="none"/>
                <w:u w:val="none"/>
                <w:lang w:val="en-US" w:eastAsia="zh-CN" w:bidi="ar"/>
              </w:rPr>
              <w:t>13.</w:t>
            </w:r>
            <w:r>
              <w:rPr>
                <w:rFonts w:hint="eastAsia" w:ascii="宋体" w:hAnsi="宋体" w:eastAsia="宋体" w:cs="宋体"/>
                <w:i w:val="0"/>
                <w:iCs w:val="0"/>
                <w:color w:val="auto"/>
                <w:kern w:val="0"/>
                <w:sz w:val="24"/>
                <w:szCs w:val="24"/>
                <w:highlight w:val="none"/>
                <w:u w:val="none"/>
                <w:lang w:val="en-US" w:eastAsia="zh-CN" w:bidi="ar"/>
              </w:rPr>
              <w:t>AI全向拾音麦：</w:t>
            </w:r>
          </w:p>
          <w:p w14:paraId="52E14DA0">
            <w:pPr>
              <w:keepNext w:val="0"/>
              <w:keepLines w:val="0"/>
              <w:widowControl/>
              <w:suppressLineNumbers w:val="0"/>
              <w:spacing w:line="240" w:lineRule="auto"/>
              <w:ind w:firstLine="0" w:firstLineChars="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●31.具备可视化声源定位能力，实时捕捉讲师位置，便于精准定位收音区域（提供功能演示视频）</w:t>
            </w:r>
            <w:r>
              <w:rPr>
                <w:rFonts w:hint="eastAsia" w:ascii="宋体" w:hAnsi="宋体" w:cs="宋体"/>
                <w:i w:val="0"/>
                <w:iCs w:val="0"/>
                <w:color w:val="auto"/>
                <w:kern w:val="0"/>
                <w:sz w:val="24"/>
                <w:szCs w:val="24"/>
                <w:u w:val="none"/>
                <w:lang w:val="en-US" w:eastAsia="zh-CN" w:bidi="ar"/>
              </w:rPr>
              <w:t>。</w:t>
            </w:r>
            <w:r>
              <w:rPr>
                <w:rFonts w:hint="eastAsia" w:ascii="宋体" w:hAnsi="宋体" w:eastAsia="宋体" w:cs="宋体"/>
                <w:i w:val="0"/>
                <w:iCs w:val="0"/>
                <w:color w:val="auto"/>
                <w:kern w:val="0"/>
                <w:sz w:val="24"/>
                <w:szCs w:val="24"/>
                <w:highlight w:val="none"/>
                <w:u w:val="none"/>
                <w:lang w:val="en-US" w:eastAsia="zh-CN" w:bidi="ar"/>
              </w:rPr>
              <w:t>以上演示内容完整且全部符合要求得1</w:t>
            </w:r>
            <w:r>
              <w:rPr>
                <w:rFonts w:hint="eastAsia" w:ascii="宋体" w:hAnsi="宋体" w:cs="宋体"/>
                <w:i w:val="0"/>
                <w:iCs w:val="0"/>
                <w:color w:val="auto"/>
                <w:kern w:val="0"/>
                <w:sz w:val="24"/>
                <w:szCs w:val="24"/>
                <w:highlight w:val="none"/>
                <w:u w:val="none"/>
                <w:lang w:val="en-US" w:eastAsia="zh-CN" w:bidi="ar"/>
              </w:rPr>
              <w:t>.5</w:t>
            </w:r>
            <w:r>
              <w:rPr>
                <w:rFonts w:hint="eastAsia" w:ascii="宋体" w:hAnsi="宋体" w:eastAsia="宋体" w:cs="宋体"/>
                <w:i w:val="0"/>
                <w:iCs w:val="0"/>
                <w:color w:val="auto"/>
                <w:kern w:val="0"/>
                <w:sz w:val="24"/>
                <w:szCs w:val="24"/>
                <w:highlight w:val="none"/>
                <w:u w:val="none"/>
                <w:lang w:val="en-US" w:eastAsia="zh-CN" w:bidi="ar"/>
              </w:rPr>
              <w:t>分，否则得0分</w:t>
            </w:r>
          </w:p>
          <w:p w14:paraId="7DED1132">
            <w:pPr>
              <w:keepNext w:val="0"/>
              <w:keepLines w:val="0"/>
              <w:widowControl/>
              <w:suppressLineNumbers w:val="0"/>
              <w:spacing w:line="240" w:lineRule="auto"/>
              <w:ind w:firstLine="0" w:firstLineChars="0"/>
              <w:jc w:val="left"/>
              <w:textAlignment w:val="center"/>
              <w:rPr>
                <w:rFonts w:hint="default" w:ascii="宋体" w:hAnsi="宋体" w:eastAsia="宋体" w:cs="宋体"/>
                <w:i w:val="0"/>
                <w:iCs w:val="0"/>
                <w:color w:val="auto"/>
                <w:kern w:val="0"/>
                <w:sz w:val="24"/>
                <w:szCs w:val="24"/>
                <w:highlight w:val="none"/>
                <w:u w:val="none"/>
                <w:lang w:val="en-US" w:eastAsia="zh-CN" w:bidi="ar"/>
              </w:rPr>
            </w:pPr>
            <w:r>
              <w:rPr>
                <w:rFonts w:hint="eastAsia" w:ascii="宋体" w:hAnsi="宋体" w:eastAsia="宋体" w:cs="宋体"/>
                <w:i w:val="0"/>
                <w:iCs w:val="0"/>
                <w:color w:val="auto"/>
                <w:kern w:val="0"/>
                <w:sz w:val="24"/>
                <w:szCs w:val="24"/>
                <w:highlight w:val="none"/>
                <w:u w:val="none"/>
                <w:lang w:val="en-US" w:eastAsia="zh-CN" w:bidi="ar"/>
              </w:rPr>
              <w:t>以上</w:t>
            </w:r>
            <w:r>
              <w:rPr>
                <w:rFonts w:hint="eastAsia" w:ascii="宋体" w:hAnsi="宋体" w:cs="宋体"/>
                <w:i w:val="0"/>
                <w:iCs w:val="0"/>
                <w:color w:val="auto"/>
                <w:kern w:val="0"/>
                <w:sz w:val="24"/>
                <w:szCs w:val="24"/>
                <w:highlight w:val="none"/>
                <w:u w:val="none"/>
                <w:lang w:val="en-US" w:eastAsia="zh-CN" w:bidi="ar"/>
              </w:rPr>
              <w:t>（1）-（8）项</w:t>
            </w:r>
            <w:r>
              <w:rPr>
                <w:rFonts w:hint="eastAsia" w:ascii="宋体" w:hAnsi="宋体" w:eastAsia="宋体" w:cs="宋体"/>
                <w:i w:val="0"/>
                <w:iCs w:val="0"/>
                <w:color w:val="auto"/>
                <w:kern w:val="0"/>
                <w:sz w:val="24"/>
                <w:szCs w:val="24"/>
                <w:highlight w:val="none"/>
                <w:u w:val="none"/>
                <w:lang w:val="en-US" w:eastAsia="zh-CN" w:bidi="ar"/>
              </w:rPr>
              <w:t>演示内容完整且全部符合要求</w:t>
            </w:r>
            <w:r>
              <w:rPr>
                <w:rFonts w:hint="eastAsia" w:ascii="宋体" w:hAnsi="宋体" w:cs="宋体"/>
                <w:i w:val="0"/>
                <w:iCs w:val="0"/>
                <w:color w:val="auto"/>
                <w:kern w:val="0"/>
                <w:sz w:val="24"/>
                <w:szCs w:val="24"/>
                <w:highlight w:val="none"/>
                <w:u w:val="none"/>
                <w:lang w:val="en-US" w:eastAsia="zh-CN" w:bidi="ar"/>
              </w:rPr>
              <w:t>的，每满足1项</w:t>
            </w:r>
            <w:r>
              <w:rPr>
                <w:rFonts w:hint="eastAsia" w:ascii="宋体" w:hAnsi="宋体" w:eastAsia="宋体" w:cs="宋体"/>
                <w:i w:val="0"/>
                <w:iCs w:val="0"/>
                <w:color w:val="auto"/>
                <w:kern w:val="0"/>
                <w:sz w:val="24"/>
                <w:szCs w:val="24"/>
                <w:highlight w:val="none"/>
                <w:u w:val="none"/>
                <w:lang w:val="en-US" w:eastAsia="zh-CN" w:bidi="ar"/>
              </w:rPr>
              <w:t>得1</w:t>
            </w:r>
            <w:r>
              <w:rPr>
                <w:rFonts w:hint="eastAsia" w:ascii="宋体" w:hAnsi="宋体" w:cs="宋体"/>
                <w:i w:val="0"/>
                <w:iCs w:val="0"/>
                <w:color w:val="auto"/>
                <w:kern w:val="0"/>
                <w:sz w:val="24"/>
                <w:szCs w:val="24"/>
                <w:highlight w:val="none"/>
                <w:u w:val="none"/>
                <w:lang w:val="en-US" w:eastAsia="zh-CN" w:bidi="ar"/>
              </w:rPr>
              <w:t>.5</w:t>
            </w:r>
            <w:r>
              <w:rPr>
                <w:rFonts w:hint="eastAsia" w:ascii="宋体" w:hAnsi="宋体" w:eastAsia="宋体" w:cs="宋体"/>
                <w:i w:val="0"/>
                <w:iCs w:val="0"/>
                <w:color w:val="auto"/>
                <w:kern w:val="0"/>
                <w:sz w:val="24"/>
                <w:szCs w:val="24"/>
                <w:highlight w:val="none"/>
                <w:u w:val="none"/>
                <w:lang w:val="en-US" w:eastAsia="zh-CN" w:bidi="ar"/>
              </w:rPr>
              <w:t>分，否则得0分</w:t>
            </w:r>
            <w:r>
              <w:rPr>
                <w:rFonts w:hint="eastAsia" w:ascii="宋体" w:hAnsi="宋体" w:cs="宋体"/>
                <w:i w:val="0"/>
                <w:iCs w:val="0"/>
                <w:color w:val="auto"/>
                <w:kern w:val="0"/>
                <w:sz w:val="24"/>
                <w:szCs w:val="24"/>
                <w:highlight w:val="none"/>
                <w:u w:val="none"/>
                <w:lang w:val="en-US" w:eastAsia="zh-CN" w:bidi="ar"/>
              </w:rPr>
              <w:t>，满分12分</w:t>
            </w:r>
            <w:r>
              <w:rPr>
                <w:rFonts w:hint="eastAsia" w:ascii="宋体" w:hAnsi="宋体" w:eastAsia="宋体" w:cs="宋体"/>
                <w:i w:val="0"/>
                <w:iCs w:val="0"/>
                <w:color w:val="auto"/>
                <w:kern w:val="0"/>
                <w:sz w:val="24"/>
                <w:szCs w:val="24"/>
                <w:highlight w:val="none"/>
                <w:u w:val="none"/>
                <w:lang w:val="en-US" w:eastAsia="zh-CN" w:bidi="ar"/>
              </w:rPr>
              <w:t>。</w:t>
            </w:r>
          </w:p>
        </w:tc>
        <w:tc>
          <w:tcPr>
            <w:tcW w:w="668" w:type="dxa"/>
            <w:tcBorders>
              <w:top w:val="single" w:color="auto" w:sz="4" w:space="0"/>
              <w:left w:val="single" w:color="000000" w:sz="4" w:space="0"/>
              <w:bottom w:val="single" w:color="auto" w:sz="4" w:space="0"/>
              <w:right w:val="single" w:color="000000" w:sz="4" w:space="0"/>
            </w:tcBorders>
            <w:noWrap w:val="0"/>
            <w:vAlign w:val="center"/>
          </w:tcPr>
          <w:p w14:paraId="19B574DD">
            <w:pPr>
              <w:keepNext w:val="0"/>
              <w:keepLines w:val="0"/>
              <w:widowControl/>
              <w:suppressLineNumbers w:val="0"/>
              <w:spacing w:line="240" w:lineRule="auto"/>
              <w:ind w:firstLine="0" w:firstLineChars="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12</w:t>
            </w:r>
          </w:p>
        </w:tc>
      </w:tr>
      <w:tr w14:paraId="47B03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01" w:hRule="atLeast"/>
          <w:jc w:val="center"/>
        </w:trPr>
        <w:tc>
          <w:tcPr>
            <w:tcW w:w="11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797639">
            <w:pPr>
              <w:widowControl w:val="0"/>
              <w:spacing w:line="240" w:lineRule="auto"/>
              <w:ind w:firstLine="0" w:firstLineChars="0"/>
              <w:jc w:val="center"/>
              <w:rPr>
                <w:rFonts w:hint="eastAsia" w:ascii="宋体" w:hAnsi="宋体" w:eastAsia="宋体" w:cs="宋体"/>
                <w:i w:val="0"/>
                <w:iCs w:val="0"/>
                <w:color w:val="auto"/>
                <w:sz w:val="24"/>
                <w:szCs w:val="24"/>
                <w:u w:val="none"/>
              </w:rPr>
            </w:pPr>
          </w:p>
        </w:tc>
        <w:tc>
          <w:tcPr>
            <w:tcW w:w="790" w:type="dxa"/>
            <w:tcBorders>
              <w:top w:val="single" w:color="000000" w:sz="4" w:space="0"/>
              <w:left w:val="single" w:color="000000" w:sz="4" w:space="0"/>
              <w:right w:val="single" w:color="000000" w:sz="4" w:space="0"/>
            </w:tcBorders>
            <w:noWrap w:val="0"/>
            <w:vAlign w:val="center"/>
          </w:tcPr>
          <w:p w14:paraId="154D69A2">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设备</w:t>
            </w:r>
            <w:r>
              <w:rPr>
                <w:rFonts w:hint="eastAsia" w:ascii="宋体" w:hAnsi="宋体" w:cs="宋体"/>
                <w:i w:val="0"/>
                <w:iCs w:val="0"/>
                <w:color w:val="auto"/>
                <w:kern w:val="0"/>
                <w:sz w:val="24"/>
                <w:szCs w:val="24"/>
                <w:u w:val="none"/>
                <w:lang w:val="en-US" w:eastAsia="zh-CN" w:bidi="ar"/>
              </w:rPr>
              <w:t>供货进度、</w:t>
            </w:r>
            <w:r>
              <w:rPr>
                <w:rFonts w:hint="eastAsia" w:ascii="宋体" w:hAnsi="宋体" w:eastAsia="宋体" w:cs="宋体"/>
                <w:i w:val="0"/>
                <w:iCs w:val="0"/>
                <w:color w:val="auto"/>
                <w:kern w:val="0"/>
                <w:sz w:val="24"/>
                <w:szCs w:val="24"/>
                <w:u w:val="none"/>
                <w:lang w:val="en-US" w:eastAsia="zh-CN" w:bidi="ar"/>
              </w:rPr>
              <w:t>运输、保管、安装调试方案</w:t>
            </w:r>
          </w:p>
        </w:tc>
        <w:tc>
          <w:tcPr>
            <w:tcW w:w="7773" w:type="dxa"/>
            <w:tcBorders>
              <w:top w:val="single" w:color="000000" w:sz="4" w:space="0"/>
              <w:left w:val="single" w:color="000000" w:sz="4" w:space="0"/>
              <w:right w:val="single" w:color="000000" w:sz="4" w:space="0"/>
            </w:tcBorders>
            <w:noWrap w:val="0"/>
            <w:vAlign w:val="center"/>
          </w:tcPr>
          <w:p w14:paraId="24A3BC77">
            <w:pPr>
              <w:keepNext w:val="0"/>
              <w:keepLines w:val="0"/>
              <w:widowControl/>
              <w:suppressLineNumbers w:val="0"/>
              <w:spacing w:line="240" w:lineRule="auto"/>
              <w:ind w:left="-2" w:leftChars="0" w:firstLine="0" w:firstLineChars="0"/>
              <w:jc w:val="left"/>
              <w:textAlignment w:val="center"/>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根据本项目实际特点，投标人应提供成品设备供货及安装调试保障方案，方案包括但不限于以下评审内容：</w:t>
            </w:r>
          </w:p>
          <w:p w14:paraId="47C46708">
            <w:pPr>
              <w:keepNext w:val="0"/>
              <w:keepLines w:val="0"/>
              <w:widowControl/>
              <w:suppressLineNumbers w:val="0"/>
              <w:spacing w:line="240" w:lineRule="auto"/>
              <w:ind w:left="-2" w:leftChars="0" w:firstLine="0" w:firstLineChars="0"/>
              <w:jc w:val="left"/>
              <w:textAlignment w:val="center"/>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（1）成品设备供货进度计划；</w:t>
            </w:r>
          </w:p>
          <w:p w14:paraId="03A1DF53">
            <w:pPr>
              <w:keepNext w:val="0"/>
              <w:keepLines w:val="0"/>
              <w:widowControl/>
              <w:suppressLineNumbers w:val="0"/>
              <w:spacing w:line="240" w:lineRule="auto"/>
              <w:ind w:left="-2" w:leftChars="0" w:firstLine="0" w:firstLineChars="0"/>
              <w:jc w:val="left"/>
              <w:textAlignment w:val="center"/>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（2）运输、保管保障方案；</w:t>
            </w:r>
          </w:p>
          <w:p w14:paraId="266A8753">
            <w:pPr>
              <w:keepNext w:val="0"/>
              <w:keepLines w:val="0"/>
              <w:widowControl/>
              <w:suppressLineNumbers w:val="0"/>
              <w:spacing w:line="240" w:lineRule="auto"/>
              <w:ind w:left="-2" w:leftChars="0" w:firstLine="0" w:firstLineChars="0"/>
              <w:jc w:val="left"/>
              <w:textAlignment w:val="center"/>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（3）安装调试方案。</w:t>
            </w:r>
          </w:p>
          <w:p w14:paraId="7FF72056">
            <w:pPr>
              <w:keepNext w:val="0"/>
              <w:keepLines w:val="0"/>
              <w:widowControl/>
              <w:suppressLineNumbers w:val="0"/>
              <w:spacing w:line="240" w:lineRule="auto"/>
              <w:ind w:left="-2" w:leftChars="0" w:firstLine="0" w:firstLineChars="0"/>
              <w:jc w:val="left"/>
              <w:textAlignment w:val="center"/>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评审标准：</w:t>
            </w:r>
          </w:p>
          <w:p w14:paraId="3FA15BCE">
            <w:pPr>
              <w:keepNext w:val="0"/>
              <w:keepLines w:val="0"/>
              <w:widowControl/>
              <w:suppressLineNumbers w:val="0"/>
              <w:spacing w:line="240" w:lineRule="auto"/>
              <w:ind w:left="-2" w:leftChars="0" w:firstLine="0" w:firstLineChars="0"/>
              <w:jc w:val="left"/>
              <w:textAlignment w:val="center"/>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（1）完整性：方案涵盖上述四项评审内容，不缺项；</w:t>
            </w:r>
          </w:p>
          <w:p w14:paraId="5FEB2D9E">
            <w:pPr>
              <w:keepNext w:val="0"/>
              <w:keepLines w:val="0"/>
              <w:widowControl/>
              <w:suppressLineNumbers w:val="0"/>
              <w:spacing w:line="240" w:lineRule="auto"/>
              <w:ind w:left="-2" w:leftChars="0" w:firstLine="0" w:firstLineChars="0"/>
              <w:jc w:val="left"/>
              <w:textAlignment w:val="center"/>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（2）科学性：方案建立在稳固的知识基础和合理的逻辑推理之上，保障策略有效、实用；</w:t>
            </w:r>
          </w:p>
          <w:p w14:paraId="0E51C834">
            <w:pPr>
              <w:keepNext w:val="0"/>
              <w:keepLines w:val="0"/>
              <w:widowControl/>
              <w:suppressLineNumbers w:val="0"/>
              <w:spacing w:line="240" w:lineRule="auto"/>
              <w:ind w:left="-2" w:leftChars="0" w:firstLine="0" w:firstLineChars="0"/>
              <w:jc w:val="left"/>
              <w:textAlignment w:val="center"/>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（3）合理可行性及针对性：考虑到可能出现的问题并提出有效的解决方案，方案可落地实施。</w:t>
            </w:r>
          </w:p>
          <w:p w14:paraId="6B65E363">
            <w:pPr>
              <w:keepNext w:val="0"/>
              <w:keepLines w:val="0"/>
              <w:widowControl/>
              <w:suppressLineNumbers w:val="0"/>
              <w:spacing w:line="240" w:lineRule="auto"/>
              <w:ind w:left="-2" w:leftChars="0" w:firstLine="0" w:firstLineChars="0"/>
              <w:jc w:val="left"/>
              <w:textAlignment w:val="center"/>
              <w:rPr>
                <w:rFonts w:hint="eastAsia" w:ascii="宋体" w:hAnsi="宋体" w:eastAsia="宋体" w:cs="宋体"/>
                <w:color w:val="auto"/>
                <w:spacing w:val="-5"/>
                <w:sz w:val="24"/>
                <w:szCs w:val="24"/>
              </w:rPr>
            </w:pPr>
            <w:r>
              <w:rPr>
                <w:rFonts w:hint="eastAsia" w:ascii="宋体" w:hAnsi="宋体" w:eastAsia="宋体" w:cs="宋体"/>
                <w:color w:val="auto"/>
                <w:spacing w:val="-5"/>
                <w:sz w:val="24"/>
                <w:szCs w:val="24"/>
              </w:rPr>
              <w:t>对上述3项评审内容进行打分，每项评审内容满足3项评审标准的，得1分；满足2项的，得0.5分；满足1项的，得0.25分；未提供对应内容的，不得分，满分3分。</w:t>
            </w:r>
          </w:p>
        </w:tc>
        <w:tc>
          <w:tcPr>
            <w:tcW w:w="668" w:type="dxa"/>
            <w:tcBorders>
              <w:top w:val="single" w:color="auto" w:sz="4" w:space="0"/>
              <w:left w:val="single" w:color="000000" w:sz="4" w:space="0"/>
              <w:bottom w:val="single" w:color="000000" w:sz="4" w:space="0"/>
              <w:right w:val="single" w:color="000000" w:sz="4" w:space="0"/>
            </w:tcBorders>
            <w:noWrap w:val="0"/>
            <w:vAlign w:val="center"/>
          </w:tcPr>
          <w:p w14:paraId="64D86BF9">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r>
      <w:tr w14:paraId="57548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 w:hRule="atLeast"/>
          <w:jc w:val="center"/>
        </w:trPr>
        <w:tc>
          <w:tcPr>
            <w:tcW w:w="1145" w:type="dxa"/>
            <w:vMerge w:val="continue"/>
            <w:tcBorders>
              <w:left w:val="single" w:color="000000" w:sz="4" w:space="0"/>
              <w:bottom w:val="single" w:color="000000" w:sz="4" w:space="0"/>
              <w:right w:val="single" w:color="000000" w:sz="4" w:space="0"/>
            </w:tcBorders>
            <w:noWrap w:val="0"/>
            <w:vAlign w:val="center"/>
          </w:tcPr>
          <w:p w14:paraId="6A1F5F86">
            <w:pPr>
              <w:widowControl w:val="0"/>
              <w:spacing w:line="240" w:lineRule="auto"/>
              <w:ind w:firstLine="0" w:firstLineChars="0"/>
              <w:jc w:val="center"/>
              <w:rPr>
                <w:rFonts w:hint="eastAsia" w:ascii="宋体" w:hAnsi="宋体" w:eastAsia="宋体" w:cs="宋体"/>
                <w:i w:val="0"/>
                <w:iCs w:val="0"/>
                <w:color w:val="auto"/>
                <w:sz w:val="24"/>
                <w:szCs w:val="24"/>
                <w:u w:val="none"/>
              </w:rPr>
            </w:pPr>
          </w:p>
        </w:tc>
        <w:tc>
          <w:tcPr>
            <w:tcW w:w="790" w:type="dxa"/>
            <w:tcBorders>
              <w:top w:val="single" w:color="auto" w:sz="4" w:space="0"/>
              <w:left w:val="single" w:color="000000" w:sz="4" w:space="0"/>
              <w:bottom w:val="single" w:color="auto" w:sz="4" w:space="0"/>
              <w:right w:val="single" w:color="000000" w:sz="4" w:space="0"/>
            </w:tcBorders>
            <w:noWrap w:val="0"/>
            <w:vAlign w:val="center"/>
          </w:tcPr>
          <w:p w14:paraId="4B81C293">
            <w:pPr>
              <w:widowControl w:val="0"/>
              <w:spacing w:before="279" w:line="240" w:lineRule="auto"/>
              <w:ind w:left="0" w:leftChars="0" w:firstLine="0" w:firstLineChars="0"/>
              <w:jc w:val="both"/>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pacing w:val="-2"/>
                <w:kern w:val="2"/>
                <w:sz w:val="24"/>
                <w:szCs w:val="24"/>
                <w:lang w:val="en-US" w:eastAsia="en-US" w:bidi="ar-SA"/>
              </w:rPr>
              <w:t>验收</w:t>
            </w:r>
            <w:r>
              <w:rPr>
                <w:rFonts w:hint="eastAsia" w:ascii="宋体" w:hAnsi="宋体" w:eastAsia="宋体" w:cs="宋体"/>
                <w:color w:val="auto"/>
                <w:spacing w:val="-2"/>
                <w:kern w:val="2"/>
                <w:sz w:val="24"/>
                <w:szCs w:val="24"/>
                <w:lang w:val="en-US" w:eastAsia="zh-CN" w:bidi="ar-SA"/>
              </w:rPr>
              <w:t>及培训</w:t>
            </w:r>
            <w:r>
              <w:rPr>
                <w:rFonts w:hint="eastAsia" w:ascii="宋体" w:hAnsi="宋体" w:eastAsia="宋体" w:cs="宋体"/>
                <w:color w:val="auto"/>
                <w:spacing w:val="-2"/>
                <w:kern w:val="2"/>
                <w:sz w:val="24"/>
                <w:szCs w:val="24"/>
                <w:lang w:val="en-US" w:eastAsia="en-US" w:bidi="ar-SA"/>
              </w:rPr>
              <w:t>方案</w:t>
            </w:r>
          </w:p>
        </w:tc>
        <w:tc>
          <w:tcPr>
            <w:tcW w:w="7773" w:type="dxa"/>
            <w:tcBorders>
              <w:top w:val="single" w:color="auto" w:sz="4" w:space="0"/>
              <w:left w:val="single" w:color="000000" w:sz="4" w:space="0"/>
              <w:bottom w:val="single" w:color="auto" w:sz="4" w:space="0"/>
              <w:right w:val="single" w:color="000000" w:sz="4" w:space="0"/>
            </w:tcBorders>
            <w:noWrap w:val="0"/>
            <w:vAlign w:val="top"/>
          </w:tcPr>
          <w:p w14:paraId="52AF8F90">
            <w:pPr>
              <w:widowControl w:val="0"/>
              <w:spacing w:before="97" w:line="240" w:lineRule="auto"/>
              <w:ind w:left="-2" w:leftChars="0" w:right="7" w:rightChars="0" w:firstLine="0" w:firstLineChars="0"/>
              <w:jc w:val="both"/>
              <w:rPr>
                <w:rFonts w:hint="eastAsia" w:ascii="宋体" w:hAnsi="宋体" w:eastAsia="宋体" w:cs="宋体"/>
                <w:color w:val="auto"/>
                <w:spacing w:val="-4"/>
                <w:kern w:val="2"/>
                <w:sz w:val="24"/>
                <w:szCs w:val="24"/>
                <w:lang w:val="en-US" w:eastAsia="en-US" w:bidi="ar-SA"/>
              </w:rPr>
            </w:pPr>
            <w:r>
              <w:rPr>
                <w:rFonts w:hint="eastAsia" w:ascii="宋体" w:hAnsi="宋体" w:eastAsia="宋体" w:cs="宋体"/>
                <w:color w:val="auto"/>
                <w:spacing w:val="-4"/>
                <w:kern w:val="2"/>
                <w:sz w:val="24"/>
                <w:szCs w:val="24"/>
                <w:lang w:val="en-US" w:eastAsia="en-US" w:bidi="ar-SA"/>
              </w:rPr>
              <w:t>根据本项目实际特点，投标人应提供验收及培训方案，方案包括但不限于以下评审内容：</w:t>
            </w:r>
          </w:p>
          <w:p w14:paraId="092FBD4C">
            <w:pPr>
              <w:widowControl w:val="0"/>
              <w:spacing w:before="97" w:line="240" w:lineRule="auto"/>
              <w:ind w:left="-2" w:leftChars="0" w:right="7" w:rightChars="0" w:firstLine="0" w:firstLineChars="0"/>
              <w:jc w:val="both"/>
              <w:rPr>
                <w:rFonts w:hint="eastAsia" w:ascii="宋体" w:hAnsi="宋体" w:eastAsia="宋体" w:cs="宋体"/>
                <w:color w:val="auto"/>
                <w:spacing w:val="-4"/>
                <w:kern w:val="2"/>
                <w:sz w:val="24"/>
                <w:szCs w:val="24"/>
                <w:lang w:val="en-US" w:eastAsia="en-US" w:bidi="ar-SA"/>
              </w:rPr>
            </w:pPr>
            <w:r>
              <w:rPr>
                <w:rFonts w:hint="eastAsia" w:ascii="宋体" w:hAnsi="宋体" w:eastAsia="宋体" w:cs="宋体"/>
                <w:color w:val="auto"/>
                <w:spacing w:val="-4"/>
                <w:kern w:val="2"/>
                <w:sz w:val="24"/>
                <w:szCs w:val="24"/>
                <w:lang w:val="en-US" w:eastAsia="en-US" w:bidi="ar-SA"/>
              </w:rPr>
              <w:t>（1）验收指导方案、验收标准；</w:t>
            </w:r>
          </w:p>
          <w:p w14:paraId="32731103">
            <w:pPr>
              <w:widowControl w:val="0"/>
              <w:spacing w:before="97" w:line="240" w:lineRule="auto"/>
              <w:ind w:left="-2" w:leftChars="0" w:right="7" w:rightChars="0" w:firstLine="0" w:firstLineChars="0"/>
              <w:jc w:val="both"/>
              <w:rPr>
                <w:rFonts w:hint="eastAsia" w:ascii="宋体" w:hAnsi="宋体" w:eastAsia="宋体" w:cs="宋体"/>
                <w:color w:val="auto"/>
                <w:spacing w:val="-4"/>
                <w:kern w:val="2"/>
                <w:sz w:val="24"/>
                <w:szCs w:val="24"/>
                <w:lang w:val="en-US" w:eastAsia="en-US" w:bidi="ar-SA"/>
              </w:rPr>
            </w:pPr>
            <w:r>
              <w:rPr>
                <w:rFonts w:hint="eastAsia" w:ascii="宋体" w:hAnsi="宋体" w:eastAsia="宋体" w:cs="宋体"/>
                <w:color w:val="auto"/>
                <w:spacing w:val="-4"/>
                <w:kern w:val="2"/>
                <w:sz w:val="24"/>
                <w:szCs w:val="24"/>
                <w:lang w:val="en-US" w:eastAsia="en-US" w:bidi="ar-SA"/>
              </w:rPr>
              <w:t>（2）培训目的及对象、培训计划、培训时间、培训课程；</w:t>
            </w:r>
          </w:p>
          <w:p w14:paraId="6DEC7980">
            <w:pPr>
              <w:widowControl w:val="0"/>
              <w:spacing w:before="97" w:line="240" w:lineRule="auto"/>
              <w:ind w:left="-2" w:leftChars="0" w:right="7" w:rightChars="0" w:firstLine="0" w:firstLineChars="0"/>
              <w:jc w:val="both"/>
              <w:rPr>
                <w:rFonts w:hint="eastAsia" w:ascii="宋体" w:hAnsi="宋体" w:eastAsia="宋体" w:cs="宋体"/>
                <w:color w:val="auto"/>
                <w:spacing w:val="-4"/>
                <w:kern w:val="2"/>
                <w:sz w:val="24"/>
                <w:szCs w:val="24"/>
                <w:lang w:val="en-US" w:eastAsia="en-US" w:bidi="ar-SA"/>
              </w:rPr>
            </w:pPr>
            <w:r>
              <w:rPr>
                <w:rFonts w:hint="eastAsia" w:ascii="宋体" w:hAnsi="宋体" w:eastAsia="宋体" w:cs="宋体"/>
                <w:color w:val="auto"/>
                <w:spacing w:val="-4"/>
                <w:kern w:val="2"/>
                <w:sz w:val="24"/>
                <w:szCs w:val="24"/>
                <w:lang w:val="en-US" w:eastAsia="en-US" w:bidi="ar-SA"/>
              </w:rPr>
              <w:t>评审标准：</w:t>
            </w:r>
          </w:p>
          <w:p w14:paraId="57DB0812">
            <w:pPr>
              <w:widowControl w:val="0"/>
              <w:spacing w:before="97" w:line="240" w:lineRule="auto"/>
              <w:ind w:left="-2" w:leftChars="0" w:right="7" w:rightChars="0" w:firstLine="0" w:firstLineChars="0"/>
              <w:jc w:val="both"/>
              <w:rPr>
                <w:rFonts w:hint="eastAsia" w:ascii="宋体" w:hAnsi="宋体" w:eastAsia="宋体" w:cs="宋体"/>
                <w:color w:val="auto"/>
                <w:spacing w:val="-4"/>
                <w:kern w:val="2"/>
                <w:sz w:val="24"/>
                <w:szCs w:val="24"/>
                <w:lang w:val="en-US" w:eastAsia="en-US" w:bidi="ar-SA"/>
              </w:rPr>
            </w:pPr>
            <w:r>
              <w:rPr>
                <w:rFonts w:hint="eastAsia" w:ascii="宋体" w:hAnsi="宋体" w:eastAsia="宋体" w:cs="宋体"/>
                <w:color w:val="auto"/>
                <w:spacing w:val="-4"/>
                <w:kern w:val="2"/>
                <w:sz w:val="24"/>
                <w:szCs w:val="24"/>
                <w:lang w:val="en-US" w:eastAsia="en-US" w:bidi="ar-SA"/>
              </w:rPr>
              <w:t>（1）完整性：方案涵盖上述二项评审内容，不缺项；</w:t>
            </w:r>
          </w:p>
          <w:p w14:paraId="1CE56A6F">
            <w:pPr>
              <w:widowControl w:val="0"/>
              <w:spacing w:before="97" w:line="240" w:lineRule="auto"/>
              <w:ind w:left="-2" w:leftChars="0" w:right="7" w:rightChars="0" w:firstLine="0" w:firstLineChars="0"/>
              <w:jc w:val="both"/>
              <w:rPr>
                <w:rFonts w:hint="eastAsia" w:ascii="宋体" w:hAnsi="宋体" w:eastAsia="宋体" w:cs="宋体"/>
                <w:color w:val="auto"/>
                <w:spacing w:val="-4"/>
                <w:kern w:val="2"/>
                <w:sz w:val="24"/>
                <w:szCs w:val="24"/>
                <w:lang w:val="en-US" w:eastAsia="en-US" w:bidi="ar-SA"/>
              </w:rPr>
            </w:pPr>
            <w:r>
              <w:rPr>
                <w:rFonts w:hint="eastAsia" w:ascii="宋体" w:hAnsi="宋体" w:eastAsia="宋体" w:cs="宋体"/>
                <w:color w:val="auto"/>
                <w:spacing w:val="-4"/>
                <w:kern w:val="2"/>
                <w:sz w:val="24"/>
                <w:szCs w:val="24"/>
                <w:lang w:val="en-US" w:eastAsia="en-US" w:bidi="ar-SA"/>
              </w:rPr>
              <w:t>（2）科学性：方案建立在稳固的知识基础和合理的逻辑推理之上，保障策略有效、实用；</w:t>
            </w:r>
          </w:p>
          <w:p w14:paraId="3D445C54">
            <w:pPr>
              <w:widowControl w:val="0"/>
              <w:spacing w:before="97" w:line="240" w:lineRule="auto"/>
              <w:ind w:left="-2" w:leftChars="0" w:right="7" w:rightChars="0" w:firstLine="0" w:firstLineChars="0"/>
              <w:jc w:val="both"/>
              <w:rPr>
                <w:rFonts w:hint="eastAsia" w:ascii="宋体" w:hAnsi="宋体" w:eastAsia="宋体" w:cs="宋体"/>
                <w:color w:val="auto"/>
                <w:spacing w:val="-4"/>
                <w:kern w:val="2"/>
                <w:sz w:val="24"/>
                <w:szCs w:val="24"/>
                <w:lang w:val="en-US" w:eastAsia="en-US" w:bidi="ar-SA"/>
              </w:rPr>
            </w:pPr>
            <w:r>
              <w:rPr>
                <w:rFonts w:hint="eastAsia" w:ascii="宋体" w:hAnsi="宋体" w:eastAsia="宋体" w:cs="宋体"/>
                <w:color w:val="auto"/>
                <w:spacing w:val="-4"/>
                <w:kern w:val="2"/>
                <w:sz w:val="24"/>
                <w:szCs w:val="24"/>
                <w:lang w:val="en-US" w:eastAsia="en-US" w:bidi="ar-SA"/>
              </w:rPr>
              <w:t>（3）合理可行性及针对性：考虑到可能出现的问题并提出有效的解决方案，方案可落地实施。</w:t>
            </w:r>
          </w:p>
          <w:p w14:paraId="386E09BE">
            <w:pPr>
              <w:widowControl w:val="0"/>
              <w:spacing w:before="97" w:line="240" w:lineRule="auto"/>
              <w:ind w:left="-2" w:leftChars="0" w:right="7" w:rightChars="0" w:firstLine="0" w:firstLineChars="0"/>
              <w:jc w:val="both"/>
              <w:rPr>
                <w:rFonts w:hint="eastAsia" w:ascii="宋体" w:hAnsi="宋体" w:eastAsia="宋体" w:cs="宋体"/>
                <w:color w:val="auto"/>
                <w:spacing w:val="-4"/>
                <w:kern w:val="2"/>
                <w:sz w:val="24"/>
                <w:szCs w:val="24"/>
                <w:lang w:val="en-US" w:eastAsia="en-US" w:bidi="ar-SA"/>
              </w:rPr>
            </w:pPr>
            <w:r>
              <w:rPr>
                <w:rFonts w:hint="eastAsia" w:ascii="宋体" w:hAnsi="宋体" w:eastAsia="宋体" w:cs="宋体"/>
                <w:color w:val="auto"/>
                <w:spacing w:val="-4"/>
                <w:kern w:val="2"/>
                <w:sz w:val="24"/>
                <w:szCs w:val="24"/>
                <w:lang w:val="en-US" w:eastAsia="en-US" w:bidi="ar-SA"/>
              </w:rPr>
              <w:t>对上述2项评审内容进行打分，每项评审内容满足3项评审标准的，得1.5分；满足2项的，得1分；满足1项的，得0.5分；未提供对应内容的，不得分，满分3分。</w:t>
            </w:r>
          </w:p>
        </w:tc>
        <w:tc>
          <w:tcPr>
            <w:tcW w:w="668" w:type="dxa"/>
            <w:tcBorders>
              <w:top w:val="single" w:color="auto" w:sz="4" w:space="0"/>
              <w:left w:val="single" w:color="000000" w:sz="4" w:space="0"/>
              <w:bottom w:val="single" w:color="auto" w:sz="4" w:space="0"/>
              <w:right w:val="single" w:color="000000" w:sz="4" w:space="0"/>
            </w:tcBorders>
            <w:noWrap w:val="0"/>
            <w:vAlign w:val="center"/>
          </w:tcPr>
          <w:p w14:paraId="10E06792">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w:t>
            </w:r>
          </w:p>
        </w:tc>
      </w:tr>
      <w:tr w14:paraId="08738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 w:hRule="atLeast"/>
          <w:jc w:val="center"/>
        </w:trPr>
        <w:tc>
          <w:tcPr>
            <w:tcW w:w="1145" w:type="dxa"/>
            <w:vMerge w:val="continue"/>
            <w:tcBorders>
              <w:left w:val="single" w:color="000000" w:sz="4" w:space="0"/>
              <w:bottom w:val="single" w:color="000000" w:sz="4" w:space="0"/>
              <w:right w:val="single" w:color="000000" w:sz="4" w:space="0"/>
            </w:tcBorders>
            <w:noWrap w:val="0"/>
            <w:vAlign w:val="center"/>
          </w:tcPr>
          <w:p w14:paraId="463E3F69">
            <w:pPr>
              <w:widowControl w:val="0"/>
              <w:spacing w:line="240" w:lineRule="auto"/>
              <w:ind w:firstLine="0" w:firstLineChars="0"/>
              <w:jc w:val="center"/>
              <w:rPr>
                <w:rFonts w:hint="eastAsia" w:ascii="宋体" w:hAnsi="宋体" w:eastAsia="宋体" w:cs="宋体"/>
                <w:i w:val="0"/>
                <w:iCs w:val="0"/>
                <w:color w:val="auto"/>
                <w:sz w:val="24"/>
                <w:szCs w:val="24"/>
                <w:u w:val="none"/>
              </w:rPr>
            </w:pPr>
          </w:p>
        </w:tc>
        <w:tc>
          <w:tcPr>
            <w:tcW w:w="790" w:type="dxa"/>
            <w:tcBorders>
              <w:top w:val="single" w:color="auto" w:sz="4" w:space="0"/>
              <w:left w:val="single" w:color="000000" w:sz="4" w:space="0"/>
              <w:bottom w:val="single" w:color="auto" w:sz="4" w:space="0"/>
              <w:right w:val="single" w:color="000000" w:sz="4" w:space="0"/>
            </w:tcBorders>
            <w:noWrap w:val="0"/>
            <w:vAlign w:val="center"/>
          </w:tcPr>
          <w:p w14:paraId="779F0031">
            <w:pPr>
              <w:widowControl w:val="0"/>
              <w:spacing w:before="78" w:line="240" w:lineRule="auto"/>
              <w:ind w:left="0" w:leftChars="0" w:firstLine="0" w:firstLineChars="0"/>
              <w:jc w:val="both"/>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color w:val="auto"/>
                <w:spacing w:val="-2"/>
                <w:kern w:val="2"/>
                <w:sz w:val="24"/>
                <w:szCs w:val="24"/>
                <w:lang w:val="en-US" w:eastAsia="en-US" w:bidi="ar-SA"/>
              </w:rPr>
              <w:t>售后服务</w:t>
            </w:r>
            <w:r>
              <w:rPr>
                <w:rFonts w:hint="eastAsia" w:ascii="宋体" w:hAnsi="宋体" w:eastAsia="宋体" w:cs="宋体"/>
                <w:color w:val="auto"/>
                <w:spacing w:val="-2"/>
                <w:kern w:val="2"/>
                <w:sz w:val="24"/>
                <w:szCs w:val="24"/>
                <w:lang w:val="en-US" w:eastAsia="zh-CN" w:bidi="ar-SA"/>
              </w:rPr>
              <w:t>保障</w:t>
            </w:r>
            <w:r>
              <w:rPr>
                <w:rFonts w:hint="eastAsia" w:ascii="宋体" w:hAnsi="宋体" w:eastAsia="宋体" w:cs="宋体"/>
                <w:color w:val="auto"/>
                <w:spacing w:val="-3"/>
                <w:kern w:val="2"/>
                <w:sz w:val="24"/>
                <w:szCs w:val="24"/>
                <w:lang w:val="en-US" w:eastAsia="en-US" w:bidi="ar-SA"/>
              </w:rPr>
              <w:t>方案</w:t>
            </w:r>
          </w:p>
        </w:tc>
        <w:tc>
          <w:tcPr>
            <w:tcW w:w="7773" w:type="dxa"/>
            <w:tcBorders>
              <w:top w:val="single" w:color="auto" w:sz="4" w:space="0"/>
              <w:left w:val="single" w:color="000000" w:sz="4" w:space="0"/>
              <w:bottom w:val="single" w:color="auto" w:sz="4" w:space="0"/>
              <w:right w:val="single" w:color="000000" w:sz="4" w:space="0"/>
            </w:tcBorders>
            <w:noWrap w:val="0"/>
            <w:vAlign w:val="top"/>
          </w:tcPr>
          <w:p w14:paraId="4CDD8423">
            <w:pPr>
              <w:widowControl w:val="0"/>
              <w:spacing w:before="70" w:line="240" w:lineRule="auto"/>
              <w:ind w:left="-2" w:leftChars="0" w:right="7" w:rightChars="0" w:firstLine="0" w:firstLineChars="0"/>
              <w:jc w:val="both"/>
              <w:rPr>
                <w:rFonts w:hint="eastAsia" w:ascii="宋体" w:hAnsi="宋体" w:eastAsia="宋体" w:cs="宋体"/>
                <w:i w:val="0"/>
                <w:iCs w:val="0"/>
                <w:color w:val="auto"/>
                <w:kern w:val="2"/>
                <w:sz w:val="24"/>
                <w:szCs w:val="24"/>
                <w:u w:val="none"/>
                <w:lang w:val="en-US" w:eastAsia="en-US" w:bidi="ar-SA"/>
              </w:rPr>
            </w:pPr>
            <w:r>
              <w:rPr>
                <w:rFonts w:hint="eastAsia" w:ascii="宋体" w:hAnsi="宋体" w:eastAsia="宋体" w:cs="宋体"/>
                <w:i w:val="0"/>
                <w:iCs w:val="0"/>
                <w:color w:val="auto"/>
                <w:kern w:val="2"/>
                <w:sz w:val="24"/>
                <w:szCs w:val="24"/>
                <w:u w:val="none"/>
                <w:lang w:val="en-US" w:eastAsia="en-US" w:bidi="ar-SA"/>
              </w:rPr>
              <w:t>根据本项目实际特点，投标人应提供售后服务保障方案，方案包括但不限于以下评审内容：</w:t>
            </w:r>
          </w:p>
          <w:p w14:paraId="12B0CFDA">
            <w:pPr>
              <w:widowControl w:val="0"/>
              <w:spacing w:before="70" w:line="240" w:lineRule="auto"/>
              <w:ind w:left="-2" w:leftChars="0" w:right="7" w:rightChars="0" w:firstLine="0" w:firstLineChars="0"/>
              <w:jc w:val="both"/>
              <w:rPr>
                <w:rFonts w:hint="eastAsia" w:ascii="宋体" w:hAnsi="宋体" w:eastAsia="宋体" w:cs="宋体"/>
                <w:i w:val="0"/>
                <w:iCs w:val="0"/>
                <w:color w:val="auto"/>
                <w:kern w:val="2"/>
                <w:sz w:val="24"/>
                <w:szCs w:val="24"/>
                <w:u w:val="none"/>
                <w:lang w:val="en-US" w:eastAsia="en-US" w:bidi="ar-SA"/>
              </w:rPr>
            </w:pPr>
            <w:r>
              <w:rPr>
                <w:rFonts w:hint="eastAsia" w:ascii="宋体" w:hAnsi="宋体" w:eastAsia="宋体" w:cs="宋体"/>
                <w:i w:val="0"/>
                <w:iCs w:val="0"/>
                <w:color w:val="auto"/>
                <w:kern w:val="2"/>
                <w:sz w:val="24"/>
                <w:szCs w:val="24"/>
                <w:u w:val="none"/>
                <w:lang w:val="en-US" w:eastAsia="en-US" w:bidi="ar-SA"/>
              </w:rPr>
              <w:t>（1）接到故障通知后到达时间、处理故障时间；</w:t>
            </w:r>
          </w:p>
          <w:p w14:paraId="3203A8AA">
            <w:pPr>
              <w:widowControl w:val="0"/>
              <w:spacing w:before="70" w:line="240" w:lineRule="auto"/>
              <w:ind w:left="-2" w:leftChars="0" w:right="7" w:rightChars="0" w:firstLine="0" w:firstLineChars="0"/>
              <w:jc w:val="both"/>
              <w:rPr>
                <w:rFonts w:hint="eastAsia" w:ascii="宋体" w:hAnsi="宋体" w:eastAsia="宋体" w:cs="宋体"/>
                <w:i w:val="0"/>
                <w:iCs w:val="0"/>
                <w:color w:val="auto"/>
                <w:kern w:val="2"/>
                <w:sz w:val="24"/>
                <w:szCs w:val="24"/>
                <w:u w:val="none"/>
                <w:lang w:val="en-US" w:eastAsia="en-US" w:bidi="ar-SA"/>
              </w:rPr>
            </w:pPr>
            <w:r>
              <w:rPr>
                <w:rFonts w:hint="eastAsia" w:ascii="宋体" w:hAnsi="宋体" w:eastAsia="宋体" w:cs="宋体"/>
                <w:i w:val="0"/>
                <w:iCs w:val="0"/>
                <w:color w:val="auto"/>
                <w:kern w:val="2"/>
                <w:sz w:val="24"/>
                <w:szCs w:val="24"/>
                <w:u w:val="none"/>
                <w:lang w:val="en-US" w:eastAsia="en-US" w:bidi="ar-SA"/>
              </w:rPr>
              <w:t>（2）零配件优惠措施、明确质保期后的维修费用、配件及耗材优惠等其他条件内容；</w:t>
            </w:r>
          </w:p>
          <w:p w14:paraId="09FF07FC">
            <w:pPr>
              <w:widowControl w:val="0"/>
              <w:spacing w:before="70" w:line="240" w:lineRule="auto"/>
              <w:ind w:left="-2" w:leftChars="0" w:right="7" w:rightChars="0" w:firstLine="0" w:firstLineChars="0"/>
              <w:jc w:val="both"/>
              <w:rPr>
                <w:rFonts w:hint="eastAsia" w:ascii="宋体" w:hAnsi="宋体" w:eastAsia="宋体" w:cs="宋体"/>
                <w:i w:val="0"/>
                <w:iCs w:val="0"/>
                <w:color w:val="auto"/>
                <w:kern w:val="2"/>
                <w:sz w:val="24"/>
                <w:szCs w:val="24"/>
                <w:u w:val="none"/>
                <w:lang w:val="en-US" w:eastAsia="en-US" w:bidi="ar-SA"/>
              </w:rPr>
            </w:pPr>
            <w:r>
              <w:rPr>
                <w:rFonts w:hint="eastAsia" w:ascii="宋体" w:hAnsi="宋体" w:eastAsia="宋体" w:cs="宋体"/>
                <w:i w:val="0"/>
                <w:iCs w:val="0"/>
                <w:color w:val="auto"/>
                <w:kern w:val="2"/>
                <w:sz w:val="24"/>
                <w:szCs w:val="24"/>
                <w:u w:val="none"/>
                <w:lang w:val="en-US" w:eastAsia="en-US" w:bidi="ar-SA"/>
              </w:rPr>
              <w:t>（3）有售后服务人员配置，服务内容、保障措施，发生故障时有替代产品。</w:t>
            </w:r>
          </w:p>
          <w:p w14:paraId="0111BB41">
            <w:pPr>
              <w:widowControl w:val="0"/>
              <w:spacing w:before="70" w:line="240" w:lineRule="auto"/>
              <w:ind w:left="-2" w:leftChars="0" w:right="7" w:rightChars="0" w:firstLine="0" w:firstLineChars="0"/>
              <w:jc w:val="both"/>
              <w:rPr>
                <w:rFonts w:hint="eastAsia" w:ascii="宋体" w:hAnsi="宋体" w:eastAsia="宋体" w:cs="宋体"/>
                <w:i w:val="0"/>
                <w:iCs w:val="0"/>
                <w:color w:val="auto"/>
                <w:kern w:val="2"/>
                <w:sz w:val="24"/>
                <w:szCs w:val="24"/>
                <w:u w:val="none"/>
                <w:lang w:val="en-US" w:eastAsia="en-US" w:bidi="ar-SA"/>
              </w:rPr>
            </w:pPr>
            <w:r>
              <w:rPr>
                <w:rFonts w:hint="eastAsia" w:ascii="宋体" w:hAnsi="宋体" w:eastAsia="宋体" w:cs="宋体"/>
                <w:i w:val="0"/>
                <w:iCs w:val="0"/>
                <w:color w:val="auto"/>
                <w:kern w:val="2"/>
                <w:sz w:val="24"/>
                <w:szCs w:val="24"/>
                <w:u w:val="none"/>
                <w:lang w:val="en-US" w:eastAsia="en-US" w:bidi="ar-SA"/>
              </w:rPr>
              <w:t>评审标准：</w:t>
            </w:r>
          </w:p>
          <w:p w14:paraId="126A8F70">
            <w:pPr>
              <w:widowControl w:val="0"/>
              <w:spacing w:before="70" w:line="240" w:lineRule="auto"/>
              <w:ind w:left="-2" w:leftChars="0" w:right="7" w:rightChars="0" w:firstLine="0" w:firstLineChars="0"/>
              <w:jc w:val="both"/>
              <w:rPr>
                <w:rFonts w:hint="eastAsia" w:ascii="宋体" w:hAnsi="宋体" w:eastAsia="宋体" w:cs="宋体"/>
                <w:i w:val="0"/>
                <w:iCs w:val="0"/>
                <w:color w:val="auto"/>
                <w:kern w:val="2"/>
                <w:sz w:val="24"/>
                <w:szCs w:val="24"/>
                <w:u w:val="none"/>
                <w:lang w:val="en-US" w:eastAsia="en-US" w:bidi="ar-SA"/>
              </w:rPr>
            </w:pPr>
            <w:r>
              <w:rPr>
                <w:rFonts w:hint="eastAsia" w:ascii="宋体" w:hAnsi="宋体" w:eastAsia="宋体" w:cs="宋体"/>
                <w:i w:val="0"/>
                <w:iCs w:val="0"/>
                <w:color w:val="auto"/>
                <w:kern w:val="2"/>
                <w:sz w:val="24"/>
                <w:szCs w:val="24"/>
                <w:u w:val="none"/>
                <w:lang w:val="en-US" w:eastAsia="en-US" w:bidi="ar-SA"/>
              </w:rPr>
              <w:t>（1）完整性：方案涵盖上述三项评审内容，不缺项；</w:t>
            </w:r>
          </w:p>
          <w:p w14:paraId="61B5B64F">
            <w:pPr>
              <w:widowControl w:val="0"/>
              <w:spacing w:before="70" w:line="240" w:lineRule="auto"/>
              <w:ind w:left="-2" w:leftChars="0" w:right="7" w:rightChars="0" w:firstLine="0" w:firstLineChars="0"/>
              <w:jc w:val="both"/>
              <w:rPr>
                <w:rFonts w:hint="eastAsia" w:ascii="宋体" w:hAnsi="宋体" w:eastAsia="宋体" w:cs="宋体"/>
                <w:i w:val="0"/>
                <w:iCs w:val="0"/>
                <w:color w:val="auto"/>
                <w:kern w:val="2"/>
                <w:sz w:val="24"/>
                <w:szCs w:val="24"/>
                <w:u w:val="none"/>
                <w:lang w:val="en-US" w:eastAsia="en-US" w:bidi="ar-SA"/>
              </w:rPr>
            </w:pPr>
            <w:r>
              <w:rPr>
                <w:rFonts w:hint="eastAsia" w:ascii="宋体" w:hAnsi="宋体" w:eastAsia="宋体" w:cs="宋体"/>
                <w:i w:val="0"/>
                <w:iCs w:val="0"/>
                <w:color w:val="auto"/>
                <w:kern w:val="2"/>
                <w:sz w:val="24"/>
                <w:szCs w:val="24"/>
                <w:u w:val="none"/>
                <w:lang w:val="en-US" w:eastAsia="en-US" w:bidi="ar-SA"/>
              </w:rPr>
              <w:t>（2）科学性：方案建立在稳固的知识基础和合理的逻辑推理之上，保障策略有效、实用；</w:t>
            </w:r>
          </w:p>
          <w:p w14:paraId="13DFEA93">
            <w:pPr>
              <w:widowControl w:val="0"/>
              <w:spacing w:before="70" w:line="240" w:lineRule="auto"/>
              <w:ind w:left="-2" w:leftChars="0" w:right="7" w:rightChars="0" w:firstLine="0" w:firstLineChars="0"/>
              <w:jc w:val="both"/>
              <w:rPr>
                <w:rFonts w:hint="eastAsia" w:ascii="宋体" w:hAnsi="宋体" w:eastAsia="宋体" w:cs="宋体"/>
                <w:i w:val="0"/>
                <w:iCs w:val="0"/>
                <w:color w:val="auto"/>
                <w:kern w:val="2"/>
                <w:sz w:val="24"/>
                <w:szCs w:val="24"/>
                <w:u w:val="none"/>
                <w:lang w:val="en-US" w:eastAsia="en-US" w:bidi="ar-SA"/>
              </w:rPr>
            </w:pPr>
            <w:r>
              <w:rPr>
                <w:rFonts w:hint="eastAsia" w:ascii="宋体" w:hAnsi="宋体" w:eastAsia="宋体" w:cs="宋体"/>
                <w:i w:val="0"/>
                <w:iCs w:val="0"/>
                <w:color w:val="auto"/>
                <w:kern w:val="2"/>
                <w:sz w:val="24"/>
                <w:szCs w:val="24"/>
                <w:u w:val="none"/>
                <w:lang w:val="en-US" w:eastAsia="en-US" w:bidi="ar-SA"/>
              </w:rPr>
              <w:t>（3）合理可行性及针对性：考虑到可能出现的问题并提出有效的解决方案，方案可落地实施。</w:t>
            </w:r>
          </w:p>
          <w:p w14:paraId="35AC922E">
            <w:pPr>
              <w:widowControl w:val="0"/>
              <w:spacing w:before="70" w:line="240" w:lineRule="auto"/>
              <w:ind w:left="-2" w:leftChars="0" w:right="7" w:rightChars="0" w:firstLine="0" w:firstLineChars="0"/>
              <w:jc w:val="both"/>
              <w:rPr>
                <w:rFonts w:hint="eastAsia" w:ascii="宋体" w:hAnsi="宋体" w:eastAsia="宋体" w:cs="宋体"/>
                <w:i w:val="0"/>
                <w:iCs w:val="0"/>
                <w:color w:val="auto"/>
                <w:kern w:val="2"/>
                <w:sz w:val="24"/>
                <w:szCs w:val="24"/>
                <w:u w:val="none"/>
                <w:lang w:val="en-US" w:eastAsia="en-US" w:bidi="ar-SA"/>
              </w:rPr>
            </w:pPr>
            <w:r>
              <w:rPr>
                <w:rFonts w:hint="eastAsia" w:ascii="宋体" w:hAnsi="宋体" w:eastAsia="宋体" w:cs="宋体"/>
                <w:i w:val="0"/>
                <w:iCs w:val="0"/>
                <w:color w:val="auto"/>
                <w:kern w:val="2"/>
                <w:sz w:val="24"/>
                <w:szCs w:val="24"/>
                <w:u w:val="none"/>
                <w:lang w:val="en-US" w:eastAsia="en-US" w:bidi="ar-SA"/>
              </w:rPr>
              <w:t>对上述2项评审内容进行打分，每项评审内容满足3项评审标准的，得1分；满足2项的，得0.5分；满足1项的，得0.25分；未提供对应内容的，不得分，满分3分。</w:t>
            </w:r>
          </w:p>
        </w:tc>
        <w:tc>
          <w:tcPr>
            <w:tcW w:w="668" w:type="dxa"/>
            <w:tcBorders>
              <w:top w:val="single" w:color="auto" w:sz="4" w:space="0"/>
              <w:left w:val="single" w:color="000000" w:sz="4" w:space="0"/>
              <w:bottom w:val="single" w:color="000000" w:sz="4" w:space="0"/>
              <w:right w:val="single" w:color="000000" w:sz="4" w:space="0"/>
            </w:tcBorders>
            <w:noWrap w:val="0"/>
            <w:vAlign w:val="center"/>
          </w:tcPr>
          <w:p w14:paraId="3DA0930D">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3</w:t>
            </w:r>
          </w:p>
        </w:tc>
      </w:tr>
      <w:tr w14:paraId="6ED67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9708" w:type="dxa"/>
            <w:gridSpan w:val="3"/>
            <w:tcBorders>
              <w:top w:val="single" w:color="000000" w:sz="4" w:space="0"/>
              <w:left w:val="single" w:color="000000" w:sz="4" w:space="0"/>
              <w:bottom w:val="single" w:color="000000" w:sz="4" w:space="0"/>
              <w:right w:val="single" w:color="000000" w:sz="4" w:space="0"/>
            </w:tcBorders>
            <w:noWrap w:val="0"/>
            <w:vAlign w:val="center"/>
          </w:tcPr>
          <w:p w14:paraId="4E0C2760">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总分</w:t>
            </w:r>
          </w:p>
        </w:tc>
        <w:tc>
          <w:tcPr>
            <w:tcW w:w="668" w:type="dxa"/>
            <w:tcBorders>
              <w:top w:val="single" w:color="000000" w:sz="4" w:space="0"/>
              <w:left w:val="single" w:color="000000" w:sz="4" w:space="0"/>
              <w:bottom w:val="single" w:color="000000" w:sz="4" w:space="0"/>
              <w:right w:val="single" w:color="000000" w:sz="4" w:space="0"/>
            </w:tcBorders>
            <w:noWrap w:val="0"/>
            <w:vAlign w:val="center"/>
          </w:tcPr>
          <w:p w14:paraId="60A2AA15">
            <w:pPr>
              <w:keepNext w:val="0"/>
              <w:keepLines w:val="0"/>
              <w:widowControl/>
              <w:suppressLineNumbers w:val="0"/>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r>
    </w:tbl>
    <w:p w14:paraId="59BC12E2">
      <w:pPr>
        <w:rPr>
          <w:rFonts w:hint="eastAsia"/>
          <w:sz w:val="30"/>
          <w:szCs w:val="30"/>
          <w:lang w:eastAsia="zh-CN"/>
        </w:rPr>
      </w:pPr>
      <w:r>
        <w:rPr>
          <w:rFonts w:hint="eastAsia"/>
          <w:sz w:val="30"/>
          <w:szCs w:val="30"/>
          <w:lang w:eastAsia="zh-CN"/>
        </w:rPr>
        <w:br w:type="page"/>
      </w:r>
    </w:p>
    <w:p w14:paraId="4B9A75E1">
      <w:pPr>
        <w:pStyle w:val="2"/>
        <w:ind w:firstLine="602"/>
        <w:rPr>
          <w:rFonts w:hint="eastAsia"/>
          <w:sz w:val="30"/>
          <w:szCs w:val="30"/>
          <w:lang w:val="en-US" w:eastAsia="zh-CN"/>
        </w:rPr>
      </w:pPr>
      <w:r>
        <w:rPr>
          <w:rFonts w:hint="eastAsia"/>
          <w:sz w:val="30"/>
          <w:szCs w:val="30"/>
          <w:lang w:eastAsia="zh-CN"/>
        </w:rPr>
        <w:t>第</w:t>
      </w:r>
      <w:r>
        <w:rPr>
          <w:rFonts w:hint="eastAsia"/>
          <w:sz w:val="30"/>
          <w:szCs w:val="30"/>
          <w:lang w:val="en-US" w:eastAsia="zh-CN"/>
        </w:rPr>
        <w:t>2</w:t>
      </w:r>
      <w:r>
        <w:rPr>
          <w:rFonts w:hint="eastAsia"/>
          <w:sz w:val="30"/>
          <w:szCs w:val="30"/>
          <w:lang w:eastAsia="zh-CN"/>
        </w:rPr>
        <w:t>包：</w:t>
      </w:r>
      <w:r>
        <w:rPr>
          <w:rFonts w:hint="eastAsia"/>
          <w:sz w:val="30"/>
          <w:szCs w:val="30"/>
          <w:lang w:val="en-US" w:eastAsia="zh-CN"/>
        </w:rPr>
        <w:t>武汉市东西湖职业技术学校汽修虚拟仿真实训室建设项目</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0"/>
        <w:gridCol w:w="1332"/>
        <w:gridCol w:w="6401"/>
        <w:gridCol w:w="743"/>
      </w:tblGrid>
      <w:tr w14:paraId="4D7D1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4" w:type="pct"/>
            <w:noWrap w:val="0"/>
            <w:vAlign w:val="center"/>
          </w:tcPr>
          <w:p w14:paraId="5252E724">
            <w:pPr>
              <w:widowControl w:val="0"/>
              <w:bidi w:val="0"/>
              <w:ind w:left="0" w:leftChars="0" w:firstLine="0" w:firstLine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评标</w:t>
            </w:r>
          </w:p>
          <w:p w14:paraId="3A9843AE">
            <w:pPr>
              <w:widowControl w:val="0"/>
              <w:bidi w:val="0"/>
              <w:ind w:left="0" w:leftChars="0" w:firstLine="0" w:firstLine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项目</w:t>
            </w:r>
          </w:p>
        </w:tc>
        <w:tc>
          <w:tcPr>
            <w:tcW w:w="706" w:type="pct"/>
            <w:noWrap w:val="0"/>
            <w:vAlign w:val="center"/>
          </w:tcPr>
          <w:p w14:paraId="3590F24A">
            <w:pPr>
              <w:widowControl w:val="0"/>
              <w:bidi w:val="0"/>
              <w:ind w:left="0" w:leftChars="0" w:firstLine="0" w:firstLineChars="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评标分项</w:t>
            </w:r>
          </w:p>
        </w:tc>
        <w:tc>
          <w:tcPr>
            <w:tcW w:w="3393" w:type="pct"/>
            <w:noWrap w:val="0"/>
            <w:vAlign w:val="center"/>
          </w:tcPr>
          <w:p w14:paraId="09285236">
            <w:pPr>
              <w:widowControl w:val="0"/>
              <w:bidi w:val="0"/>
              <w:ind w:left="0" w:leftChars="0" w:firstLine="0" w:firstLine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评议打分细则</w:t>
            </w:r>
          </w:p>
        </w:tc>
        <w:tc>
          <w:tcPr>
            <w:tcW w:w="394" w:type="pct"/>
            <w:noWrap w:val="0"/>
            <w:vAlign w:val="center"/>
          </w:tcPr>
          <w:p w14:paraId="37DEEED6">
            <w:pPr>
              <w:widowControl w:val="0"/>
              <w:bidi w:val="0"/>
              <w:ind w:left="0" w:leftChars="0" w:firstLine="0" w:firstLineChars="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分值</w:t>
            </w:r>
          </w:p>
        </w:tc>
      </w:tr>
      <w:tr w14:paraId="17AEE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4" w:type="pct"/>
            <w:noWrap w:val="0"/>
            <w:vAlign w:val="center"/>
          </w:tcPr>
          <w:p w14:paraId="3CB05208">
            <w:pPr>
              <w:widowControl w:val="0"/>
              <w:bidi w:val="0"/>
              <w:ind w:left="0" w:leftChars="0" w:firstLine="0" w:firstLine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价格</w:t>
            </w:r>
          </w:p>
          <w:p w14:paraId="1A72CF3B">
            <w:pPr>
              <w:widowControl w:val="0"/>
              <w:bidi w:val="0"/>
              <w:ind w:left="0" w:leftChars="0" w:firstLine="0" w:firstLine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部分</w:t>
            </w:r>
          </w:p>
          <w:p w14:paraId="5A076961">
            <w:pPr>
              <w:widowControl w:val="0"/>
              <w:bidi w:val="0"/>
              <w:ind w:left="0" w:leftChars="0" w:firstLine="0" w:firstLine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50分</w:t>
            </w:r>
          </w:p>
        </w:tc>
        <w:tc>
          <w:tcPr>
            <w:tcW w:w="706" w:type="pct"/>
            <w:noWrap w:val="0"/>
            <w:vAlign w:val="center"/>
          </w:tcPr>
          <w:p w14:paraId="4F0B05F9">
            <w:pPr>
              <w:widowControl w:val="0"/>
              <w:bidi w:val="0"/>
              <w:ind w:left="0" w:leftChars="0" w:firstLine="0" w:firstLine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报价</w:t>
            </w:r>
          </w:p>
        </w:tc>
        <w:tc>
          <w:tcPr>
            <w:tcW w:w="3393" w:type="pct"/>
            <w:noWrap w:val="0"/>
            <w:vAlign w:val="center"/>
          </w:tcPr>
          <w:p w14:paraId="638394BF">
            <w:pPr>
              <w:widowControl w:val="0"/>
              <w:bidi w:val="0"/>
              <w:ind w:left="0" w:leftChars="0" w:firstLine="0" w:firstLineChars="0"/>
              <w:jc w:val="left"/>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kern w:val="0"/>
                <w:sz w:val="24"/>
                <w:szCs w:val="24"/>
                <w:u w:val="none"/>
                <w:lang w:val="en-US" w:eastAsia="zh-CN" w:bidi="ar"/>
              </w:rPr>
              <w:t>采用低价优先法计算，即满足招标文件要求且投标价格（落实政府采购政策进行价格调整的，以调整后的价格计算）最低的投标报价为评标基准价，其报价分为满分。其他投标人的报价分按照下列公式计算：报价分=</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评标基准价／投标报价</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×5</w:t>
            </w:r>
            <w:r>
              <w:rPr>
                <w:rFonts w:hint="eastAsia" w:ascii="宋体" w:hAnsi="宋体" w:cs="宋体"/>
                <w:i w:val="0"/>
                <w:iCs w:val="0"/>
                <w:color w:val="000000"/>
                <w:kern w:val="0"/>
                <w:sz w:val="24"/>
                <w:szCs w:val="24"/>
                <w:u w:val="none"/>
                <w:lang w:val="en-US" w:eastAsia="zh-CN" w:bidi="ar"/>
              </w:rPr>
              <w:t>0</w:t>
            </w:r>
            <w:r>
              <w:rPr>
                <w:rFonts w:hint="eastAsia" w:ascii="宋体" w:hAnsi="宋体" w:eastAsia="宋体" w:cs="宋体"/>
                <w:i w:val="0"/>
                <w:iCs w:val="0"/>
                <w:color w:val="000000"/>
                <w:kern w:val="0"/>
                <w:sz w:val="24"/>
                <w:szCs w:val="24"/>
                <w:u w:val="none"/>
                <w:lang w:val="en-US" w:eastAsia="zh-CN" w:bidi="ar"/>
              </w:rPr>
              <w:t>%×100</w:t>
            </w:r>
            <w:r>
              <w:rPr>
                <w:rFonts w:hint="eastAsia" w:ascii="宋体" w:hAnsi="宋体" w:cs="宋体"/>
                <w:i w:val="0"/>
                <w:iCs w:val="0"/>
                <w:color w:val="000000"/>
                <w:kern w:val="0"/>
                <w:sz w:val="24"/>
                <w:szCs w:val="24"/>
                <w:u w:val="none"/>
                <w:lang w:val="en-US" w:eastAsia="zh-CN" w:bidi="ar"/>
              </w:rPr>
              <w:t>（保留两位小数）</w:t>
            </w:r>
          </w:p>
        </w:tc>
        <w:tc>
          <w:tcPr>
            <w:tcW w:w="394" w:type="pct"/>
            <w:noWrap w:val="0"/>
            <w:vAlign w:val="center"/>
          </w:tcPr>
          <w:p w14:paraId="2B7C9D77">
            <w:pPr>
              <w:widowControl w:val="0"/>
              <w:bidi w:val="0"/>
              <w:ind w:left="0" w:leftChars="0" w:firstLine="0" w:firstLine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50</w:t>
            </w:r>
          </w:p>
        </w:tc>
      </w:tr>
      <w:tr w14:paraId="26F5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4" w:type="pct"/>
            <w:vMerge w:val="restart"/>
            <w:noWrap w:val="0"/>
            <w:vAlign w:val="center"/>
          </w:tcPr>
          <w:p w14:paraId="1C4F1FA8">
            <w:pPr>
              <w:widowControl w:val="0"/>
              <w:bidi w:val="0"/>
              <w:ind w:left="0" w:leftChars="0" w:firstLine="0" w:firstLine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商务</w:t>
            </w:r>
          </w:p>
          <w:p w14:paraId="32010DA8">
            <w:pPr>
              <w:widowControl w:val="0"/>
              <w:bidi w:val="0"/>
              <w:ind w:left="0" w:leftChars="0" w:firstLine="0" w:firstLine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部分</w:t>
            </w:r>
          </w:p>
          <w:p w14:paraId="5C3CFF6E">
            <w:pPr>
              <w:widowControl w:val="0"/>
              <w:bidi w:val="0"/>
              <w:ind w:left="0" w:leftChars="0" w:firstLine="0" w:firstLineChars="0"/>
              <w:jc w:val="center"/>
              <w:rPr>
                <w:rFonts w:hint="eastAsia"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18</w:t>
            </w:r>
            <w:r>
              <w:rPr>
                <w:rFonts w:hint="eastAsia" w:ascii="宋体" w:hAnsi="宋体" w:eastAsia="宋体" w:cs="宋体"/>
                <w:color w:val="000000"/>
                <w:sz w:val="24"/>
                <w:szCs w:val="24"/>
                <w:lang w:val="en-US" w:eastAsia="zh-CN"/>
              </w:rPr>
              <w:t>分</w:t>
            </w:r>
          </w:p>
        </w:tc>
        <w:tc>
          <w:tcPr>
            <w:tcW w:w="706" w:type="pct"/>
            <w:noWrap w:val="0"/>
            <w:vAlign w:val="center"/>
          </w:tcPr>
          <w:p w14:paraId="7353B2A3">
            <w:pPr>
              <w:widowControl w:val="0"/>
              <w:bidi w:val="0"/>
              <w:ind w:left="0" w:leftChars="0" w:firstLine="0" w:firstLine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类似业绩</w:t>
            </w:r>
          </w:p>
        </w:tc>
        <w:tc>
          <w:tcPr>
            <w:tcW w:w="3393" w:type="pct"/>
            <w:noWrap w:val="0"/>
            <w:vAlign w:val="center"/>
          </w:tcPr>
          <w:p w14:paraId="7970BFBB">
            <w:pPr>
              <w:widowControl w:val="0"/>
              <w:bidi w:val="0"/>
              <w:ind w:left="0" w:leftChars="0" w:firstLine="0" w:firstLineChars="0"/>
              <w:jc w:val="left"/>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投标人</w:t>
            </w:r>
            <w:r>
              <w:rPr>
                <w:rFonts w:hint="eastAsia" w:ascii="宋体" w:hAnsi="宋体" w:eastAsia="宋体" w:cs="宋体"/>
                <w:color w:val="000000"/>
                <w:sz w:val="24"/>
                <w:szCs w:val="24"/>
                <w:lang w:val="en-US" w:eastAsia="zh-CN"/>
              </w:rPr>
              <w:t>提供近三年（20</w:t>
            </w:r>
            <w:r>
              <w:rPr>
                <w:rFonts w:hint="eastAsia" w:ascii="宋体" w:hAnsi="宋体" w:cs="宋体"/>
                <w:color w:val="000000"/>
                <w:sz w:val="24"/>
                <w:szCs w:val="24"/>
                <w:lang w:val="en-US" w:eastAsia="zh-CN"/>
              </w:rPr>
              <w:t>23</w:t>
            </w:r>
            <w:r>
              <w:rPr>
                <w:rFonts w:hint="eastAsia" w:ascii="宋体" w:hAnsi="宋体" w:eastAsia="宋体" w:cs="宋体"/>
                <w:color w:val="000000"/>
                <w:sz w:val="24"/>
                <w:szCs w:val="24"/>
                <w:lang w:val="en-US" w:eastAsia="zh-CN"/>
              </w:rPr>
              <w:t>年4月至投标文件递交截止时间，以合同签订时间为准）承接过类似项目业绩，每提供一个得1分，本项最多得2分，未</w:t>
            </w:r>
            <w:r>
              <w:rPr>
                <w:rFonts w:hint="eastAsia" w:ascii="宋体" w:hAnsi="宋体" w:eastAsia="宋体" w:cs="宋体"/>
                <w:i w:val="0"/>
                <w:iCs w:val="0"/>
                <w:color w:val="000000"/>
                <w:kern w:val="0"/>
                <w:sz w:val="24"/>
                <w:szCs w:val="24"/>
                <w:u w:val="none"/>
                <w:lang w:val="en-US" w:eastAsia="zh-CN" w:bidi="ar"/>
              </w:rPr>
              <w:t>提供不得分。需提供类似业绩合同复印件，至少包含同首页、合同关键页、合同盖章页。同一采购人不同业绩可累计得分。</w:t>
            </w:r>
          </w:p>
        </w:tc>
        <w:tc>
          <w:tcPr>
            <w:tcW w:w="394" w:type="pct"/>
            <w:noWrap w:val="0"/>
            <w:vAlign w:val="center"/>
          </w:tcPr>
          <w:p w14:paraId="0270C797">
            <w:pPr>
              <w:widowControl w:val="0"/>
              <w:bidi w:val="0"/>
              <w:ind w:left="0" w:leftChars="0" w:firstLine="0" w:firstLine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w:t>
            </w:r>
          </w:p>
        </w:tc>
      </w:tr>
      <w:tr w14:paraId="2D70D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4" w:type="pct"/>
            <w:vMerge w:val="continue"/>
            <w:noWrap w:val="0"/>
            <w:vAlign w:val="center"/>
          </w:tcPr>
          <w:p w14:paraId="540E1128">
            <w:pPr>
              <w:widowControl w:val="0"/>
              <w:bidi w:val="0"/>
              <w:jc w:val="center"/>
              <w:rPr>
                <w:rFonts w:hint="eastAsia" w:ascii="宋体" w:hAnsi="宋体" w:eastAsia="宋体" w:cs="宋体"/>
                <w:color w:val="000000"/>
                <w:sz w:val="24"/>
                <w:szCs w:val="24"/>
                <w:lang w:val="en-US" w:eastAsia="zh-CN"/>
              </w:rPr>
            </w:pPr>
          </w:p>
        </w:tc>
        <w:tc>
          <w:tcPr>
            <w:tcW w:w="706" w:type="pct"/>
            <w:noWrap w:val="0"/>
            <w:vAlign w:val="center"/>
          </w:tcPr>
          <w:p w14:paraId="679CDDC1">
            <w:pPr>
              <w:widowControl w:val="0"/>
              <w:bidi w:val="0"/>
              <w:ind w:left="0" w:leftChars="0" w:firstLine="0" w:firstLine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人员配备</w:t>
            </w:r>
          </w:p>
        </w:tc>
        <w:tc>
          <w:tcPr>
            <w:tcW w:w="3393" w:type="pct"/>
            <w:noWrap w:val="0"/>
            <w:vAlign w:val="center"/>
          </w:tcPr>
          <w:p w14:paraId="7563AF9C">
            <w:pPr>
              <w:widowControl w:val="0"/>
              <w:bidi w:val="0"/>
              <w:ind w:left="0" w:leftChars="0" w:firstLine="0" w:firstLineChars="0"/>
              <w:jc w:val="left"/>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投标人</w:t>
            </w:r>
            <w:r>
              <w:rPr>
                <w:rFonts w:hint="eastAsia" w:ascii="宋体" w:hAnsi="宋体" w:eastAsia="宋体" w:cs="宋体"/>
                <w:color w:val="000000"/>
                <w:sz w:val="24"/>
                <w:szCs w:val="24"/>
                <w:lang w:val="en-US" w:eastAsia="zh-CN"/>
              </w:rPr>
              <w:t>拟派技术人员具备教育行政部门主办的汽修技能高考培训经验，每提供一</w:t>
            </w:r>
            <w:r>
              <w:rPr>
                <w:rFonts w:hint="eastAsia" w:ascii="宋体" w:hAnsi="宋体" w:eastAsia="宋体" w:cs="宋体"/>
                <w:i w:val="0"/>
                <w:iCs w:val="0"/>
                <w:color w:val="000000"/>
                <w:kern w:val="0"/>
                <w:sz w:val="24"/>
                <w:szCs w:val="24"/>
                <w:u w:val="none"/>
                <w:lang w:val="en-US" w:eastAsia="zh-CN" w:bidi="ar"/>
              </w:rPr>
              <w:t>人得3.5分，最高得7分。</w:t>
            </w:r>
            <w:r>
              <w:rPr>
                <w:rFonts w:hint="eastAsia" w:ascii="宋体" w:hAnsi="宋体" w:eastAsia="宋体" w:cs="宋体"/>
                <w:color w:val="000000"/>
                <w:sz w:val="24"/>
                <w:szCs w:val="24"/>
                <w:lang w:val="en-US" w:eastAsia="zh-CN"/>
              </w:rPr>
              <w:t>（需提供聘书及邀请函等承办方盖章证明文件）</w:t>
            </w:r>
          </w:p>
        </w:tc>
        <w:tc>
          <w:tcPr>
            <w:tcW w:w="394" w:type="pct"/>
            <w:noWrap w:val="0"/>
            <w:vAlign w:val="center"/>
          </w:tcPr>
          <w:p w14:paraId="533128CB">
            <w:pPr>
              <w:widowControl w:val="0"/>
              <w:bidi w:val="0"/>
              <w:ind w:left="0" w:leftChars="0" w:firstLine="0" w:firstLineChars="0"/>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7</w:t>
            </w:r>
          </w:p>
        </w:tc>
      </w:tr>
      <w:tr w14:paraId="1F350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4" w:type="pct"/>
            <w:vMerge w:val="continue"/>
            <w:noWrap w:val="0"/>
            <w:vAlign w:val="center"/>
          </w:tcPr>
          <w:p w14:paraId="65A2566E">
            <w:pPr>
              <w:widowControl w:val="0"/>
              <w:bidi w:val="0"/>
              <w:jc w:val="center"/>
              <w:rPr>
                <w:rFonts w:hint="eastAsia" w:ascii="宋体" w:hAnsi="宋体" w:eastAsia="宋体" w:cs="宋体"/>
                <w:color w:val="000000"/>
                <w:sz w:val="24"/>
                <w:szCs w:val="24"/>
                <w:lang w:val="en-US" w:eastAsia="zh-CN"/>
              </w:rPr>
            </w:pPr>
          </w:p>
        </w:tc>
        <w:tc>
          <w:tcPr>
            <w:tcW w:w="706" w:type="pct"/>
            <w:noWrap w:val="0"/>
            <w:vAlign w:val="center"/>
          </w:tcPr>
          <w:p w14:paraId="7FB886F0">
            <w:pPr>
              <w:widowControl w:val="0"/>
              <w:bidi w:val="0"/>
              <w:ind w:left="0" w:leftChars="0" w:firstLine="0" w:firstLine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产品知识产权及可靠性</w:t>
            </w:r>
          </w:p>
        </w:tc>
        <w:tc>
          <w:tcPr>
            <w:tcW w:w="3393" w:type="pct"/>
            <w:noWrap w:val="0"/>
            <w:vAlign w:val="center"/>
          </w:tcPr>
          <w:p w14:paraId="26F46F3A">
            <w:pPr>
              <w:widowControl w:val="0"/>
              <w:bidi w:val="0"/>
              <w:ind w:left="0" w:leftChars="0" w:firstLine="0" w:firstLineChars="0"/>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为更好体现知识产权权益和产品质量,需提供以下产品对应资料：提供汽修技能高考虚拟仿真和课程软件著作权登记证书（复印件并加盖厂商公章）。每提供一份得1分，共5分。</w:t>
            </w:r>
          </w:p>
        </w:tc>
        <w:tc>
          <w:tcPr>
            <w:tcW w:w="394" w:type="pct"/>
            <w:noWrap w:val="0"/>
            <w:vAlign w:val="center"/>
          </w:tcPr>
          <w:p w14:paraId="17D6C826">
            <w:pPr>
              <w:widowControl w:val="0"/>
              <w:bidi w:val="0"/>
              <w:ind w:left="0" w:leftChars="0" w:firstLine="0" w:firstLine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w:t>
            </w:r>
          </w:p>
        </w:tc>
      </w:tr>
      <w:tr w14:paraId="22BD5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4" w:type="pct"/>
            <w:vMerge w:val="continue"/>
            <w:noWrap w:val="0"/>
            <w:vAlign w:val="center"/>
          </w:tcPr>
          <w:p w14:paraId="0C888563">
            <w:pPr>
              <w:widowControl w:val="0"/>
              <w:bidi w:val="0"/>
              <w:jc w:val="center"/>
              <w:rPr>
                <w:rFonts w:hint="eastAsia" w:ascii="宋体" w:hAnsi="宋体" w:eastAsia="宋体" w:cs="宋体"/>
                <w:color w:val="000000"/>
                <w:sz w:val="24"/>
                <w:szCs w:val="24"/>
                <w:lang w:val="en-US" w:eastAsia="zh-CN"/>
              </w:rPr>
            </w:pPr>
          </w:p>
        </w:tc>
        <w:tc>
          <w:tcPr>
            <w:tcW w:w="706" w:type="pct"/>
            <w:noWrap w:val="0"/>
            <w:vAlign w:val="center"/>
          </w:tcPr>
          <w:p w14:paraId="3E0E71E2">
            <w:pPr>
              <w:widowControl w:val="0"/>
              <w:bidi w:val="0"/>
              <w:ind w:left="0" w:leftChars="0" w:firstLine="0" w:firstLine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质量控制和安全文明措施</w:t>
            </w:r>
          </w:p>
        </w:tc>
        <w:tc>
          <w:tcPr>
            <w:tcW w:w="3393" w:type="pct"/>
            <w:noWrap w:val="0"/>
            <w:vAlign w:val="center"/>
          </w:tcPr>
          <w:p w14:paraId="5900B1C4">
            <w:pPr>
              <w:pStyle w:val="8"/>
              <w:ind w:left="0" w:leftChars="0" w:firstLine="0" w:firstLineChars="0"/>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投标人提供质量控制和安全文明措施，内容包含但不限于：</w:t>
            </w:r>
          </w:p>
          <w:p w14:paraId="5AA4E7BB">
            <w:pPr>
              <w:ind w:left="0" w:leftChars="0" w:firstLine="0" w:firstLine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（1）提供完整的质量保证体系文件（含组织架构、岗位职责、质量控制流程）；</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（2）关键控制措施（如原材料检验、过程检验、成品检验）均有明确的操作标准及责任人；</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（3）安全措施涵盖用电、消防、施工、数据安全等，并有应急预案；文明施工方案包含人员管理、场地管理、噪音及垃圾处理等具体措施。</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评审标准：</w:t>
            </w:r>
          </w:p>
          <w:p w14:paraId="1831CA18">
            <w:pPr>
              <w:ind w:left="0" w:leftChars="0" w:firstLine="0" w:firstLine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（1）完整性：方案完整，况切合本项目实际情况；</w:t>
            </w:r>
          </w:p>
          <w:p w14:paraId="29699F4D">
            <w:pPr>
              <w:ind w:left="0" w:leftChars="0" w:firstLine="0" w:firstLine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（2）合理性：符合项目具体情况，提出方案及实施措施合理、恰当。</w:t>
            </w:r>
          </w:p>
          <w:p w14:paraId="4F126996">
            <w:pPr>
              <w:pStyle w:val="8"/>
              <w:ind w:left="0" w:leftChars="0" w:firstLine="0" w:firstLineChars="0"/>
              <w:rPr>
                <w:rFonts w:hint="eastAsia" w:ascii="宋体" w:hAnsi="宋体" w:eastAsia="宋体" w:cs="宋体"/>
                <w:color w:val="000000"/>
                <w:sz w:val="24"/>
                <w:szCs w:val="24"/>
                <w:lang w:val="en-US" w:eastAsia="zh-CN"/>
              </w:rPr>
            </w:pPr>
            <w:r>
              <w:rPr>
                <w:rFonts w:hint="eastAsia" w:ascii="宋体" w:hAnsi="宋体" w:eastAsia="宋体" w:cs="宋体"/>
                <w:color w:val="000000"/>
                <w:kern w:val="2"/>
                <w:sz w:val="24"/>
                <w:szCs w:val="24"/>
                <w:lang w:val="en-US" w:eastAsia="zh-CN" w:bidi="ar-SA"/>
              </w:rPr>
              <w:t>对上述3项评审内容进行打分，每项评审内容完全满足2项评审标准的，得1分；仅满足1项的，得0.5分；其他情况不得分。最高得2分。</w:t>
            </w:r>
          </w:p>
        </w:tc>
        <w:tc>
          <w:tcPr>
            <w:tcW w:w="394" w:type="pct"/>
            <w:noWrap w:val="0"/>
            <w:vAlign w:val="center"/>
          </w:tcPr>
          <w:p w14:paraId="5A637BED">
            <w:pPr>
              <w:widowControl w:val="0"/>
              <w:bidi w:val="0"/>
              <w:ind w:left="0" w:leftChars="0" w:firstLine="0" w:firstLineChars="0"/>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2</w:t>
            </w:r>
          </w:p>
        </w:tc>
      </w:tr>
      <w:tr w14:paraId="78682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4" w:type="pct"/>
            <w:vMerge w:val="continue"/>
            <w:noWrap w:val="0"/>
            <w:vAlign w:val="center"/>
          </w:tcPr>
          <w:p w14:paraId="3C128FCF">
            <w:pPr>
              <w:widowControl w:val="0"/>
              <w:bidi w:val="0"/>
              <w:jc w:val="center"/>
              <w:rPr>
                <w:rFonts w:hint="eastAsia" w:ascii="宋体" w:hAnsi="宋体" w:eastAsia="宋体" w:cs="宋体"/>
                <w:color w:val="000000"/>
                <w:sz w:val="24"/>
                <w:szCs w:val="24"/>
                <w:lang w:val="en-US" w:eastAsia="zh-CN"/>
              </w:rPr>
            </w:pPr>
          </w:p>
        </w:tc>
        <w:tc>
          <w:tcPr>
            <w:tcW w:w="706" w:type="pct"/>
            <w:noWrap w:val="0"/>
            <w:vAlign w:val="center"/>
          </w:tcPr>
          <w:p w14:paraId="4AC2E034">
            <w:pPr>
              <w:widowControl w:val="0"/>
              <w:bidi w:val="0"/>
              <w:ind w:left="0" w:leftChars="0" w:firstLine="0" w:firstLineChars="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工期及进度计划</w:t>
            </w:r>
          </w:p>
        </w:tc>
        <w:tc>
          <w:tcPr>
            <w:tcW w:w="3393" w:type="pct"/>
            <w:noWrap w:val="0"/>
            <w:vAlign w:val="center"/>
          </w:tcPr>
          <w:p w14:paraId="623034A5">
            <w:pPr>
              <w:pStyle w:val="8"/>
              <w:ind w:left="0" w:leftChars="0" w:firstLine="0" w:firstLineChars="0"/>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投标人提供工期及进度计划方案，内容包含但不限于：</w:t>
            </w:r>
          </w:p>
          <w:p w14:paraId="6B02FC83">
            <w:pPr>
              <w:pStyle w:val="8"/>
              <w:ind w:left="0" w:leftChars="0" w:firstLine="0" w:firstLineChars="0"/>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（1）承诺工期完全满足招标文件要求并提供详细的进度计划表（以日历天为单位，含各阶段起止时间）；</w:t>
            </w:r>
            <w:r>
              <w:rPr>
                <w:rFonts w:hint="eastAsia" w:ascii="宋体" w:hAnsi="宋体" w:eastAsia="宋体" w:cs="宋体"/>
                <w:color w:val="000000"/>
                <w:kern w:val="2"/>
                <w:sz w:val="24"/>
                <w:szCs w:val="24"/>
                <w:lang w:val="en-US" w:eastAsia="zh-CN" w:bidi="ar-SA"/>
              </w:rPr>
              <w:br w:type="textWrapping"/>
            </w:r>
            <w:r>
              <w:rPr>
                <w:rFonts w:hint="eastAsia" w:ascii="宋体" w:hAnsi="宋体" w:eastAsia="宋体" w:cs="宋体"/>
                <w:color w:val="000000"/>
                <w:kern w:val="2"/>
                <w:sz w:val="24"/>
                <w:szCs w:val="24"/>
                <w:lang w:val="en-US" w:eastAsia="zh-CN" w:bidi="ar-SA"/>
              </w:rPr>
              <w:t>（2）进度计划与工期安排完全衔接对应（如：第X天完成XX工作，累计XX天）；保障措施具体可行（如：人员配置、物资储备、应急预案等）。</w:t>
            </w:r>
          </w:p>
          <w:p w14:paraId="1F361091">
            <w:pPr>
              <w:ind w:left="0" w:leftChars="0" w:firstLine="0" w:firstLine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评审标准：</w:t>
            </w:r>
          </w:p>
          <w:p w14:paraId="3D043703">
            <w:pPr>
              <w:ind w:left="0" w:leftChars="0" w:firstLine="0" w:firstLine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（1）完整性：方案完整，况切合本项目实际情况；</w:t>
            </w:r>
          </w:p>
          <w:p w14:paraId="0D3DF85D">
            <w:pPr>
              <w:ind w:left="0" w:leftChars="0" w:firstLine="0" w:firstLineChars="0"/>
              <w:jc w:val="left"/>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（2）合理性：符合项目具体情况，提出方案及实施措施合理、恰当。</w:t>
            </w:r>
          </w:p>
          <w:p w14:paraId="4BBD5B80">
            <w:pPr>
              <w:widowControl w:val="0"/>
              <w:numPr>
                <w:ilvl w:val="0"/>
                <w:numId w:val="0"/>
              </w:numPr>
              <w:bidi w:val="0"/>
              <w:jc w:val="left"/>
              <w:rPr>
                <w:rFonts w:hint="eastAsia" w:ascii="宋体" w:hAnsi="宋体" w:eastAsia="宋体" w:cs="宋体"/>
                <w:color w:val="000000"/>
                <w:sz w:val="24"/>
                <w:szCs w:val="24"/>
                <w:lang w:val="en-US" w:eastAsia="zh-CN"/>
              </w:rPr>
            </w:pPr>
            <w:r>
              <w:rPr>
                <w:rFonts w:hint="eastAsia" w:ascii="宋体" w:hAnsi="宋体" w:eastAsia="宋体" w:cs="宋体"/>
                <w:color w:val="000000"/>
                <w:kern w:val="2"/>
                <w:sz w:val="24"/>
                <w:szCs w:val="24"/>
                <w:lang w:val="en-US" w:eastAsia="zh-CN" w:bidi="ar-SA"/>
              </w:rPr>
              <w:t>对上述2项评审内容进行打分，每项评审内容完全满足2项评审标准的，得1分；仅满足1项的，得0.5分；其他情况不得分。最高得2分。</w:t>
            </w:r>
          </w:p>
        </w:tc>
        <w:tc>
          <w:tcPr>
            <w:tcW w:w="394" w:type="pct"/>
            <w:noWrap w:val="0"/>
            <w:vAlign w:val="center"/>
          </w:tcPr>
          <w:p w14:paraId="7F991867">
            <w:pPr>
              <w:widowControl w:val="0"/>
              <w:bidi w:val="0"/>
              <w:ind w:left="0" w:leftChars="0" w:firstLine="0" w:firstLine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w:t>
            </w:r>
          </w:p>
        </w:tc>
      </w:tr>
      <w:tr w14:paraId="70EB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4" w:type="pct"/>
            <w:vMerge w:val="restart"/>
            <w:noWrap w:val="0"/>
            <w:vAlign w:val="center"/>
          </w:tcPr>
          <w:p w14:paraId="602C0E4A">
            <w:pPr>
              <w:widowControl w:val="0"/>
              <w:bidi w:val="0"/>
              <w:ind w:left="0" w:leftChars="0" w:firstLine="0" w:firstLineChars="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技术</w:t>
            </w:r>
          </w:p>
          <w:p w14:paraId="2B83517B">
            <w:pPr>
              <w:widowControl w:val="0"/>
              <w:bidi w:val="0"/>
              <w:ind w:left="0" w:leftChars="0" w:firstLine="0" w:firstLineChars="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部分</w:t>
            </w:r>
          </w:p>
          <w:p w14:paraId="09272E8C">
            <w:pPr>
              <w:widowControl w:val="0"/>
              <w:bidi w:val="0"/>
              <w:ind w:left="0" w:leftChars="0" w:firstLine="0" w:firstLineChars="0"/>
              <w:jc w:val="center"/>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default" w:ascii="宋体" w:hAnsi="宋体" w:cs="宋体"/>
                <w:color w:val="000000" w:themeColor="text1"/>
                <w:sz w:val="24"/>
                <w:szCs w:val="24"/>
                <w:lang w:eastAsia="zh-CN"/>
                <w14:textFill>
                  <w14:solidFill>
                    <w14:schemeClr w14:val="tx1"/>
                  </w14:solidFill>
                </w14:textFill>
              </w:rPr>
              <w:t>2</w:t>
            </w:r>
            <w:r>
              <w:rPr>
                <w:rFonts w:hint="eastAsia" w:ascii="宋体" w:hAnsi="宋体" w:eastAsia="宋体" w:cs="宋体"/>
                <w:color w:val="000000" w:themeColor="text1"/>
                <w:sz w:val="24"/>
                <w:szCs w:val="24"/>
                <w:lang w:val="en-US" w:eastAsia="zh-CN"/>
                <w14:textFill>
                  <w14:solidFill>
                    <w14:schemeClr w14:val="tx1"/>
                  </w14:solidFill>
                </w14:textFill>
              </w:rPr>
              <w:t>分</w:t>
            </w:r>
          </w:p>
        </w:tc>
        <w:tc>
          <w:tcPr>
            <w:tcW w:w="706" w:type="pct"/>
            <w:noWrap w:val="0"/>
            <w:vAlign w:val="center"/>
          </w:tcPr>
          <w:p w14:paraId="77FB6691">
            <w:pPr>
              <w:widowControl w:val="0"/>
              <w:bidi w:val="0"/>
              <w:ind w:left="0" w:leftChars="0" w:firstLine="0" w:firstLineChars="0"/>
              <w:jc w:val="both"/>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技术</w:t>
            </w:r>
            <w:r>
              <w:rPr>
                <w:rFonts w:hint="eastAsia" w:ascii="宋体" w:hAnsi="宋体" w:eastAsia="宋体" w:cs="宋体"/>
                <w:color w:val="000000" w:themeColor="text1"/>
                <w:sz w:val="24"/>
                <w:szCs w:val="24"/>
                <w14:textFill>
                  <w14:solidFill>
                    <w14:schemeClr w14:val="tx1"/>
                  </w14:solidFill>
                </w14:textFill>
              </w:rPr>
              <w:t>参数</w:t>
            </w:r>
          </w:p>
        </w:tc>
        <w:tc>
          <w:tcPr>
            <w:tcW w:w="3393" w:type="pct"/>
            <w:noWrap w:val="0"/>
            <w:vAlign w:val="center"/>
          </w:tcPr>
          <w:p w14:paraId="1D579CF0">
            <w:pPr>
              <w:widowControl w:val="0"/>
              <w:bidi w:val="0"/>
              <w:ind w:left="0" w:leftChars="0" w:firstLine="0" w:firstLineChars="0"/>
              <w:jc w:val="left"/>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评标委员会根据投标文件的响应情况，逐条对照判断所投设备是否满 足招标文件的要求。</w:t>
            </w:r>
          </w:p>
          <w:p w14:paraId="042483F9">
            <w:pPr>
              <w:widowControl w:val="0"/>
              <w:bidi w:val="0"/>
              <w:ind w:left="0" w:leftChars="0" w:firstLine="0" w:firstLineChars="0"/>
              <w:jc w:val="left"/>
              <w:rPr>
                <w:rFonts w:hint="eastAsia" w:ascii="宋体" w:hAnsi="宋体" w:eastAsia="宋体" w:cs="宋体"/>
                <w:color w:val="000000" w:themeColor="text1"/>
                <w:kern w:val="2"/>
                <w:sz w:val="24"/>
                <w:szCs w:val="24"/>
                <w:lang w:val="en-US" w:eastAsia="zh-CN" w:bidi="ar-SA"/>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w:t>
            </w:r>
            <w:r>
              <w:rPr>
                <w:rFonts w:hint="eastAsia" w:ascii="宋体" w:hAnsi="宋体" w:eastAsia="宋体" w:cs="宋体"/>
                <w:color w:val="000000" w:themeColor="text1"/>
                <w:sz w:val="24"/>
                <w:szCs w:val="24"/>
                <w:lang w:eastAsia="zh-CN"/>
                <w14:textFill>
                  <w14:solidFill>
                    <w14:schemeClr w14:val="tx1"/>
                  </w14:solidFill>
                </w14:textFill>
              </w:rPr>
              <w:t>技</w:t>
            </w:r>
            <w:r>
              <w:rPr>
                <w:rFonts w:hint="eastAsia" w:ascii="宋体" w:hAnsi="宋体" w:eastAsia="宋体" w:cs="宋体"/>
                <w:color w:val="000000" w:themeColor="text1"/>
                <w:kern w:val="2"/>
                <w:sz w:val="24"/>
                <w:szCs w:val="24"/>
                <w:lang w:val="en-US" w:eastAsia="zh-CN" w:bidi="ar-SA"/>
                <w14:textFill>
                  <w14:solidFill>
                    <w14:schemeClr w14:val="tx1"/>
                  </w14:solidFill>
                </w14:textFill>
              </w:rPr>
              <w:t>术参数中标注有“</w:t>
            </w:r>
            <w:r>
              <w:rPr>
                <w:rFonts w:hint="default" w:ascii="宋体" w:hAnsi="宋体" w:eastAsia="宋体" w:cs="宋体"/>
                <w:color w:val="000000" w:themeColor="text1"/>
                <w:kern w:val="2"/>
                <w:sz w:val="24"/>
                <w:szCs w:val="24"/>
                <w:lang w:val="en-US" w:eastAsia="zh-CN" w:bidi="ar-SA"/>
                <w14:textFill>
                  <w14:solidFill>
                    <w14:schemeClr w14:val="tx1"/>
                  </w14:solidFill>
                </w14:textFill>
              </w:rPr>
              <w:t>▲</w:t>
            </w:r>
            <w:r>
              <w:rPr>
                <w:rFonts w:hint="eastAsia" w:ascii="宋体" w:hAnsi="宋体" w:eastAsia="宋体" w:cs="宋体"/>
                <w:color w:val="000000" w:themeColor="text1"/>
                <w:kern w:val="2"/>
                <w:sz w:val="24"/>
                <w:szCs w:val="24"/>
                <w:lang w:val="en-US" w:eastAsia="zh-CN" w:bidi="ar-SA"/>
                <w14:textFill>
                  <w14:solidFill>
                    <w14:schemeClr w14:val="tx1"/>
                  </w14:solidFill>
                </w14:textFill>
              </w:rPr>
              <w:t>”号参数</w:t>
            </w:r>
            <w:r>
              <w:rPr>
                <w:rFonts w:hint="default" w:ascii="宋体" w:hAnsi="宋体" w:eastAsia="宋体" w:cs="宋体"/>
                <w:color w:val="000000" w:themeColor="text1"/>
                <w:kern w:val="2"/>
                <w:sz w:val="24"/>
                <w:szCs w:val="24"/>
                <w:lang w:val="en-US" w:eastAsia="zh-CN" w:bidi="ar-SA"/>
                <w14:textFill>
                  <w14:solidFill>
                    <w14:schemeClr w14:val="tx1"/>
                  </w14:solidFill>
                </w14:textFill>
              </w:rPr>
              <w:t>（20项）</w:t>
            </w:r>
            <w:r>
              <w:rPr>
                <w:rFonts w:hint="eastAsia" w:ascii="宋体" w:hAnsi="宋体" w:eastAsia="宋体" w:cs="宋体"/>
                <w:color w:val="000000" w:themeColor="text1"/>
                <w:kern w:val="2"/>
                <w:sz w:val="24"/>
                <w:szCs w:val="24"/>
                <w:lang w:val="en-US" w:eastAsia="zh-CN" w:bidi="ar-SA"/>
                <w14:textFill>
                  <w14:solidFill>
                    <w14:schemeClr w14:val="tx1"/>
                  </w14:solidFill>
                </w14:textFill>
              </w:rPr>
              <w:t xml:space="preserve">项为重要产品性能或功能技术参数项，有一项负偏离扣 </w:t>
            </w:r>
            <w:r>
              <w:rPr>
                <w:rFonts w:hint="default" w:ascii="宋体" w:hAnsi="宋体" w:eastAsia="宋体" w:cs="宋体"/>
                <w:color w:val="000000" w:themeColor="text1"/>
                <w:kern w:val="2"/>
                <w:sz w:val="24"/>
                <w:szCs w:val="24"/>
                <w:lang w:val="en-US" w:eastAsia="zh-CN" w:bidi="ar-SA"/>
                <w14:textFill>
                  <w14:solidFill>
                    <w14:schemeClr w14:val="tx1"/>
                  </w14:solidFill>
                </w14:textFill>
              </w:rPr>
              <w:t>0.5</w:t>
            </w:r>
            <w:r>
              <w:rPr>
                <w:rFonts w:hint="eastAsia" w:ascii="宋体" w:hAnsi="宋体" w:eastAsia="宋体" w:cs="宋体"/>
                <w:color w:val="000000" w:themeColor="text1"/>
                <w:kern w:val="2"/>
                <w:sz w:val="24"/>
                <w:szCs w:val="24"/>
                <w:lang w:val="en-US" w:eastAsia="zh-CN" w:bidi="ar-SA"/>
                <w14:textFill>
                  <w14:solidFill>
                    <w14:schemeClr w14:val="tx1"/>
                  </w14:solidFill>
                </w14:textFill>
              </w:rPr>
              <w:t>分， 直至扣完（需</w:t>
            </w:r>
            <w:r>
              <w:rPr>
                <w:rFonts w:hint="default" w:ascii="宋体" w:hAnsi="宋体" w:eastAsia="宋体" w:cs="宋体"/>
                <w:color w:val="000000" w:themeColor="text1"/>
                <w:kern w:val="2"/>
                <w:sz w:val="24"/>
                <w:szCs w:val="24"/>
                <w:lang w:val="en-US" w:eastAsia="zh-CN" w:bidi="ar-SA"/>
                <w14:textFill>
                  <w14:solidFill>
                    <w14:schemeClr w14:val="tx1"/>
                  </w14:solidFill>
                </w14:textFill>
              </w:rPr>
              <w:t>按要求</w:t>
            </w:r>
            <w:r>
              <w:rPr>
                <w:rFonts w:hint="eastAsia" w:ascii="宋体" w:hAnsi="宋体" w:eastAsia="宋体" w:cs="宋体"/>
                <w:color w:val="000000" w:themeColor="text1"/>
                <w:kern w:val="2"/>
                <w:sz w:val="24"/>
                <w:szCs w:val="24"/>
                <w:lang w:val="en-US" w:eastAsia="zh-CN" w:bidi="ar-SA"/>
                <w14:textFill>
                  <w14:solidFill>
                    <w14:schemeClr w14:val="tx1"/>
                  </w14:solidFill>
                </w14:textFill>
              </w:rPr>
              <w:t>提供</w:t>
            </w:r>
            <w:r>
              <w:rPr>
                <w:rFonts w:hint="default" w:ascii="宋体" w:hAnsi="宋体" w:eastAsia="宋体" w:cs="宋体"/>
                <w:color w:val="000000" w:themeColor="text1"/>
                <w:kern w:val="2"/>
                <w:sz w:val="24"/>
                <w:szCs w:val="24"/>
                <w:lang w:val="en-US" w:eastAsia="zh-CN" w:bidi="ar-SA"/>
                <w14:textFill>
                  <w14:solidFill>
                    <w14:schemeClr w14:val="tx1"/>
                  </w14:solidFill>
                </w14:textFill>
              </w:rPr>
              <w:t>相应</w:t>
            </w:r>
            <w:r>
              <w:rPr>
                <w:rFonts w:hint="eastAsia" w:ascii="宋体" w:hAnsi="宋体" w:eastAsia="宋体" w:cs="宋体"/>
                <w:color w:val="000000" w:themeColor="text1"/>
                <w:kern w:val="2"/>
                <w:sz w:val="24"/>
                <w:szCs w:val="24"/>
                <w:lang w:val="en-US" w:eastAsia="zh-CN" w:bidi="ar-SA"/>
                <w14:textFill>
                  <w14:solidFill>
                    <w14:schemeClr w14:val="tx1"/>
                  </w14:solidFill>
                </w14:textFill>
              </w:rPr>
              <w:t>产品</w:t>
            </w:r>
            <w:r>
              <w:rPr>
                <w:rFonts w:hint="default" w:ascii="宋体" w:hAnsi="宋体" w:eastAsia="宋体" w:cs="宋体"/>
                <w:color w:val="000000" w:themeColor="text1"/>
                <w:kern w:val="2"/>
                <w:sz w:val="24"/>
                <w:szCs w:val="24"/>
                <w:lang w:val="en-US" w:eastAsia="zh-CN" w:bidi="ar-SA"/>
                <w14:textFill>
                  <w14:solidFill>
                    <w14:schemeClr w14:val="tx1"/>
                  </w14:solidFill>
                </w14:textFill>
              </w:rPr>
              <w:t>资料如：</w:t>
            </w:r>
            <w:r>
              <w:rPr>
                <w:rFonts w:hint="eastAsia" w:ascii="宋体" w:hAnsi="宋体" w:eastAsia="宋体" w:cs="宋体"/>
                <w:color w:val="000000" w:themeColor="text1"/>
                <w:kern w:val="2"/>
                <w:sz w:val="24"/>
                <w:szCs w:val="24"/>
                <w:lang w:val="en-US" w:eastAsia="zh-CN" w:bidi="ar-SA"/>
                <w14:textFill>
                  <w14:solidFill>
                    <w14:schemeClr w14:val="tx1"/>
                  </w14:solidFill>
                </w14:textFill>
              </w:rPr>
              <w:t>宣传彩页、</w:t>
            </w:r>
            <w:r>
              <w:rPr>
                <w:rFonts w:hint="default" w:ascii="宋体" w:hAnsi="宋体" w:eastAsia="宋体" w:cs="宋体"/>
                <w:color w:val="000000" w:themeColor="text1"/>
                <w:kern w:val="2"/>
                <w:sz w:val="24"/>
                <w:szCs w:val="24"/>
                <w:lang w:val="en-US" w:eastAsia="zh-CN" w:bidi="ar-SA"/>
                <w14:textFill>
                  <w14:solidFill>
                    <w14:schemeClr w14:val="tx1"/>
                  </w14:solidFill>
                </w14:textFill>
              </w:rPr>
              <w:t>检验报告、</w:t>
            </w:r>
            <w:r>
              <w:rPr>
                <w:rFonts w:hint="eastAsia" w:ascii="宋体" w:hAnsi="宋体" w:eastAsia="宋体" w:cs="宋体"/>
                <w:color w:val="000000" w:themeColor="text1"/>
                <w:kern w:val="2"/>
                <w:sz w:val="24"/>
                <w:szCs w:val="24"/>
                <w:lang w:val="en-US" w:eastAsia="zh-CN" w:bidi="ar-SA"/>
                <w14:textFill>
                  <w14:solidFill>
                    <w14:schemeClr w14:val="tx1"/>
                  </w14:solidFill>
                </w14:textFill>
              </w:rPr>
              <w:t>产品功能截图或原厂出具并加盖公章的证明文件</w:t>
            </w:r>
            <w:r>
              <w:rPr>
                <w:rFonts w:hint="default" w:ascii="宋体" w:hAnsi="宋体" w:eastAsia="宋体" w:cs="宋体"/>
                <w:color w:val="000000" w:themeColor="text1"/>
                <w:kern w:val="2"/>
                <w:sz w:val="24"/>
                <w:szCs w:val="24"/>
                <w:lang w:val="en-US" w:eastAsia="zh-CN" w:bidi="ar-SA"/>
                <w14:textFill>
                  <w14:solidFill>
                    <w14:schemeClr w14:val="tx1"/>
                  </w14:solidFill>
                </w14:textFill>
              </w:rPr>
              <w:t>等</w:t>
            </w:r>
            <w:r>
              <w:rPr>
                <w:rFonts w:hint="eastAsia" w:ascii="宋体" w:hAnsi="宋体" w:eastAsia="宋体" w:cs="宋体"/>
                <w:color w:val="000000" w:themeColor="text1"/>
                <w:kern w:val="2"/>
                <w:sz w:val="24"/>
                <w:szCs w:val="24"/>
                <w:lang w:val="en-US" w:eastAsia="zh-CN" w:bidi="ar-SA"/>
                <w14:textFill>
                  <w14:solidFill>
                    <w14:schemeClr w14:val="tx1"/>
                  </w14:solidFill>
                </w14:textFill>
              </w:rPr>
              <w:t>作为评审依据）。</w:t>
            </w:r>
          </w:p>
          <w:p w14:paraId="4D7A69A6">
            <w:pPr>
              <w:widowControl w:val="0"/>
              <w:bidi w:val="0"/>
              <w:ind w:left="0" w:leftChars="0" w:firstLine="0" w:firstLineChars="0"/>
              <w:jc w:val="left"/>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2.</w:t>
            </w:r>
            <w:r>
              <w:rPr>
                <w:rFonts w:hint="eastAsia" w:ascii="宋体" w:hAnsi="宋体" w:eastAsia="宋体" w:cs="宋体"/>
                <w:color w:val="000000" w:themeColor="text1"/>
                <w:sz w:val="24"/>
                <w:szCs w:val="24"/>
                <w:lang w:eastAsia="zh-CN"/>
                <w14:textFill>
                  <w14:solidFill>
                    <w14:schemeClr w14:val="tx1"/>
                  </w14:solidFill>
                </w14:textFill>
              </w:rPr>
              <w:t>技术参数中没有标注“</w:t>
            </w:r>
            <w:r>
              <w:rPr>
                <w:rFonts w:hint="default"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eastAsia="宋体" w:cs="宋体"/>
                <w:i w:val="0"/>
                <w:iCs w:val="0"/>
                <w:color w:val="000000" w:themeColor="text1"/>
                <w:kern w:val="0"/>
                <w:sz w:val="22"/>
                <w:szCs w:val="22"/>
                <w:highlight w:val="none"/>
                <w:u w:val="none"/>
                <w:lang w:val="en-US" w:eastAsia="zh-CN" w:bidi="ar"/>
                <w14:textFill>
                  <w14:solidFill>
                    <w14:schemeClr w14:val="tx1"/>
                  </w14:solidFill>
                </w14:textFill>
              </w:rPr>
              <w:t>●</w:t>
            </w:r>
            <w:r>
              <w:rPr>
                <w:rFonts w:hint="eastAsia" w:ascii="宋体" w:hAnsi="宋体" w:eastAsia="宋体" w:cs="宋体"/>
                <w:color w:val="000000" w:themeColor="text1"/>
                <w:sz w:val="24"/>
                <w:szCs w:val="24"/>
                <w:lang w:eastAsia="zh-CN"/>
                <w14:textFill>
                  <w14:solidFill>
                    <w14:schemeClr w14:val="tx1"/>
                  </w14:solidFill>
                </w14:textFill>
              </w:rPr>
              <w:t xml:space="preserve">”的参数项达不到招标文件要求的， 每有一项负偏离扣 </w:t>
            </w:r>
            <w:r>
              <w:rPr>
                <w:rFonts w:hint="default" w:ascii="宋体" w:hAnsi="宋体" w:cs="宋体"/>
                <w:color w:val="000000" w:themeColor="text1"/>
                <w:sz w:val="24"/>
                <w:szCs w:val="24"/>
                <w:lang w:eastAsia="zh-CN"/>
                <w14:textFill>
                  <w14:solidFill>
                    <w14:schemeClr w14:val="tx1"/>
                  </w14:solidFill>
                </w14:textFill>
              </w:rPr>
              <w:t>0.2</w:t>
            </w:r>
            <w:r>
              <w:rPr>
                <w:rFonts w:hint="eastAsia" w:ascii="宋体" w:hAnsi="宋体" w:eastAsia="宋体" w:cs="宋体"/>
                <w:color w:val="000000" w:themeColor="text1"/>
                <w:sz w:val="24"/>
                <w:szCs w:val="24"/>
                <w:lang w:eastAsia="zh-CN"/>
                <w14:textFill>
                  <w14:solidFill>
                    <w14:schemeClr w14:val="tx1"/>
                  </w14:solidFill>
                </w14:textFill>
              </w:rPr>
              <w:t>分 ，直至扣完。</w:t>
            </w:r>
          </w:p>
          <w:p w14:paraId="5F2C0BF2">
            <w:pPr>
              <w:widowControl w:val="0"/>
              <w:bidi w:val="0"/>
              <w:ind w:left="0" w:leftChars="0" w:firstLine="0" w:firstLineChars="0"/>
              <w:jc w:val="left"/>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采购文件要求提供证明材料的需按要求提供，未提供视为不响应；未要求提供证明材料的，应在《项目技术、服务及商务要求响应、偏离说明表（不含★号条款）》中注明是否满足，未注明视为不满足</w:t>
            </w:r>
            <w:r>
              <w:rPr>
                <w:rFonts w:hint="eastAsia" w:ascii="宋体" w:hAnsi="宋体" w:cs="宋体"/>
                <w:color w:val="000000" w:themeColor="text1"/>
                <w:kern w:val="0"/>
                <w:sz w:val="24"/>
                <w:szCs w:val="24"/>
                <w:highlight w:val="none"/>
                <w:lang w:eastAsia="zh-CN"/>
                <w14:textFill>
                  <w14:solidFill>
                    <w14:schemeClr w14:val="tx1"/>
                  </w14:solidFill>
                </w14:textFill>
              </w:rPr>
              <w:t>。</w:t>
            </w:r>
          </w:p>
        </w:tc>
        <w:tc>
          <w:tcPr>
            <w:tcW w:w="394" w:type="pct"/>
            <w:noWrap w:val="0"/>
            <w:vAlign w:val="center"/>
          </w:tcPr>
          <w:p w14:paraId="227E6A3A">
            <w:pPr>
              <w:widowControl w:val="0"/>
              <w:bidi w:val="0"/>
              <w:ind w:left="0" w:leftChars="0" w:firstLine="0" w:firstLineChars="0"/>
              <w:jc w:val="center"/>
              <w:rPr>
                <w:rFonts w:hint="default" w:ascii="宋体" w:hAnsi="宋体" w:eastAsia="宋体" w:cs="宋体"/>
                <w:color w:val="000000" w:themeColor="text1"/>
                <w:sz w:val="24"/>
                <w:szCs w:val="24"/>
                <w:lang w:eastAsia="zh-CN"/>
                <w14:textFill>
                  <w14:solidFill>
                    <w14:schemeClr w14:val="tx1"/>
                  </w14:solidFill>
                </w14:textFill>
              </w:rPr>
            </w:pPr>
            <w:r>
              <w:rPr>
                <w:rFonts w:hint="default" w:ascii="宋体" w:hAnsi="宋体" w:cs="宋体"/>
                <w:color w:val="000000" w:themeColor="text1"/>
                <w:sz w:val="24"/>
                <w:szCs w:val="24"/>
                <w:lang w:eastAsia="zh-CN"/>
                <w14:textFill>
                  <w14:solidFill>
                    <w14:schemeClr w14:val="tx1"/>
                  </w14:solidFill>
                </w14:textFill>
              </w:rPr>
              <w:t>15</w:t>
            </w:r>
          </w:p>
        </w:tc>
      </w:tr>
      <w:tr w14:paraId="441BC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6" w:hRule="atLeast"/>
          <w:jc w:val="center"/>
        </w:trPr>
        <w:tc>
          <w:tcPr>
            <w:tcW w:w="504" w:type="pct"/>
            <w:vMerge w:val="continue"/>
            <w:noWrap w:val="0"/>
            <w:vAlign w:val="center"/>
          </w:tcPr>
          <w:p w14:paraId="296D4B78">
            <w:pPr>
              <w:widowControl w:val="0"/>
              <w:bidi w:val="0"/>
              <w:jc w:val="center"/>
              <w:rPr>
                <w:rFonts w:hint="eastAsia" w:ascii="宋体" w:hAnsi="宋体" w:eastAsia="宋体" w:cs="宋体"/>
                <w:color w:val="000000"/>
                <w:sz w:val="24"/>
                <w:szCs w:val="24"/>
                <w:lang w:val="en-US" w:eastAsia="zh-CN"/>
              </w:rPr>
            </w:pPr>
          </w:p>
        </w:tc>
        <w:tc>
          <w:tcPr>
            <w:tcW w:w="706" w:type="pct"/>
            <w:noWrap w:val="0"/>
            <w:vAlign w:val="center"/>
          </w:tcPr>
          <w:p w14:paraId="3B315CB4">
            <w:pPr>
              <w:widowControl w:val="0"/>
              <w:bidi w:val="0"/>
              <w:ind w:left="0" w:leftChars="0" w:firstLine="0" w:firstLineChars="0"/>
              <w:jc w:val="both"/>
              <w:rPr>
                <w:rFonts w:hint="eastAsia" w:ascii="宋体" w:hAnsi="宋体" w:eastAsia="宋体" w:cs="宋体"/>
                <w:color w:val="000000"/>
                <w:sz w:val="24"/>
                <w:szCs w:val="24"/>
              </w:rPr>
            </w:pPr>
            <w:r>
              <w:rPr>
                <w:rFonts w:hint="eastAsia" w:ascii="宋体" w:hAnsi="宋体" w:eastAsia="宋体" w:cs="宋体"/>
                <w:color w:val="000000"/>
                <w:sz w:val="24"/>
                <w:szCs w:val="24"/>
              </w:rPr>
              <w:t>产品功能性展示（技术参数中标注</w:t>
            </w:r>
          </w:p>
          <w:p w14:paraId="6D233487">
            <w:pPr>
              <w:widowControl w:val="0"/>
              <w:bidi w:val="0"/>
              <w:ind w:left="0" w:leftChars="0" w:firstLine="0" w:firstLineChars="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有“</w:t>
            </w:r>
            <w:r>
              <w:rPr>
                <w:rFonts w:hint="eastAsia" w:ascii="宋体" w:hAnsi="宋体" w:eastAsia="宋体" w:cs="宋体"/>
                <w:i w:val="0"/>
                <w:iCs w:val="0"/>
                <w:color w:val="auto"/>
                <w:kern w:val="0"/>
                <w:sz w:val="22"/>
                <w:szCs w:val="22"/>
                <w:highlight w:val="none"/>
                <w:u w:val="none"/>
                <w:lang w:val="en-US" w:eastAsia="zh-CN" w:bidi="ar"/>
              </w:rPr>
              <w:t>●</w:t>
            </w:r>
            <w:r>
              <w:rPr>
                <w:rFonts w:hint="eastAsia" w:ascii="宋体" w:hAnsi="宋体" w:eastAsia="宋体" w:cs="宋体"/>
                <w:color w:val="000000"/>
                <w:sz w:val="24"/>
                <w:szCs w:val="24"/>
              </w:rPr>
              <w:t>”号的参数项为该项目的要求提供功能确认视频</w:t>
            </w:r>
            <w:r>
              <w:rPr>
                <w:rFonts w:hint="eastAsia" w:ascii="宋体" w:hAnsi="宋体" w:eastAsia="宋体" w:cs="宋体"/>
                <w:color w:val="000000"/>
                <w:sz w:val="24"/>
                <w:szCs w:val="24"/>
                <w:lang w:val="en-US" w:eastAsia="zh-CN"/>
              </w:rPr>
              <w:t>或图片</w:t>
            </w:r>
            <w:r>
              <w:rPr>
                <w:rFonts w:hint="eastAsia" w:ascii="宋体" w:hAnsi="宋体" w:eastAsia="宋体" w:cs="宋体"/>
                <w:color w:val="000000"/>
                <w:sz w:val="24"/>
                <w:szCs w:val="24"/>
              </w:rPr>
              <w:t xml:space="preserve"> ）</w:t>
            </w:r>
          </w:p>
        </w:tc>
        <w:tc>
          <w:tcPr>
            <w:tcW w:w="3393" w:type="pct"/>
            <w:noWrap w:val="0"/>
            <w:vAlign w:val="center"/>
          </w:tcPr>
          <w:p w14:paraId="7DF25B73">
            <w:pPr>
              <w:widowControl w:val="0"/>
              <w:bidi w:val="0"/>
              <w:ind w:left="0" w:leftChars="0" w:firstLine="0" w:firstLineChars="0"/>
              <w:jc w:val="left"/>
              <w:rPr>
                <w:rFonts w:hint="eastAsia" w:ascii="宋体" w:hAnsi="宋体" w:eastAsia="宋体" w:cs="宋体"/>
                <w:color w:val="000000"/>
                <w:sz w:val="24"/>
                <w:szCs w:val="24"/>
                <w:lang w:val="en-US" w:eastAsia="zh-CN"/>
              </w:rPr>
            </w:pPr>
            <w:r>
              <w:rPr>
                <w:rFonts w:hint="eastAsia" w:ascii="宋体" w:hAnsi="宋体" w:eastAsia="宋体" w:cs="宋体"/>
                <w:i w:val="0"/>
                <w:iCs w:val="0"/>
                <w:color w:val="000000"/>
                <w:sz w:val="24"/>
                <w:szCs w:val="24"/>
                <w:u w:val="none"/>
                <w:lang w:val="en-US" w:eastAsia="zh-CN"/>
              </w:rPr>
              <w:t>汽修技能高考仿真考试软件</w:t>
            </w:r>
            <w:r>
              <w:rPr>
                <w:rFonts w:hint="eastAsia" w:ascii="宋体" w:hAnsi="宋体" w:eastAsia="宋体" w:cs="宋体"/>
                <w:color w:val="000000"/>
                <w:sz w:val="24"/>
                <w:szCs w:val="24"/>
                <w:lang w:val="en-US" w:eastAsia="zh-CN"/>
              </w:rPr>
              <w:t>：</w:t>
            </w:r>
          </w:p>
          <w:p w14:paraId="42572321">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（1）“二、</w:t>
            </w:r>
            <w:r>
              <w:rPr>
                <w:rFonts w:hint="eastAsia" w:ascii="宋体" w:hAnsi="宋体" w:eastAsia="宋体" w:cs="宋体"/>
                <w:sz w:val="24"/>
                <w:szCs w:val="24"/>
              </w:rPr>
              <w:t>后台设置部分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5.</w:t>
            </w:r>
            <w:r>
              <w:rPr>
                <w:rFonts w:hint="eastAsia" w:ascii="宋体" w:hAnsi="宋体" w:eastAsia="宋体" w:cs="宋体"/>
                <w:sz w:val="24"/>
                <w:szCs w:val="24"/>
              </w:rPr>
              <w:t>课程相关管理</w:t>
            </w:r>
            <w:r>
              <w:rPr>
                <w:rFonts w:hint="eastAsia" w:ascii="宋体" w:hAnsi="宋体" w:eastAsia="宋体" w:cs="宋体"/>
                <w:sz w:val="24"/>
                <w:szCs w:val="24"/>
                <w:lang w:eastAsia="zh-CN"/>
              </w:rPr>
              <w:t>—</w:t>
            </w:r>
            <w:r>
              <w:rPr>
                <w:rFonts w:hint="eastAsia" w:ascii="宋体" w:hAnsi="宋体" w:eastAsia="宋体" w:cs="宋体"/>
                <w:color w:val="000000"/>
                <w:sz w:val="24"/>
                <w:szCs w:val="24"/>
              </w:rPr>
              <w:t>创建课程章节</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rPr>
              <w:t>：可创建视频课程（支持第三方和本地上传，指定格式如m3u8）、考试关联、图文教材（文本形式，手动设置时长）、课件形式（支持多种格式）等不同类型的章节内容。</w:t>
            </w:r>
            <w:r>
              <w:rPr>
                <w:rFonts w:hint="eastAsia" w:ascii="宋体" w:hAnsi="宋体" w:eastAsia="宋体" w:cs="宋体"/>
                <w:color w:val="000000"/>
                <w:sz w:val="24"/>
                <w:szCs w:val="24"/>
                <w:highlight w:val="none"/>
                <w:lang w:val="en-US" w:eastAsia="zh-CN"/>
              </w:rPr>
              <w:t>（提供视频2分</w:t>
            </w:r>
            <w:r>
              <w:rPr>
                <w:rFonts w:hint="eastAsia" w:ascii="宋体" w:hAnsi="宋体" w:eastAsia="宋体" w:cs="宋体"/>
                <w:color w:val="000000"/>
                <w:sz w:val="24"/>
                <w:szCs w:val="24"/>
                <w:highlight w:val="none"/>
                <w:lang w:eastAsia="zh-CN"/>
              </w:rPr>
              <w:t>）</w:t>
            </w:r>
          </w:p>
          <w:p w14:paraId="23E66146">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（2）“四、理论题库部分要求”：</w:t>
            </w:r>
            <w:r>
              <w:rPr>
                <w:rFonts w:hint="eastAsia" w:ascii="宋体" w:hAnsi="宋体" w:eastAsia="宋体" w:cs="宋体"/>
                <w:color w:val="000000"/>
                <w:sz w:val="24"/>
                <w:szCs w:val="24"/>
              </w:rPr>
              <w:t>章节专项训练</w:t>
            </w:r>
            <w:r>
              <w:rPr>
                <w:rFonts w:hint="eastAsia" w:ascii="宋体" w:hAnsi="宋体" w:eastAsia="宋体" w:cs="宋体"/>
                <w:color w:val="000000"/>
                <w:sz w:val="24"/>
                <w:szCs w:val="24"/>
                <w:lang w:val="en-US" w:eastAsia="zh-CN"/>
              </w:rPr>
              <w:t>配有1套（出版社正规出版教学辅导书；配备练习册及教师用解析书）专用书，与学习网校章节训练题目一一对应。（提供样书及网校章节训练证明图片5分）</w:t>
            </w:r>
          </w:p>
          <w:p w14:paraId="3F1FBBA5">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w:t>
            </w:r>
            <w:r>
              <w:rPr>
                <w:rFonts w:hint="eastAsia" w:ascii="宋体" w:hAnsi="宋体" w:eastAsia="宋体" w:cs="宋体"/>
                <w:sz w:val="24"/>
                <w:szCs w:val="24"/>
              </w:rPr>
              <w:t>五、实操微课部分要求</w:t>
            </w:r>
            <w:r>
              <w:rPr>
                <w:rFonts w:hint="eastAsia" w:ascii="宋体" w:hAnsi="宋体" w:eastAsia="宋体" w:cs="宋体"/>
                <w:sz w:val="24"/>
                <w:szCs w:val="24"/>
                <w:lang w:eastAsia="zh-CN"/>
              </w:rPr>
              <w:t>—</w:t>
            </w:r>
            <w:r>
              <w:rPr>
                <w:rFonts w:hint="eastAsia" w:ascii="宋体" w:hAnsi="宋体" w:eastAsia="宋体" w:cs="宋体"/>
                <w:sz w:val="24"/>
                <w:szCs w:val="24"/>
              </w:rPr>
              <w:t>模块一：气缸测量</w:t>
            </w:r>
            <w:r>
              <w:rPr>
                <w:rFonts w:hint="eastAsia" w:ascii="宋体" w:hAnsi="宋体" w:eastAsia="宋体" w:cs="宋体"/>
                <w:sz w:val="24"/>
                <w:szCs w:val="24"/>
                <w:lang w:val="en-US" w:eastAsia="zh-CN"/>
              </w:rPr>
              <w:t>题库</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气缸视频拍摄需要两个机位，需要镜头特写及重要部分重点说明。</w:t>
            </w:r>
            <w:r>
              <w:rPr>
                <w:rFonts w:hint="eastAsia" w:ascii="宋体" w:hAnsi="宋体" w:eastAsia="宋体" w:cs="宋体"/>
                <w:color w:val="000000"/>
                <w:sz w:val="24"/>
                <w:szCs w:val="24"/>
                <w:highlight w:val="none"/>
                <w:lang w:val="en-US" w:eastAsia="zh-CN"/>
              </w:rPr>
              <w:t>（提供视频2分</w:t>
            </w:r>
            <w:r>
              <w:rPr>
                <w:rFonts w:hint="eastAsia" w:ascii="宋体" w:hAnsi="宋体" w:eastAsia="宋体" w:cs="宋体"/>
                <w:color w:val="000000"/>
                <w:sz w:val="24"/>
                <w:szCs w:val="24"/>
                <w:highlight w:val="none"/>
                <w:lang w:eastAsia="zh-CN"/>
              </w:rPr>
              <w:t>）</w:t>
            </w:r>
          </w:p>
          <w:p w14:paraId="03C607D0">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000000"/>
                <w:sz w:val="24"/>
                <w:szCs w:val="24"/>
                <w:lang w:eastAsia="zh-CN"/>
              </w:rPr>
            </w:pPr>
            <w:r>
              <w:rPr>
                <w:rFonts w:hint="eastAsia" w:ascii="宋体" w:hAnsi="宋体" w:cs="宋体"/>
                <w:color w:val="000000"/>
                <w:sz w:val="24"/>
                <w:szCs w:val="24"/>
                <w:lang w:val="en-US" w:eastAsia="zh-CN"/>
              </w:rPr>
              <w:t>（4）“</w:t>
            </w:r>
            <w:r>
              <w:rPr>
                <w:rFonts w:hint="eastAsia" w:ascii="宋体" w:hAnsi="宋体" w:eastAsia="宋体" w:cs="宋体"/>
                <w:sz w:val="24"/>
                <w:szCs w:val="24"/>
              </w:rPr>
              <w:t>五、实操微课部分要求</w:t>
            </w:r>
            <w:r>
              <w:rPr>
                <w:rFonts w:hint="eastAsia" w:ascii="宋体" w:hAnsi="宋体" w:eastAsia="宋体" w:cs="宋体"/>
                <w:sz w:val="24"/>
                <w:szCs w:val="24"/>
                <w:lang w:eastAsia="zh-CN"/>
              </w:rPr>
              <w:t>—</w:t>
            </w:r>
            <w:r>
              <w:rPr>
                <w:rFonts w:hint="eastAsia" w:ascii="宋体" w:hAnsi="宋体" w:eastAsia="宋体" w:cs="宋体"/>
                <w:sz w:val="24"/>
                <w:szCs w:val="24"/>
              </w:rPr>
              <w:t>模块一：气缸测量</w:t>
            </w:r>
            <w:r>
              <w:rPr>
                <w:rFonts w:hint="eastAsia" w:ascii="宋体" w:hAnsi="宋体" w:eastAsia="宋体" w:cs="宋体"/>
                <w:sz w:val="24"/>
                <w:szCs w:val="24"/>
                <w:lang w:val="en-US" w:eastAsia="zh-CN"/>
              </w:rPr>
              <w:t>题库</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气缸微视频重点讲解重点和难点。（提供视频2分</w:t>
            </w:r>
            <w:r>
              <w:rPr>
                <w:rFonts w:hint="eastAsia" w:ascii="宋体" w:hAnsi="宋体" w:eastAsia="宋体" w:cs="宋体"/>
                <w:color w:val="000000"/>
                <w:sz w:val="24"/>
                <w:szCs w:val="24"/>
                <w:lang w:eastAsia="zh-CN"/>
              </w:rPr>
              <w:t>）</w:t>
            </w:r>
          </w:p>
          <w:p w14:paraId="6B67A1F1">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（5）“</w:t>
            </w:r>
            <w:r>
              <w:rPr>
                <w:rFonts w:hint="eastAsia" w:ascii="宋体" w:hAnsi="宋体" w:eastAsia="宋体" w:cs="宋体"/>
                <w:sz w:val="24"/>
                <w:szCs w:val="24"/>
              </w:rPr>
              <w:t>五、实操微课部分要求</w:t>
            </w:r>
            <w:r>
              <w:rPr>
                <w:rFonts w:hint="eastAsia" w:ascii="宋体" w:hAnsi="宋体" w:eastAsia="宋体" w:cs="宋体"/>
                <w:sz w:val="24"/>
                <w:szCs w:val="24"/>
                <w:lang w:eastAsia="zh-CN"/>
              </w:rPr>
              <w:t>—</w:t>
            </w:r>
            <w:r>
              <w:rPr>
                <w:rFonts w:hint="eastAsia" w:ascii="宋体" w:hAnsi="宋体" w:eastAsia="宋体" w:cs="宋体"/>
                <w:sz w:val="24"/>
                <w:szCs w:val="24"/>
              </w:rPr>
              <w:t>模块三：发</w:t>
            </w:r>
            <w:r>
              <w:rPr>
                <w:rFonts w:hint="eastAsia" w:ascii="宋体" w:hAnsi="宋体" w:eastAsia="宋体" w:cs="宋体"/>
                <w:sz w:val="24"/>
                <w:szCs w:val="24"/>
                <w:lang w:val="en-US" w:eastAsia="zh-CN"/>
              </w:rPr>
              <w:t>电</w:t>
            </w:r>
            <w:r>
              <w:rPr>
                <w:rFonts w:hint="eastAsia" w:ascii="宋体" w:hAnsi="宋体" w:eastAsia="宋体" w:cs="宋体"/>
                <w:sz w:val="24"/>
                <w:szCs w:val="24"/>
              </w:rPr>
              <w:t>机检测</w:t>
            </w:r>
            <w:r>
              <w:rPr>
                <w:rFonts w:hint="eastAsia" w:ascii="宋体" w:hAnsi="宋体" w:eastAsia="宋体" w:cs="宋体"/>
                <w:sz w:val="24"/>
                <w:szCs w:val="24"/>
                <w:lang w:val="en-US" w:eastAsia="zh-CN"/>
              </w:rPr>
              <w:t>题库</w:t>
            </w:r>
            <w:r>
              <w:rPr>
                <w:rFonts w:hint="eastAsia" w:ascii="宋体" w:hAnsi="宋体" w:cs="宋体"/>
                <w:color w:val="000000"/>
                <w:sz w:val="24"/>
                <w:szCs w:val="24"/>
                <w:lang w:val="en-US" w:eastAsia="zh-CN"/>
              </w:rPr>
              <w:t>”：</w:t>
            </w:r>
            <w:r>
              <w:rPr>
                <w:rFonts w:hint="eastAsia" w:ascii="宋体" w:hAnsi="宋体" w:eastAsia="宋体" w:cs="宋体"/>
                <w:color w:val="000000"/>
                <w:sz w:val="24"/>
                <w:szCs w:val="24"/>
                <w:lang w:val="en-US" w:eastAsia="zh-CN"/>
              </w:rPr>
              <w:t>发电机视频拍摄需要两个机位，需要镜头特写及重要部分重点说明</w:t>
            </w:r>
            <w:r>
              <w:rPr>
                <w:rFonts w:hint="eastAsia" w:ascii="宋体" w:hAnsi="宋体" w:eastAsia="宋体" w:cs="宋体"/>
                <w:color w:val="000000"/>
                <w:sz w:val="24"/>
                <w:szCs w:val="24"/>
                <w:highlight w:val="none"/>
                <w:lang w:val="en-US" w:eastAsia="zh-CN"/>
              </w:rPr>
              <w:t>。（提供视频2分</w:t>
            </w:r>
            <w:r>
              <w:rPr>
                <w:rFonts w:hint="eastAsia" w:ascii="宋体" w:hAnsi="宋体" w:eastAsia="宋体" w:cs="宋体"/>
                <w:color w:val="000000"/>
                <w:sz w:val="24"/>
                <w:szCs w:val="24"/>
                <w:highlight w:val="none"/>
                <w:lang w:eastAsia="zh-CN"/>
              </w:rPr>
              <w:t>）</w:t>
            </w:r>
          </w:p>
        </w:tc>
        <w:tc>
          <w:tcPr>
            <w:tcW w:w="394" w:type="pct"/>
            <w:noWrap w:val="0"/>
            <w:vAlign w:val="center"/>
          </w:tcPr>
          <w:p w14:paraId="630ED251">
            <w:pPr>
              <w:widowControl w:val="0"/>
              <w:bidi w:val="0"/>
              <w:ind w:left="0" w:leftChars="0" w:firstLine="0" w:firstLine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13</w:t>
            </w:r>
          </w:p>
        </w:tc>
      </w:tr>
      <w:tr w14:paraId="3B98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4" w:type="pct"/>
            <w:vMerge w:val="continue"/>
            <w:noWrap w:val="0"/>
            <w:vAlign w:val="center"/>
          </w:tcPr>
          <w:p w14:paraId="343FFAFA">
            <w:pPr>
              <w:widowControl w:val="0"/>
              <w:bidi w:val="0"/>
              <w:jc w:val="center"/>
              <w:rPr>
                <w:rFonts w:hint="eastAsia" w:ascii="宋体" w:hAnsi="宋体" w:eastAsia="宋体" w:cs="宋体"/>
                <w:color w:val="000000"/>
                <w:sz w:val="24"/>
                <w:szCs w:val="24"/>
                <w:lang w:val="en-US" w:eastAsia="zh-CN"/>
              </w:rPr>
            </w:pPr>
          </w:p>
        </w:tc>
        <w:tc>
          <w:tcPr>
            <w:tcW w:w="706" w:type="pct"/>
            <w:noWrap w:val="0"/>
            <w:vAlign w:val="center"/>
          </w:tcPr>
          <w:p w14:paraId="02045B93">
            <w:pPr>
              <w:widowControl w:val="0"/>
              <w:bidi w:val="0"/>
              <w:ind w:left="0" w:leftChars="0" w:firstLine="0" w:firstLine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售后服务方案</w:t>
            </w:r>
          </w:p>
        </w:tc>
        <w:tc>
          <w:tcPr>
            <w:tcW w:w="3393" w:type="pct"/>
            <w:noWrap w:val="0"/>
            <w:vAlign w:val="center"/>
          </w:tcPr>
          <w:p w14:paraId="029C3985">
            <w:pPr>
              <w:pStyle w:val="8"/>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投标人提供的售后服务方案，方案包含但不限于：</w:t>
            </w:r>
          </w:p>
          <w:p w14:paraId="2A4ACE0E">
            <w:pPr>
              <w:pStyle w:val="8"/>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（1）针对学校实训室的培训计划</w:t>
            </w:r>
            <w:r>
              <w:rPr>
                <w:rFonts w:hint="eastAsia" w:ascii="宋体" w:hAnsi="宋体" w:cs="宋体"/>
                <w:kern w:val="2"/>
                <w:sz w:val="24"/>
                <w:szCs w:val="24"/>
                <w:lang w:val="en-US" w:eastAsia="zh-CN" w:bidi="ar-SA"/>
              </w:rPr>
              <w:t>；故障</w:t>
            </w:r>
            <w:r>
              <w:rPr>
                <w:rFonts w:hint="eastAsia" w:ascii="宋体" w:hAnsi="宋体" w:eastAsia="宋体" w:cs="宋体"/>
                <w:kern w:val="2"/>
                <w:sz w:val="24"/>
                <w:szCs w:val="24"/>
                <w:lang w:val="en-US" w:eastAsia="zh-CN" w:bidi="ar-SA"/>
              </w:rPr>
              <w:t>及时响应保障，接到故障通知后到达时间、处理</w:t>
            </w:r>
            <w:r>
              <w:rPr>
                <w:rFonts w:hint="eastAsia" w:ascii="宋体" w:hAnsi="宋体" w:cs="宋体"/>
                <w:kern w:val="2"/>
                <w:sz w:val="24"/>
                <w:szCs w:val="24"/>
                <w:lang w:val="en-US" w:eastAsia="zh-CN" w:bidi="ar-SA"/>
              </w:rPr>
              <w:t>各类</w:t>
            </w:r>
            <w:r>
              <w:rPr>
                <w:rFonts w:hint="eastAsia" w:ascii="宋体" w:hAnsi="宋体" w:eastAsia="宋体" w:cs="宋体"/>
                <w:kern w:val="2"/>
                <w:sz w:val="24"/>
                <w:szCs w:val="24"/>
                <w:lang w:val="en-US" w:eastAsia="zh-CN" w:bidi="ar-SA"/>
              </w:rPr>
              <w:t>故障时间；</w:t>
            </w:r>
          </w:p>
          <w:p w14:paraId="01997053">
            <w:pPr>
              <w:pStyle w:val="8"/>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（2）售后服务专业技术人员技术保障，备品备件的供应，定期回访机制。</w:t>
            </w:r>
          </w:p>
          <w:p w14:paraId="7629FC6A">
            <w:pPr>
              <w:ind w:left="0" w:leftChars="0"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评审标准：</w:t>
            </w:r>
          </w:p>
          <w:p w14:paraId="6CE8DB8C">
            <w:pPr>
              <w:ind w:left="0" w:leftChars="0"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（1）完整性：方案完整，况切合本项目实际情况；</w:t>
            </w:r>
          </w:p>
          <w:p w14:paraId="33B4C8C3">
            <w:pPr>
              <w:ind w:left="0" w:leftChars="0" w:firstLine="0" w:firstLineChars="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（2）合理性：符合项目具体情况，提出方案及实施措施合理、恰当。</w:t>
            </w:r>
          </w:p>
          <w:p w14:paraId="6DAE1CA6">
            <w:pPr>
              <w:pStyle w:val="8"/>
              <w:ind w:left="0" w:leftChars="0" w:firstLine="0" w:firstLineChars="0"/>
              <w:rPr>
                <w:rFonts w:hint="eastAsia" w:ascii="宋体" w:hAnsi="宋体" w:eastAsia="宋体" w:cs="宋体"/>
                <w:i w:val="0"/>
                <w:iCs w:val="0"/>
                <w:caps w:val="0"/>
                <w:color w:val="000000"/>
                <w:spacing w:val="0"/>
                <w:sz w:val="24"/>
                <w:szCs w:val="24"/>
                <w:shd w:val="clear" w:color="auto" w:fill="FFFFFF"/>
                <w:lang w:val="en-US" w:eastAsia="zh-CN"/>
              </w:rPr>
            </w:pPr>
            <w:r>
              <w:rPr>
                <w:rFonts w:hint="eastAsia" w:ascii="宋体" w:hAnsi="宋体" w:eastAsia="宋体" w:cs="宋体"/>
                <w:kern w:val="2"/>
                <w:sz w:val="24"/>
                <w:szCs w:val="24"/>
                <w:lang w:val="en-US" w:eastAsia="zh-CN" w:bidi="ar-SA"/>
              </w:rPr>
              <w:t>对上述2项评审内容进行打分，每项评审内容完全满足2项评审标准的，得1分；仅满足1项的，得0.5分；其他情况不得分。最高得2分。</w:t>
            </w:r>
          </w:p>
        </w:tc>
        <w:tc>
          <w:tcPr>
            <w:tcW w:w="394" w:type="pct"/>
            <w:noWrap w:val="0"/>
            <w:vAlign w:val="center"/>
          </w:tcPr>
          <w:p w14:paraId="52D7F07F">
            <w:pPr>
              <w:widowControl w:val="0"/>
              <w:bidi w:val="0"/>
              <w:ind w:left="0" w:leftChars="0" w:firstLine="0" w:firstLine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w:t>
            </w:r>
          </w:p>
        </w:tc>
      </w:tr>
      <w:tr w14:paraId="06382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4" w:type="pct"/>
            <w:vMerge w:val="continue"/>
            <w:noWrap w:val="0"/>
            <w:vAlign w:val="center"/>
          </w:tcPr>
          <w:p w14:paraId="63764BE6">
            <w:pPr>
              <w:widowControl w:val="0"/>
              <w:bidi w:val="0"/>
              <w:jc w:val="center"/>
              <w:rPr>
                <w:rFonts w:hint="eastAsia" w:ascii="宋体" w:hAnsi="宋体" w:eastAsia="宋体" w:cs="宋体"/>
                <w:color w:val="000000"/>
                <w:sz w:val="24"/>
                <w:szCs w:val="24"/>
                <w:lang w:val="en-US" w:eastAsia="zh-CN"/>
              </w:rPr>
            </w:pPr>
          </w:p>
        </w:tc>
        <w:tc>
          <w:tcPr>
            <w:tcW w:w="706" w:type="pct"/>
            <w:noWrap w:val="0"/>
            <w:vAlign w:val="center"/>
          </w:tcPr>
          <w:p w14:paraId="46399551">
            <w:pPr>
              <w:widowControl w:val="0"/>
              <w:bidi w:val="0"/>
              <w:ind w:left="0" w:leftChars="0" w:firstLine="0" w:firstLine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zh-CN"/>
              </w:rPr>
              <w:t>安装、调试、验收方案</w:t>
            </w:r>
          </w:p>
        </w:tc>
        <w:tc>
          <w:tcPr>
            <w:tcW w:w="3393" w:type="pct"/>
            <w:noWrap w:val="0"/>
            <w:vAlign w:val="center"/>
          </w:tcPr>
          <w:p w14:paraId="0BBC1B98">
            <w:pPr>
              <w:pStyle w:val="8"/>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投标人提供的</w:t>
            </w:r>
            <w:r>
              <w:rPr>
                <w:rFonts w:hint="eastAsia" w:ascii="宋体" w:hAnsi="宋体" w:eastAsia="宋体" w:cs="宋体"/>
                <w:kern w:val="2"/>
                <w:sz w:val="24"/>
                <w:szCs w:val="24"/>
                <w:lang w:val="zh-CN" w:eastAsia="zh-CN" w:bidi="ar-SA"/>
              </w:rPr>
              <w:t>安装、调试及验收方案</w:t>
            </w:r>
            <w:r>
              <w:rPr>
                <w:rFonts w:hint="eastAsia" w:ascii="宋体" w:hAnsi="宋体" w:eastAsia="宋体" w:cs="宋体"/>
                <w:kern w:val="2"/>
                <w:sz w:val="24"/>
                <w:szCs w:val="24"/>
                <w:lang w:val="en-US" w:eastAsia="zh-CN" w:bidi="ar-SA"/>
              </w:rPr>
              <w:t>，方案包含但不限于：</w:t>
            </w:r>
          </w:p>
          <w:p w14:paraId="798C3613">
            <w:pPr>
              <w:pStyle w:val="8"/>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（1）针对学校实训室设备的安装布局图、安装布署方案、调试步骤流程；</w:t>
            </w:r>
          </w:p>
          <w:p w14:paraId="48C1DC0B">
            <w:pPr>
              <w:pStyle w:val="8"/>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（2）建议的验收方法或方案，流程可操作，有明确的验收量化标准。</w:t>
            </w:r>
          </w:p>
          <w:p w14:paraId="10C71E5E">
            <w:pPr>
              <w:pStyle w:val="8"/>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评审标准：</w:t>
            </w:r>
          </w:p>
          <w:p w14:paraId="685EC24F">
            <w:pPr>
              <w:pStyle w:val="8"/>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（1）完整性：方案完整，况切合本项目实际情况；</w:t>
            </w:r>
          </w:p>
          <w:p w14:paraId="7E5553F0">
            <w:pPr>
              <w:pStyle w:val="8"/>
              <w:ind w:left="0" w:leftChars="0" w:firstLine="0" w:firstLineChars="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（2）合理性：符合项目具体情况，提出方案及实施措施合理、恰当。</w:t>
            </w:r>
          </w:p>
          <w:p w14:paraId="361E9B41">
            <w:pPr>
              <w:pStyle w:val="8"/>
              <w:ind w:left="0" w:leftChars="0" w:firstLine="0" w:firstLineChars="0"/>
              <w:rPr>
                <w:rFonts w:hint="eastAsia" w:ascii="宋体" w:hAnsi="宋体" w:eastAsia="宋体" w:cs="宋体"/>
                <w:i w:val="0"/>
                <w:iCs w:val="0"/>
                <w:caps w:val="0"/>
                <w:color w:val="000000"/>
                <w:spacing w:val="0"/>
                <w:sz w:val="24"/>
                <w:szCs w:val="24"/>
                <w:shd w:val="clear" w:color="auto" w:fill="FFFFFF"/>
                <w:lang w:val="en-US" w:eastAsia="zh-CN"/>
              </w:rPr>
            </w:pPr>
            <w:r>
              <w:rPr>
                <w:rFonts w:hint="eastAsia" w:ascii="宋体" w:hAnsi="宋体" w:eastAsia="宋体" w:cs="宋体"/>
                <w:kern w:val="2"/>
                <w:sz w:val="24"/>
                <w:szCs w:val="24"/>
                <w:lang w:val="en-US" w:eastAsia="zh-CN" w:bidi="ar-SA"/>
              </w:rPr>
              <w:t>对上述2项评审内容进行打分，每项评审内容完全满足2项评审标准的，得1分；仅满足1项的，得0.5分；其他情况不得分。最高得2分。</w:t>
            </w:r>
          </w:p>
        </w:tc>
        <w:tc>
          <w:tcPr>
            <w:tcW w:w="394" w:type="pct"/>
            <w:noWrap w:val="0"/>
            <w:vAlign w:val="center"/>
          </w:tcPr>
          <w:p w14:paraId="523E8D80">
            <w:pPr>
              <w:widowControl w:val="0"/>
              <w:bidi w:val="0"/>
              <w:ind w:left="0" w:leftChars="0" w:firstLine="0" w:firstLineChars="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2</w:t>
            </w:r>
          </w:p>
        </w:tc>
      </w:tr>
    </w:tbl>
    <w:p w14:paraId="5A69AEBA">
      <w:pPr>
        <w:outlineLvl w:val="1"/>
        <w:rPr>
          <w:rFonts w:hint="eastAsia" w:ascii="Cambria" w:hAnsi="Cambria" w:eastAsia="宋体" w:cs="Times New Roman"/>
          <w:b/>
          <w:color w:val="000000" w:themeColor="text1"/>
          <w:kern w:val="2"/>
          <w:sz w:val="30"/>
          <w:szCs w:val="30"/>
          <w:lang w:val="en-US" w:eastAsia="zh-CN" w:bidi="ar-SA"/>
          <w14:textFill>
            <w14:solidFill>
              <w14:schemeClr w14:val="tx1"/>
            </w14:solidFill>
          </w14:textFill>
        </w:rPr>
      </w:pPr>
    </w:p>
    <w:p w14:paraId="76276B15">
      <w:pPr>
        <w:rPr>
          <w:rFonts w:hint="eastAsia" w:ascii="Cambria" w:hAnsi="Cambria" w:eastAsia="宋体" w:cs="Times New Roman"/>
          <w:b/>
          <w:color w:val="000000" w:themeColor="text1"/>
          <w:kern w:val="2"/>
          <w:sz w:val="30"/>
          <w:szCs w:val="30"/>
          <w:lang w:val="en-US" w:eastAsia="zh-CN" w:bidi="ar-SA"/>
          <w14:textFill>
            <w14:solidFill>
              <w14:schemeClr w14:val="tx1"/>
            </w14:solidFill>
          </w14:textFill>
        </w:rPr>
      </w:pPr>
      <w:r>
        <w:rPr>
          <w:rFonts w:hint="eastAsia" w:ascii="Cambria" w:hAnsi="Cambria" w:eastAsia="宋体" w:cs="Times New Roman"/>
          <w:b/>
          <w:color w:val="000000" w:themeColor="text1"/>
          <w:kern w:val="2"/>
          <w:sz w:val="30"/>
          <w:szCs w:val="30"/>
          <w:lang w:val="en-US" w:eastAsia="zh-CN" w:bidi="ar-SA"/>
          <w14:textFill>
            <w14:solidFill>
              <w14:schemeClr w14:val="tx1"/>
            </w14:solidFill>
          </w14:textFill>
        </w:rPr>
        <w:br w:type="page"/>
      </w:r>
    </w:p>
    <w:p w14:paraId="046110D5">
      <w:pPr>
        <w:outlineLvl w:val="1"/>
        <w:rPr>
          <w:rFonts w:hint="eastAsia" w:ascii="Cambria" w:hAnsi="Cambria" w:eastAsia="宋体" w:cs="Times New Roman"/>
          <w:b/>
          <w:color w:val="000000" w:themeColor="text1"/>
          <w:kern w:val="2"/>
          <w:sz w:val="30"/>
          <w:szCs w:val="30"/>
          <w:lang w:val="en-US" w:eastAsia="zh-CN" w:bidi="ar-SA"/>
          <w14:textFill>
            <w14:solidFill>
              <w14:schemeClr w14:val="tx1"/>
            </w14:solidFill>
          </w14:textFill>
        </w:rPr>
      </w:pPr>
      <w:r>
        <w:rPr>
          <w:rFonts w:hint="eastAsia" w:ascii="Cambria" w:hAnsi="Cambria" w:eastAsia="宋体" w:cs="Times New Roman"/>
          <w:b/>
          <w:color w:val="000000" w:themeColor="text1"/>
          <w:kern w:val="2"/>
          <w:sz w:val="30"/>
          <w:szCs w:val="30"/>
          <w:lang w:val="en-US" w:eastAsia="zh-CN" w:bidi="ar-SA"/>
          <w14:textFill>
            <w14:solidFill>
              <w14:schemeClr w14:val="tx1"/>
            </w14:solidFill>
          </w14:textFill>
        </w:rPr>
        <w:t>第3包：武汉市东西湖职业技术学校数控专业机房建设项目</w:t>
      </w:r>
    </w:p>
    <w:tbl>
      <w:tblPr>
        <w:tblStyle w:val="21"/>
        <w:tblW w:w="10017" w:type="dxa"/>
        <w:jc w:val="center"/>
        <w:tblLayout w:type="fixed"/>
        <w:tblCellMar>
          <w:top w:w="0" w:type="dxa"/>
          <w:left w:w="108" w:type="dxa"/>
          <w:bottom w:w="0" w:type="dxa"/>
          <w:right w:w="108" w:type="dxa"/>
        </w:tblCellMar>
      </w:tblPr>
      <w:tblGrid>
        <w:gridCol w:w="1350"/>
        <w:gridCol w:w="975"/>
        <w:gridCol w:w="6728"/>
        <w:gridCol w:w="964"/>
      </w:tblGrid>
      <w:tr w14:paraId="135582AF">
        <w:tblPrEx>
          <w:tblCellMar>
            <w:top w:w="0" w:type="dxa"/>
            <w:left w:w="108" w:type="dxa"/>
            <w:bottom w:w="0" w:type="dxa"/>
            <w:right w:w="108" w:type="dxa"/>
          </w:tblCellMar>
        </w:tblPrEx>
        <w:trPr>
          <w:trHeight w:val="1235" w:hRule="atLeast"/>
          <w:jc w:val="center"/>
        </w:trPr>
        <w:tc>
          <w:tcPr>
            <w:tcW w:w="1350" w:type="dxa"/>
            <w:tcBorders>
              <w:top w:val="single" w:color="000000" w:sz="4" w:space="0"/>
              <w:left w:val="single" w:color="auto" w:sz="4" w:space="0"/>
              <w:bottom w:val="single" w:color="auto" w:sz="4" w:space="0"/>
              <w:right w:val="single" w:color="auto" w:sz="4" w:space="0"/>
            </w:tcBorders>
            <w:vAlign w:val="center"/>
          </w:tcPr>
          <w:p w14:paraId="3D14C658">
            <w:pPr>
              <w:keepNext w:val="0"/>
              <w:keepLines w:val="0"/>
              <w:widowControl/>
              <w:suppressLineNumbers w:val="0"/>
              <w:spacing w:before="0" w:beforeAutospacing="0" w:after="0" w:afterAutospacing="0"/>
              <w:ind w:left="0" w:leftChars="0" w:right="0" w:firstLine="0" w:firstLineChars="0"/>
              <w:jc w:val="center"/>
              <w:rPr>
                <w:rFonts w:hint="eastAsia" w:ascii="Arial Unicode MS" w:hAnsi="Arial Unicode MS" w:eastAsia="宋体" w:cs="宋体"/>
                <w:color w:val="000000"/>
                <w:sz w:val="24"/>
                <w:szCs w:val="24"/>
              </w:rPr>
            </w:pPr>
            <w:r>
              <w:rPr>
                <w:rFonts w:hint="eastAsia" w:ascii="Arial Unicode MS" w:hAnsi="Arial Unicode MS" w:eastAsia="宋体" w:cs="宋体"/>
                <w:color w:val="000000"/>
                <w:sz w:val="24"/>
                <w:szCs w:val="24"/>
              </w:rPr>
              <w:t>评审内容</w:t>
            </w:r>
          </w:p>
        </w:tc>
        <w:tc>
          <w:tcPr>
            <w:tcW w:w="7703" w:type="dxa"/>
            <w:gridSpan w:val="2"/>
            <w:tcBorders>
              <w:top w:val="single" w:color="000000" w:sz="4" w:space="0"/>
              <w:left w:val="single" w:color="auto" w:sz="4" w:space="0"/>
              <w:bottom w:val="single" w:color="auto" w:sz="4" w:space="0"/>
              <w:right w:val="single" w:color="000000" w:sz="4" w:space="0"/>
            </w:tcBorders>
            <w:vAlign w:val="center"/>
          </w:tcPr>
          <w:p w14:paraId="2235FBB8">
            <w:pPr>
              <w:keepNext w:val="0"/>
              <w:keepLines w:val="0"/>
              <w:widowControl/>
              <w:suppressLineNumbers w:val="0"/>
              <w:spacing w:before="0" w:beforeAutospacing="0" w:after="0" w:afterAutospacing="0"/>
              <w:ind w:left="0" w:right="0"/>
              <w:jc w:val="center"/>
              <w:rPr>
                <w:rFonts w:hint="eastAsia" w:ascii="Arial Unicode MS" w:hAnsi="Arial Unicode MS" w:eastAsia="宋体" w:cs="宋体"/>
                <w:color w:val="000000"/>
                <w:sz w:val="24"/>
                <w:szCs w:val="24"/>
              </w:rPr>
            </w:pPr>
            <w:r>
              <w:rPr>
                <w:rFonts w:hint="eastAsia" w:ascii="Arial Unicode MS" w:hAnsi="Arial Unicode MS" w:eastAsia="宋体" w:cs="宋体"/>
                <w:color w:val="000000"/>
                <w:sz w:val="24"/>
                <w:szCs w:val="24"/>
              </w:rPr>
              <w:t>评审标准</w:t>
            </w:r>
          </w:p>
        </w:tc>
        <w:tc>
          <w:tcPr>
            <w:tcW w:w="964" w:type="dxa"/>
            <w:tcBorders>
              <w:top w:val="single" w:color="000000" w:sz="4" w:space="0"/>
              <w:left w:val="single" w:color="auto" w:sz="4" w:space="0"/>
              <w:bottom w:val="single" w:color="auto" w:sz="4" w:space="0"/>
              <w:right w:val="single" w:color="000000" w:sz="4" w:space="0"/>
            </w:tcBorders>
            <w:vAlign w:val="center"/>
          </w:tcPr>
          <w:p w14:paraId="585B76EA">
            <w:pPr>
              <w:keepNext w:val="0"/>
              <w:keepLines w:val="0"/>
              <w:widowControl/>
              <w:suppressLineNumbers w:val="0"/>
              <w:spacing w:before="0" w:beforeAutospacing="0" w:after="0" w:afterAutospacing="0"/>
              <w:ind w:left="0" w:leftChars="0" w:right="0" w:firstLine="0" w:firstLineChars="0"/>
              <w:jc w:val="center"/>
              <w:rPr>
                <w:rFonts w:hint="eastAsia" w:ascii="Arial Unicode MS" w:hAnsi="Arial Unicode MS" w:eastAsia="宋体" w:cs="宋体"/>
                <w:color w:val="000000"/>
                <w:sz w:val="24"/>
                <w:szCs w:val="24"/>
                <w:lang w:eastAsia="zh-CN"/>
              </w:rPr>
            </w:pPr>
            <w:r>
              <w:rPr>
                <w:rFonts w:hint="eastAsia" w:ascii="Arial Unicode MS" w:hAnsi="Arial Unicode MS" w:cs="宋体"/>
                <w:color w:val="000000"/>
                <w:sz w:val="24"/>
                <w:szCs w:val="24"/>
                <w:lang w:eastAsia="zh-CN"/>
              </w:rPr>
              <w:t>分值</w:t>
            </w:r>
          </w:p>
        </w:tc>
      </w:tr>
      <w:tr w14:paraId="1B4C1C14">
        <w:tblPrEx>
          <w:tblCellMar>
            <w:top w:w="0" w:type="dxa"/>
            <w:left w:w="108" w:type="dxa"/>
            <w:bottom w:w="0" w:type="dxa"/>
            <w:right w:w="108" w:type="dxa"/>
          </w:tblCellMar>
        </w:tblPrEx>
        <w:trPr>
          <w:trHeight w:val="909" w:hRule="atLeast"/>
          <w:jc w:val="center"/>
        </w:trPr>
        <w:tc>
          <w:tcPr>
            <w:tcW w:w="1350" w:type="dxa"/>
            <w:tcBorders>
              <w:top w:val="single" w:color="auto" w:sz="4" w:space="0"/>
              <w:left w:val="single" w:color="auto" w:sz="4" w:space="0"/>
              <w:bottom w:val="single" w:color="auto" w:sz="4" w:space="0"/>
              <w:right w:val="single" w:color="auto" w:sz="4" w:space="0"/>
            </w:tcBorders>
            <w:noWrap/>
            <w:vAlign w:val="center"/>
          </w:tcPr>
          <w:p w14:paraId="6FD44B5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left"/>
              <w:textAlignment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投标报价（50分）</w:t>
            </w:r>
          </w:p>
        </w:tc>
        <w:tc>
          <w:tcPr>
            <w:tcW w:w="975" w:type="dxa"/>
            <w:tcBorders>
              <w:top w:val="single" w:color="auto" w:sz="4" w:space="0"/>
              <w:left w:val="single" w:color="auto" w:sz="4" w:space="0"/>
              <w:bottom w:val="single" w:color="auto" w:sz="4" w:space="0"/>
              <w:right w:val="single" w:color="auto" w:sz="4" w:space="0"/>
            </w:tcBorders>
            <w:noWrap/>
            <w:vAlign w:val="center"/>
          </w:tcPr>
          <w:p w14:paraId="4A962E11">
            <w:pPr>
              <w:keepNext w:val="0"/>
              <w:keepLines w:val="0"/>
              <w:widowControl/>
              <w:suppressLineNumbers w:val="0"/>
              <w:spacing w:before="0" w:beforeAutospacing="0" w:after="0" w:afterAutospacing="0"/>
              <w:ind w:left="0" w:leftChars="0" w:right="0" w:rightChars="0" w:firstLine="0" w:firstLineChars="0"/>
              <w:jc w:val="center"/>
              <w:rPr>
                <w:rFonts w:hint="eastAsia" w:ascii="宋体" w:hAnsi="宋体" w:cs="宋体"/>
                <w:sz w:val="24"/>
                <w:szCs w:val="24"/>
                <w:lang w:val="en-US" w:eastAsia="zh-CN"/>
              </w:rPr>
            </w:pPr>
            <w:r>
              <w:rPr>
                <w:rFonts w:hint="eastAsia" w:ascii="宋体" w:hAnsi="宋体" w:eastAsia="宋体" w:cs="宋体"/>
                <w:color w:val="000000"/>
                <w:sz w:val="24"/>
                <w:szCs w:val="24"/>
                <w:lang w:val="en-US" w:eastAsia="zh-CN"/>
              </w:rPr>
              <w:t>报价</w:t>
            </w:r>
          </w:p>
        </w:tc>
        <w:tc>
          <w:tcPr>
            <w:tcW w:w="6728" w:type="dxa"/>
            <w:tcBorders>
              <w:top w:val="single" w:color="auto" w:sz="4" w:space="0"/>
              <w:left w:val="single" w:color="auto" w:sz="4" w:space="0"/>
              <w:bottom w:val="single" w:color="auto" w:sz="4" w:space="0"/>
              <w:right w:val="single" w:color="auto" w:sz="4" w:space="0"/>
            </w:tcBorders>
            <w:vAlign w:val="center"/>
          </w:tcPr>
          <w:p w14:paraId="6D428E28">
            <w:pPr>
              <w:pStyle w:val="3"/>
              <w:keepNext/>
              <w:keepLines/>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采用低价优先法计算，即满足招标文件要求且投标价格（落实政府采购政策进行价格调整的，以调整后的价格计算）最低的投标报价为评标基准价，其报价分为满分。其他投标人的报价分按照下列公式计算：报价分=（评标基准价／投标报价）×50%×100（保留两位小数）</w:t>
            </w:r>
          </w:p>
        </w:tc>
        <w:tc>
          <w:tcPr>
            <w:tcW w:w="964" w:type="dxa"/>
            <w:tcBorders>
              <w:top w:val="nil"/>
              <w:left w:val="single" w:color="auto" w:sz="4" w:space="0"/>
              <w:bottom w:val="single" w:color="auto" w:sz="4" w:space="0"/>
              <w:right w:val="single" w:color="000000" w:sz="4" w:space="0"/>
            </w:tcBorders>
            <w:vAlign w:val="center"/>
          </w:tcPr>
          <w:p w14:paraId="1B57FB1F">
            <w:pPr>
              <w:pStyle w:val="3"/>
              <w:keepNext/>
              <w:keepLines/>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cs="宋体"/>
                <w:b w:val="0"/>
                <w:bCs w:val="0"/>
                <w:color w:val="auto"/>
                <w:kern w:val="2"/>
                <w:sz w:val="24"/>
                <w:szCs w:val="24"/>
                <w:lang w:val="en-US" w:eastAsia="zh-CN" w:bidi="ar-SA"/>
              </w:rPr>
            </w:pPr>
            <w:r>
              <w:rPr>
                <w:rFonts w:hint="eastAsia" w:ascii="宋体" w:hAnsi="宋体" w:cs="宋体"/>
                <w:b w:val="0"/>
                <w:bCs/>
                <w:i w:val="0"/>
                <w:iCs w:val="0"/>
                <w:color w:val="000000"/>
                <w:kern w:val="0"/>
                <w:sz w:val="24"/>
                <w:szCs w:val="24"/>
                <w:u w:val="none"/>
                <w:lang w:val="en-US" w:eastAsia="zh-CN" w:bidi="ar"/>
              </w:rPr>
              <w:t>50</w:t>
            </w:r>
          </w:p>
        </w:tc>
      </w:tr>
      <w:tr w14:paraId="7942914A">
        <w:tblPrEx>
          <w:tblCellMar>
            <w:top w:w="0" w:type="dxa"/>
            <w:left w:w="108" w:type="dxa"/>
            <w:bottom w:w="0" w:type="dxa"/>
            <w:right w:w="108" w:type="dxa"/>
          </w:tblCellMar>
        </w:tblPrEx>
        <w:trPr>
          <w:trHeight w:val="909" w:hRule="atLeast"/>
          <w:jc w:val="center"/>
        </w:trPr>
        <w:tc>
          <w:tcPr>
            <w:tcW w:w="1350" w:type="dxa"/>
            <w:vMerge w:val="restart"/>
            <w:tcBorders>
              <w:top w:val="single" w:color="auto" w:sz="4" w:space="0"/>
              <w:left w:val="single" w:color="auto" w:sz="4" w:space="0"/>
              <w:right w:val="single" w:color="auto" w:sz="4" w:space="0"/>
            </w:tcBorders>
            <w:noWrap/>
            <w:vAlign w:val="center"/>
          </w:tcPr>
          <w:p w14:paraId="5219E44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left"/>
              <w:textAlignment w:val="center"/>
              <w:rPr>
                <w:rFonts w:hint="default" w:ascii="宋体" w:hAnsi="宋体" w:eastAsia="宋体" w:cs="宋体"/>
                <w:sz w:val="24"/>
                <w:szCs w:val="24"/>
                <w:lang w:val="en-US" w:eastAsia="zh-CN"/>
              </w:rPr>
            </w:pPr>
            <w:r>
              <w:rPr>
                <w:rFonts w:hint="eastAsia" w:ascii="宋体" w:hAnsi="宋体" w:eastAsia="宋体" w:cs="宋体"/>
                <w:color w:val="auto"/>
                <w:sz w:val="24"/>
                <w:szCs w:val="24"/>
                <w:highlight w:val="none"/>
                <w:lang w:val="en-US" w:eastAsia="zh-CN"/>
              </w:rPr>
              <w:t>商务</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lang w:val="en-US" w:eastAsia="zh-CN"/>
              </w:rPr>
              <w:t>（12分）</w:t>
            </w:r>
          </w:p>
        </w:tc>
        <w:tc>
          <w:tcPr>
            <w:tcW w:w="975" w:type="dxa"/>
            <w:vMerge w:val="restart"/>
            <w:tcBorders>
              <w:top w:val="single" w:color="auto" w:sz="4" w:space="0"/>
              <w:left w:val="nil"/>
              <w:right w:val="single" w:color="auto" w:sz="4" w:space="0"/>
            </w:tcBorders>
            <w:noWrap/>
            <w:vAlign w:val="center"/>
          </w:tcPr>
          <w:p w14:paraId="560F3901">
            <w:pPr>
              <w:keepNext w:val="0"/>
              <w:keepLines w:val="0"/>
              <w:widowControl/>
              <w:suppressLineNumbers w:val="0"/>
              <w:spacing w:before="0" w:beforeAutospacing="0" w:after="0" w:afterAutospacing="0"/>
              <w:ind w:left="0" w:leftChars="0" w:right="0" w:rightChars="0" w:firstLine="0" w:firstLineChars="0"/>
              <w:jc w:val="center"/>
              <w:rPr>
                <w:rFonts w:hint="default" w:ascii="宋体" w:hAnsi="宋体" w:eastAsia="宋体" w:cs="宋体"/>
                <w:sz w:val="24"/>
                <w:szCs w:val="24"/>
                <w:lang w:val="en-US" w:eastAsia="zh-CN"/>
              </w:rPr>
            </w:pPr>
            <w:r>
              <w:rPr>
                <w:rFonts w:hint="eastAsia" w:ascii="宋体" w:hAnsi="宋体" w:cs="宋体"/>
                <w:sz w:val="24"/>
                <w:szCs w:val="24"/>
                <w:lang w:val="en-US" w:eastAsia="zh-CN"/>
              </w:rPr>
              <w:t>制造商实力</w:t>
            </w:r>
          </w:p>
        </w:tc>
        <w:tc>
          <w:tcPr>
            <w:tcW w:w="6728" w:type="dxa"/>
            <w:tcBorders>
              <w:top w:val="single" w:color="auto" w:sz="4" w:space="0"/>
              <w:left w:val="nil"/>
              <w:bottom w:val="single" w:color="auto" w:sz="4" w:space="0"/>
              <w:right w:val="single" w:color="000000" w:sz="4" w:space="0"/>
            </w:tcBorders>
            <w:vAlign w:val="center"/>
          </w:tcPr>
          <w:p w14:paraId="6F7A57BE">
            <w:pPr>
              <w:keepNext w:val="0"/>
              <w:keepLines w:val="0"/>
              <w:pageBreakBefore w:val="0"/>
              <w:widowControl w:val="0"/>
              <w:kinsoku/>
              <w:wordWrap/>
              <w:overflowPunct/>
              <w:topLinePunct w:val="0"/>
              <w:autoSpaceDE w:val="0"/>
              <w:autoSpaceDN w:val="0"/>
              <w:bidi w:val="0"/>
              <w:adjustRightInd w:val="0"/>
              <w:snapToGrid w:val="0"/>
              <w:spacing w:line="264" w:lineRule="auto"/>
              <w:ind w:firstLine="0" w:firstLineChars="0"/>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rPr>
              <w:t>（一）评分内容：</w:t>
            </w:r>
          </w:p>
          <w:p w14:paraId="3911B07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jc w:val="left"/>
              <w:textAlignment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为保障正常的教学和考试应用，所投核心产品（实训计算机）制造商获得国家信息安全测评信息安全服务资质证书得3分，未提供认证或者提供过期证书不得分。</w:t>
            </w:r>
          </w:p>
          <w:p w14:paraId="28682AD4">
            <w:pPr>
              <w:keepNext w:val="0"/>
              <w:keepLines w:val="0"/>
              <w:pageBreakBefore w:val="0"/>
              <w:wordWrap/>
              <w:overflowPunct/>
              <w:topLinePunct w:val="0"/>
              <w:autoSpaceDE w:val="0"/>
              <w:autoSpaceDN w:val="0"/>
              <w:bidi w:val="0"/>
              <w:adjustRightInd w:val="0"/>
              <w:snapToGrid w:val="0"/>
              <w:spacing w:line="264" w:lineRule="auto"/>
              <w:ind w:left="0" w:leftChars="0"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（二）评审依据：</w:t>
            </w:r>
          </w:p>
          <w:p w14:paraId="06AA9413">
            <w:pPr>
              <w:keepNext w:val="0"/>
              <w:keepLines w:val="0"/>
              <w:pageBreakBefore w:val="0"/>
              <w:widowControl w:val="0"/>
              <w:kinsoku/>
              <w:wordWrap/>
              <w:overflowPunct/>
              <w:topLinePunct w:val="0"/>
              <w:autoSpaceDE w:val="0"/>
              <w:autoSpaceDN w:val="0"/>
              <w:bidi w:val="0"/>
              <w:adjustRightInd w:val="0"/>
              <w:snapToGrid w:val="0"/>
              <w:spacing w:line="264" w:lineRule="auto"/>
              <w:ind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1.投标文件中</w:t>
            </w:r>
            <w:r>
              <w:rPr>
                <w:rFonts w:hint="eastAsia" w:ascii="宋体" w:hAnsi="宋体" w:eastAsia="宋体" w:cs="宋体"/>
                <w:b w:val="0"/>
                <w:bCs w:val="0"/>
                <w:color w:val="auto"/>
                <w:sz w:val="24"/>
                <w:szCs w:val="24"/>
                <w:lang w:val="en-US" w:eastAsia="zh-CN"/>
              </w:rPr>
              <w:t>应</w:t>
            </w:r>
            <w:r>
              <w:rPr>
                <w:rFonts w:hint="eastAsia" w:ascii="宋体" w:hAnsi="宋体" w:eastAsia="宋体" w:cs="宋体"/>
                <w:b w:val="0"/>
                <w:bCs w:val="0"/>
                <w:color w:val="auto"/>
                <w:sz w:val="24"/>
                <w:szCs w:val="24"/>
              </w:rPr>
              <w:t>同时提供证书复印件及“</w:t>
            </w:r>
            <w:r>
              <w:rPr>
                <w:rFonts w:hint="eastAsia" w:ascii="宋体" w:hAnsi="宋体" w:eastAsia="宋体" w:cs="宋体"/>
                <w:b w:val="0"/>
                <w:bCs w:val="0"/>
                <w:color w:val="auto"/>
                <w:sz w:val="24"/>
                <w:szCs w:val="24"/>
                <w:lang w:val="en-US" w:eastAsia="zh-CN"/>
              </w:rPr>
              <w:t>中国信息安全测评中心</w:t>
            </w:r>
            <w:r>
              <w:rPr>
                <w:rFonts w:hint="eastAsia" w:ascii="宋体" w:hAnsi="宋体" w:eastAsia="宋体" w:cs="宋体"/>
                <w:b w:val="0"/>
                <w:bCs w:val="0"/>
                <w:color w:val="auto"/>
                <w:sz w:val="24"/>
                <w:szCs w:val="24"/>
              </w:rPr>
              <w:t>”官网证书信息查询截图</w:t>
            </w:r>
            <w:r>
              <w:rPr>
                <w:rFonts w:hint="eastAsia" w:ascii="宋体" w:hAnsi="宋体" w:eastAsia="宋体" w:cs="宋体"/>
                <w:b w:val="0"/>
                <w:bCs w:val="0"/>
                <w:color w:val="auto"/>
                <w:sz w:val="24"/>
                <w:szCs w:val="24"/>
                <w:lang w:val="en-US" w:eastAsia="zh-CN"/>
              </w:rPr>
              <w:t>并加盖</w:t>
            </w:r>
            <w:r>
              <w:rPr>
                <w:rFonts w:hint="eastAsia" w:ascii="宋体" w:hAnsi="宋体" w:cs="宋体"/>
                <w:b w:val="0"/>
                <w:bCs w:val="0"/>
                <w:color w:val="auto"/>
                <w:sz w:val="24"/>
                <w:szCs w:val="24"/>
                <w:lang w:val="en-US" w:eastAsia="zh-CN"/>
              </w:rPr>
              <w:t>投标人</w:t>
            </w:r>
            <w:r>
              <w:rPr>
                <w:rFonts w:hint="eastAsia" w:ascii="宋体" w:hAnsi="宋体" w:eastAsia="宋体" w:cs="宋体"/>
                <w:b w:val="0"/>
                <w:bCs w:val="0"/>
                <w:color w:val="auto"/>
                <w:sz w:val="24"/>
                <w:szCs w:val="24"/>
                <w:lang w:val="en-US" w:eastAsia="zh-CN"/>
              </w:rPr>
              <w:t>公章</w:t>
            </w:r>
            <w:r>
              <w:rPr>
                <w:rFonts w:hint="eastAsia" w:ascii="宋体" w:hAnsi="宋体" w:eastAsia="宋体" w:cs="宋体"/>
                <w:b w:val="0"/>
                <w:bCs w:val="0"/>
                <w:color w:val="auto"/>
                <w:sz w:val="24"/>
                <w:szCs w:val="24"/>
              </w:rPr>
              <w:t>（平台网址：</w:t>
            </w:r>
            <w:r>
              <w:rPr>
                <w:rFonts w:hint="eastAsia" w:ascii="宋体" w:hAnsi="宋体" w:eastAsia="宋体" w:cs="宋体"/>
                <w:b w:val="0"/>
                <w:bCs w:val="0"/>
                <w:color w:val="auto"/>
                <w:sz w:val="24"/>
                <w:szCs w:val="24"/>
                <w:highlight w:val="none"/>
                <w:lang w:eastAsia="zh-CN"/>
              </w:rPr>
              <w:t>https://www.itsec.gov.cn/fwzz/</w:t>
            </w:r>
            <w:r>
              <w:rPr>
                <w:rFonts w:hint="eastAsia" w:ascii="宋体" w:hAnsi="宋体" w:eastAsia="宋体" w:cs="宋体"/>
                <w:b w:val="0"/>
                <w:bCs w:val="0"/>
                <w:color w:val="auto"/>
                <w:sz w:val="24"/>
                <w:szCs w:val="24"/>
              </w:rPr>
              <w:t>；</w:t>
            </w:r>
          </w:p>
          <w:p w14:paraId="6D1B722A">
            <w:pPr>
              <w:pStyle w:val="3"/>
              <w:keepNext/>
              <w:keepLines/>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宋体"/>
                <w:b w:val="0"/>
                <w:bCs w:val="0"/>
                <w:sz w:val="24"/>
                <w:szCs w:val="24"/>
              </w:rPr>
            </w:pPr>
            <w:r>
              <w:rPr>
                <w:rFonts w:hint="eastAsia" w:ascii="宋体" w:hAnsi="宋体" w:eastAsia="宋体" w:cs="宋体"/>
                <w:b w:val="0"/>
                <w:bCs w:val="0"/>
                <w:color w:val="auto"/>
                <w:kern w:val="2"/>
                <w:sz w:val="24"/>
                <w:szCs w:val="24"/>
                <w:lang w:val="en-US" w:eastAsia="zh-CN" w:bidi="ar-SA"/>
              </w:rPr>
              <w:t>2.未按要求提供证明材料的，该对应评分项不得分。</w:t>
            </w:r>
          </w:p>
        </w:tc>
        <w:tc>
          <w:tcPr>
            <w:tcW w:w="964" w:type="dxa"/>
            <w:tcBorders>
              <w:top w:val="nil"/>
              <w:left w:val="nil"/>
              <w:bottom w:val="single" w:color="auto" w:sz="4" w:space="0"/>
              <w:right w:val="single" w:color="000000" w:sz="4" w:space="0"/>
            </w:tcBorders>
            <w:vAlign w:val="center"/>
          </w:tcPr>
          <w:p w14:paraId="61094EBD">
            <w:pPr>
              <w:pStyle w:val="3"/>
              <w:keepNext/>
              <w:keepLines/>
              <w:pageBreakBefore w:val="0"/>
              <w:widowControl/>
              <w:kinsoku/>
              <w:wordWrap/>
              <w:overflowPunct/>
              <w:topLinePunct w:val="0"/>
              <w:autoSpaceDE/>
              <w:autoSpaceDN/>
              <w:bidi w:val="0"/>
              <w:adjustRightInd/>
              <w:snapToGrid/>
              <w:spacing w:line="240" w:lineRule="auto"/>
              <w:ind w:left="0" w:leftChars="0" w:firstLine="0" w:firstLineChars="0"/>
              <w:jc w:val="center"/>
              <w:textAlignment w:val="auto"/>
              <w:rPr>
                <w:rFonts w:hint="default" w:ascii="宋体" w:hAnsi="宋体" w:eastAsia="宋体" w:cs="宋体"/>
                <w:b w:val="0"/>
                <w:bCs w:val="0"/>
                <w:color w:val="auto"/>
                <w:kern w:val="2"/>
                <w:sz w:val="24"/>
                <w:szCs w:val="24"/>
                <w:lang w:val="en-US" w:eastAsia="zh-CN" w:bidi="ar-SA"/>
              </w:rPr>
            </w:pPr>
            <w:r>
              <w:rPr>
                <w:rFonts w:hint="eastAsia" w:ascii="宋体" w:hAnsi="宋体" w:cs="宋体"/>
                <w:b w:val="0"/>
                <w:bCs w:val="0"/>
                <w:color w:val="auto"/>
                <w:kern w:val="2"/>
                <w:sz w:val="24"/>
                <w:szCs w:val="24"/>
                <w:lang w:val="en-US" w:eastAsia="zh-CN" w:bidi="ar-SA"/>
              </w:rPr>
              <w:t>2</w:t>
            </w:r>
          </w:p>
        </w:tc>
      </w:tr>
      <w:tr w14:paraId="61CE1E56">
        <w:tblPrEx>
          <w:tblCellMar>
            <w:top w:w="0" w:type="dxa"/>
            <w:left w:w="108" w:type="dxa"/>
            <w:bottom w:w="0" w:type="dxa"/>
            <w:right w:w="108" w:type="dxa"/>
          </w:tblCellMar>
        </w:tblPrEx>
        <w:trPr>
          <w:trHeight w:val="928" w:hRule="atLeast"/>
          <w:jc w:val="center"/>
        </w:trPr>
        <w:tc>
          <w:tcPr>
            <w:tcW w:w="1350" w:type="dxa"/>
            <w:vMerge w:val="continue"/>
            <w:tcBorders>
              <w:left w:val="single" w:color="auto" w:sz="4" w:space="0"/>
              <w:right w:val="single" w:color="auto" w:sz="4" w:space="0"/>
            </w:tcBorders>
            <w:noWrap/>
            <w:vAlign w:val="center"/>
          </w:tcPr>
          <w:p w14:paraId="5342BC67">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sz w:val="24"/>
                <w:szCs w:val="24"/>
              </w:rPr>
            </w:pPr>
          </w:p>
        </w:tc>
        <w:tc>
          <w:tcPr>
            <w:tcW w:w="975" w:type="dxa"/>
            <w:vMerge w:val="continue"/>
            <w:tcBorders>
              <w:left w:val="nil"/>
              <w:right w:val="single" w:color="auto" w:sz="4" w:space="0"/>
            </w:tcBorders>
            <w:noWrap/>
            <w:vAlign w:val="center"/>
          </w:tcPr>
          <w:p w14:paraId="659502C1">
            <w:pPr>
              <w:keepNext w:val="0"/>
              <w:keepLines w:val="0"/>
              <w:widowControl/>
              <w:suppressLineNumbers w:val="0"/>
              <w:spacing w:before="0" w:beforeAutospacing="0" w:after="0" w:afterAutospacing="0"/>
              <w:ind w:left="0" w:leftChars="0" w:right="0" w:rightChars="0" w:firstLine="0" w:firstLineChars="0"/>
              <w:jc w:val="center"/>
              <w:rPr>
                <w:rFonts w:hint="default" w:ascii="宋体" w:hAnsi="宋体" w:eastAsia="宋体" w:cs="宋体"/>
                <w:sz w:val="24"/>
                <w:szCs w:val="24"/>
                <w:lang w:val="en-US" w:eastAsia="zh-CN"/>
              </w:rPr>
            </w:pPr>
          </w:p>
        </w:tc>
        <w:tc>
          <w:tcPr>
            <w:tcW w:w="6728" w:type="dxa"/>
            <w:tcBorders>
              <w:top w:val="nil"/>
              <w:left w:val="nil"/>
              <w:bottom w:val="single" w:color="auto" w:sz="4" w:space="0"/>
              <w:right w:val="single" w:color="000000" w:sz="4" w:space="0"/>
            </w:tcBorders>
            <w:shd w:val="clear" w:color="auto" w:fill="auto"/>
            <w:vAlign w:val="center"/>
          </w:tcPr>
          <w:p w14:paraId="47FA0A60">
            <w:pPr>
              <w:keepNext w:val="0"/>
              <w:keepLines w:val="0"/>
              <w:pageBreakBefore w:val="0"/>
              <w:widowControl w:val="0"/>
              <w:kinsoku/>
              <w:wordWrap/>
              <w:overflowPunct/>
              <w:topLinePunct w:val="0"/>
              <w:autoSpaceDE w:val="0"/>
              <w:autoSpaceDN w:val="0"/>
              <w:bidi w:val="0"/>
              <w:adjustRightInd w:val="0"/>
              <w:snapToGrid w:val="0"/>
              <w:spacing w:line="264" w:lineRule="auto"/>
              <w:ind w:firstLine="0"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rPr>
              <w:t>（一）评分内容：</w:t>
            </w:r>
          </w:p>
          <w:p w14:paraId="4884E6D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jc w:val="left"/>
              <w:textAlignment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为保障正常的教学和考试应用，投标人所投核心产品（实训计算机）制造厂商服务体系获得国家信息安全服务资质证，获得安全工程类一级及以上认证得2分，二级及以上得1分，</w:t>
            </w:r>
            <w:r>
              <w:rPr>
                <w:rFonts w:hint="eastAsia" w:ascii="宋体" w:hAnsi="宋体" w:cs="宋体"/>
                <w:b w:val="0"/>
                <w:bCs w:val="0"/>
                <w:color w:val="auto"/>
                <w:sz w:val="24"/>
                <w:szCs w:val="24"/>
                <w:highlight w:val="none"/>
                <w:lang w:val="en-US" w:eastAsia="zh-CN"/>
              </w:rPr>
              <w:t>三级</w:t>
            </w:r>
            <w:r>
              <w:rPr>
                <w:rFonts w:hint="eastAsia" w:ascii="宋体" w:hAnsi="宋体" w:eastAsia="宋体" w:cs="宋体"/>
                <w:b w:val="0"/>
                <w:bCs w:val="0"/>
                <w:color w:val="auto"/>
                <w:sz w:val="24"/>
                <w:szCs w:val="24"/>
                <w:highlight w:val="none"/>
                <w:lang w:val="en-US" w:eastAsia="zh-CN"/>
              </w:rPr>
              <w:t>级及以上得0.5分，最高得2分，不提供不得分。</w:t>
            </w:r>
          </w:p>
          <w:p w14:paraId="1F9916EF">
            <w:pPr>
              <w:keepNext w:val="0"/>
              <w:keepLines w:val="0"/>
              <w:pageBreakBefore w:val="0"/>
              <w:wordWrap/>
              <w:overflowPunct/>
              <w:topLinePunct w:val="0"/>
              <w:autoSpaceDE w:val="0"/>
              <w:autoSpaceDN w:val="0"/>
              <w:bidi w:val="0"/>
              <w:adjustRightInd w:val="0"/>
              <w:snapToGrid w:val="0"/>
              <w:spacing w:line="264" w:lineRule="auto"/>
              <w:ind w:left="0" w:leftChars="0"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（二）评审依据：</w:t>
            </w:r>
          </w:p>
          <w:p w14:paraId="6DEADCCF">
            <w:pPr>
              <w:keepNext w:val="0"/>
              <w:keepLines w:val="0"/>
              <w:pageBreakBefore w:val="0"/>
              <w:widowControl w:val="0"/>
              <w:kinsoku/>
              <w:wordWrap/>
              <w:overflowPunct/>
              <w:topLinePunct w:val="0"/>
              <w:autoSpaceDE w:val="0"/>
              <w:autoSpaceDN w:val="0"/>
              <w:bidi w:val="0"/>
              <w:adjustRightInd w:val="0"/>
              <w:snapToGrid w:val="0"/>
              <w:spacing w:line="264" w:lineRule="auto"/>
              <w:ind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1.投标文件中</w:t>
            </w:r>
            <w:r>
              <w:rPr>
                <w:rFonts w:hint="eastAsia" w:ascii="宋体" w:hAnsi="宋体" w:eastAsia="宋体" w:cs="宋体"/>
                <w:b w:val="0"/>
                <w:bCs w:val="0"/>
                <w:color w:val="auto"/>
                <w:sz w:val="24"/>
                <w:szCs w:val="24"/>
                <w:lang w:val="en-US" w:eastAsia="zh-CN"/>
              </w:rPr>
              <w:t>应</w:t>
            </w:r>
            <w:r>
              <w:rPr>
                <w:rFonts w:hint="eastAsia" w:ascii="宋体" w:hAnsi="宋体" w:eastAsia="宋体" w:cs="宋体"/>
                <w:b w:val="0"/>
                <w:bCs w:val="0"/>
                <w:color w:val="auto"/>
                <w:sz w:val="24"/>
                <w:szCs w:val="24"/>
              </w:rPr>
              <w:t>同时提供证书复印件及“</w:t>
            </w:r>
            <w:r>
              <w:rPr>
                <w:rFonts w:hint="eastAsia" w:ascii="宋体" w:hAnsi="宋体" w:eastAsia="宋体" w:cs="宋体"/>
                <w:b w:val="0"/>
                <w:bCs w:val="0"/>
                <w:color w:val="auto"/>
                <w:sz w:val="24"/>
                <w:szCs w:val="24"/>
                <w:lang w:val="en-US" w:eastAsia="zh-CN"/>
              </w:rPr>
              <w:t>中国信息安全测评中心</w:t>
            </w:r>
            <w:r>
              <w:rPr>
                <w:rFonts w:hint="eastAsia" w:ascii="宋体" w:hAnsi="宋体" w:eastAsia="宋体" w:cs="宋体"/>
                <w:b w:val="0"/>
                <w:bCs w:val="0"/>
                <w:color w:val="auto"/>
                <w:sz w:val="24"/>
                <w:szCs w:val="24"/>
              </w:rPr>
              <w:t>”官网证书信息查询截图</w:t>
            </w:r>
            <w:r>
              <w:rPr>
                <w:rFonts w:hint="eastAsia" w:ascii="宋体" w:hAnsi="宋体" w:eastAsia="宋体" w:cs="宋体"/>
                <w:b w:val="0"/>
                <w:bCs w:val="0"/>
                <w:color w:val="auto"/>
                <w:sz w:val="24"/>
                <w:szCs w:val="24"/>
                <w:lang w:val="en-US" w:eastAsia="zh-CN"/>
              </w:rPr>
              <w:t>并加盖</w:t>
            </w:r>
            <w:r>
              <w:rPr>
                <w:rFonts w:hint="eastAsia" w:ascii="宋体" w:hAnsi="宋体" w:cs="宋体"/>
                <w:b w:val="0"/>
                <w:bCs w:val="0"/>
                <w:color w:val="auto"/>
                <w:sz w:val="24"/>
                <w:szCs w:val="24"/>
                <w:lang w:val="en-US" w:eastAsia="zh-CN"/>
              </w:rPr>
              <w:t>投标人</w:t>
            </w:r>
            <w:r>
              <w:rPr>
                <w:rFonts w:hint="eastAsia" w:ascii="宋体" w:hAnsi="宋体" w:eastAsia="宋体" w:cs="宋体"/>
                <w:b w:val="0"/>
                <w:bCs w:val="0"/>
                <w:color w:val="auto"/>
                <w:sz w:val="24"/>
                <w:szCs w:val="24"/>
                <w:lang w:val="en-US" w:eastAsia="zh-CN"/>
              </w:rPr>
              <w:t>公章</w:t>
            </w:r>
            <w:r>
              <w:rPr>
                <w:rFonts w:hint="eastAsia" w:ascii="宋体" w:hAnsi="宋体" w:eastAsia="宋体" w:cs="宋体"/>
                <w:b w:val="0"/>
                <w:bCs w:val="0"/>
                <w:color w:val="auto"/>
                <w:sz w:val="24"/>
                <w:szCs w:val="24"/>
              </w:rPr>
              <w:t>（平台网址：</w:t>
            </w:r>
            <w:r>
              <w:rPr>
                <w:rFonts w:hint="eastAsia" w:ascii="宋体" w:hAnsi="宋体" w:eastAsia="宋体" w:cs="宋体"/>
                <w:b w:val="0"/>
                <w:bCs w:val="0"/>
                <w:color w:val="auto"/>
                <w:sz w:val="24"/>
                <w:szCs w:val="24"/>
                <w:highlight w:val="none"/>
                <w:lang w:eastAsia="zh-CN"/>
              </w:rPr>
              <w:t>https://www.itsec.gov.cn/fwzz/</w:t>
            </w:r>
            <w:r>
              <w:rPr>
                <w:rFonts w:hint="eastAsia" w:ascii="宋体" w:hAnsi="宋体" w:eastAsia="宋体" w:cs="宋体"/>
                <w:b w:val="0"/>
                <w:bCs w:val="0"/>
                <w:color w:val="auto"/>
                <w:sz w:val="24"/>
                <w:szCs w:val="24"/>
              </w:rPr>
              <w:t>；</w:t>
            </w:r>
          </w:p>
          <w:p w14:paraId="76217C38">
            <w:pPr>
              <w:keepNext w:val="0"/>
              <w:keepLines w:val="0"/>
              <w:pageBreakBefore w:val="0"/>
              <w:widowControl w:val="0"/>
              <w:kinsoku/>
              <w:wordWrap/>
              <w:overflowPunct/>
              <w:topLinePunct w:val="0"/>
              <w:autoSpaceDE w:val="0"/>
              <w:autoSpaceDN w:val="0"/>
              <w:bidi w:val="0"/>
              <w:adjustRightInd w:val="0"/>
              <w:snapToGrid w:val="0"/>
              <w:spacing w:line="264" w:lineRule="auto"/>
              <w:ind w:firstLine="0" w:firstLineChars="0"/>
              <w:rPr>
                <w:rFonts w:hint="eastAsia"/>
                <w:b w:val="0"/>
                <w:bCs w:val="0"/>
                <w:sz w:val="24"/>
                <w:szCs w:val="24"/>
                <w:lang w:val="en-US" w:eastAsia="zh-CN"/>
              </w:rPr>
            </w:pPr>
            <w:r>
              <w:rPr>
                <w:rFonts w:hint="eastAsia" w:ascii="宋体" w:hAnsi="宋体" w:eastAsia="宋体" w:cs="宋体"/>
                <w:b w:val="0"/>
                <w:bCs w:val="0"/>
                <w:color w:val="auto"/>
                <w:sz w:val="24"/>
                <w:szCs w:val="24"/>
              </w:rPr>
              <w:t>2.未按要求提供证明材料的，该对应评分项不得分。</w:t>
            </w:r>
          </w:p>
        </w:tc>
        <w:tc>
          <w:tcPr>
            <w:tcW w:w="964" w:type="dxa"/>
            <w:tcBorders>
              <w:top w:val="nil"/>
              <w:left w:val="nil"/>
              <w:bottom w:val="single" w:color="auto" w:sz="4" w:space="0"/>
              <w:right w:val="single" w:color="000000" w:sz="4" w:space="0"/>
            </w:tcBorders>
            <w:shd w:val="clear" w:color="auto" w:fill="auto"/>
            <w:vAlign w:val="center"/>
          </w:tcPr>
          <w:p w14:paraId="4509C37B">
            <w:pPr>
              <w:keepNext w:val="0"/>
              <w:keepLines w:val="0"/>
              <w:pageBreakBefore w:val="0"/>
              <w:widowControl w:val="0"/>
              <w:kinsoku/>
              <w:wordWrap/>
              <w:overflowPunct/>
              <w:topLinePunct w:val="0"/>
              <w:autoSpaceDE w:val="0"/>
              <w:autoSpaceDN w:val="0"/>
              <w:bidi w:val="0"/>
              <w:adjustRightInd w:val="0"/>
              <w:snapToGrid w:val="0"/>
              <w:spacing w:line="264" w:lineRule="auto"/>
              <w:ind w:firstLine="0" w:firstLineChars="0"/>
              <w:jc w:val="center"/>
              <w:rPr>
                <w:rFonts w:hint="eastAsia" w:ascii="宋体" w:hAnsi="宋体" w:eastAsia="宋体" w:cs="宋体"/>
                <w:b/>
                <w:bCs/>
                <w:color w:val="auto"/>
                <w:sz w:val="24"/>
                <w:szCs w:val="24"/>
                <w:lang w:val="en-US" w:eastAsia="zh-CN"/>
              </w:rPr>
            </w:pPr>
            <w:r>
              <w:rPr>
                <w:rFonts w:hint="eastAsia" w:ascii="宋体" w:hAnsi="宋体" w:cs="宋体"/>
                <w:b w:val="0"/>
                <w:bCs w:val="0"/>
                <w:color w:val="auto"/>
                <w:sz w:val="24"/>
                <w:szCs w:val="24"/>
                <w:lang w:val="en-US" w:eastAsia="zh-CN"/>
              </w:rPr>
              <w:t>2</w:t>
            </w:r>
          </w:p>
        </w:tc>
      </w:tr>
      <w:tr w14:paraId="7291A4F6">
        <w:tblPrEx>
          <w:tblCellMar>
            <w:top w:w="0" w:type="dxa"/>
            <w:left w:w="108" w:type="dxa"/>
            <w:bottom w:w="0" w:type="dxa"/>
            <w:right w:w="108" w:type="dxa"/>
          </w:tblCellMar>
        </w:tblPrEx>
        <w:trPr>
          <w:trHeight w:val="418" w:hRule="atLeast"/>
          <w:jc w:val="center"/>
        </w:trPr>
        <w:tc>
          <w:tcPr>
            <w:tcW w:w="1350" w:type="dxa"/>
            <w:vMerge w:val="continue"/>
            <w:tcBorders>
              <w:left w:val="single" w:color="auto" w:sz="4" w:space="0"/>
              <w:right w:val="single" w:color="auto" w:sz="4" w:space="0"/>
            </w:tcBorders>
            <w:noWrap/>
            <w:vAlign w:val="center"/>
          </w:tcPr>
          <w:p w14:paraId="3AC86795">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sz w:val="24"/>
                <w:szCs w:val="24"/>
              </w:rPr>
            </w:pPr>
          </w:p>
        </w:tc>
        <w:tc>
          <w:tcPr>
            <w:tcW w:w="975" w:type="dxa"/>
            <w:vMerge w:val="continue"/>
            <w:tcBorders>
              <w:left w:val="nil"/>
              <w:right w:val="single" w:color="auto" w:sz="4" w:space="0"/>
            </w:tcBorders>
            <w:noWrap/>
            <w:vAlign w:val="center"/>
          </w:tcPr>
          <w:p w14:paraId="007BC4DE">
            <w:pPr>
              <w:keepNext w:val="0"/>
              <w:keepLines w:val="0"/>
              <w:widowControl/>
              <w:suppressLineNumbers w:val="0"/>
              <w:spacing w:before="0" w:beforeAutospacing="0" w:after="0" w:afterAutospacing="0"/>
              <w:ind w:left="0" w:leftChars="0" w:right="0" w:rightChars="0" w:firstLine="0" w:firstLineChars="0"/>
              <w:jc w:val="center"/>
              <w:rPr>
                <w:rFonts w:hint="default" w:ascii="宋体" w:hAnsi="宋体" w:eastAsia="宋体" w:cs="宋体"/>
                <w:sz w:val="24"/>
                <w:szCs w:val="24"/>
                <w:lang w:val="en-US" w:eastAsia="zh-CN"/>
              </w:rPr>
            </w:pPr>
          </w:p>
        </w:tc>
        <w:tc>
          <w:tcPr>
            <w:tcW w:w="6728" w:type="dxa"/>
            <w:tcBorders>
              <w:top w:val="nil"/>
              <w:left w:val="nil"/>
              <w:bottom w:val="single" w:color="auto" w:sz="4" w:space="0"/>
              <w:right w:val="single" w:color="000000" w:sz="4" w:space="0"/>
            </w:tcBorders>
            <w:shd w:val="clear" w:color="auto" w:fill="auto"/>
            <w:vAlign w:val="center"/>
          </w:tcPr>
          <w:p w14:paraId="55D463F6">
            <w:pPr>
              <w:keepNext w:val="0"/>
              <w:keepLines w:val="0"/>
              <w:pageBreakBefore w:val="0"/>
              <w:widowControl w:val="0"/>
              <w:kinsoku/>
              <w:wordWrap/>
              <w:overflowPunct/>
              <w:topLinePunct w:val="0"/>
              <w:autoSpaceDE w:val="0"/>
              <w:autoSpaceDN w:val="0"/>
              <w:bidi w:val="0"/>
              <w:adjustRightInd w:val="0"/>
              <w:snapToGrid w:val="0"/>
              <w:spacing w:line="264" w:lineRule="auto"/>
              <w:ind w:firstLine="0" w:firstLineChars="0"/>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rPr>
              <w:t>（一）评分内容：</w:t>
            </w:r>
          </w:p>
          <w:p w14:paraId="0573162E">
            <w:pPr>
              <w:keepNext w:val="0"/>
              <w:keepLines w:val="0"/>
              <w:pageBreakBefore w:val="0"/>
              <w:wordWrap/>
              <w:overflowPunct/>
              <w:topLinePunct w:val="0"/>
              <w:autoSpaceDE w:val="0"/>
              <w:autoSpaceDN w:val="0"/>
              <w:bidi w:val="0"/>
              <w:adjustRightInd w:val="0"/>
              <w:snapToGrid w:val="0"/>
              <w:spacing w:line="264" w:lineRule="auto"/>
              <w:ind w:left="0" w:leftChars="0"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lang w:val="en-US" w:eastAsia="zh-CN"/>
              </w:rPr>
              <w:t xml:space="preserve">为保障产品出厂质量，所投核心产品（实训计算机）制造商获得工业和信息化部《工业产品绿色设计示范企业》的，得2分。                 </w:t>
            </w:r>
            <w:r>
              <w:rPr>
                <w:rFonts w:hint="eastAsia" w:ascii="宋体" w:hAnsi="宋体" w:eastAsia="宋体" w:cs="宋体"/>
                <w:b w:val="0"/>
                <w:bCs w:val="0"/>
                <w:color w:val="auto"/>
                <w:sz w:val="24"/>
                <w:szCs w:val="24"/>
              </w:rPr>
              <w:t>（二）评审依据：</w:t>
            </w:r>
          </w:p>
          <w:p w14:paraId="225F7329">
            <w:pPr>
              <w:keepNext w:val="0"/>
              <w:keepLines w:val="0"/>
              <w:pageBreakBefore w:val="0"/>
              <w:widowControl w:val="0"/>
              <w:kinsoku/>
              <w:wordWrap/>
              <w:overflowPunct/>
              <w:topLinePunct w:val="0"/>
              <w:autoSpaceDE w:val="0"/>
              <w:autoSpaceDN w:val="0"/>
              <w:bidi w:val="0"/>
              <w:adjustRightInd w:val="0"/>
              <w:snapToGrid w:val="0"/>
              <w:spacing w:line="264" w:lineRule="auto"/>
              <w:ind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1.投标文件中</w:t>
            </w:r>
            <w:r>
              <w:rPr>
                <w:rFonts w:hint="eastAsia" w:ascii="宋体" w:hAnsi="宋体" w:eastAsia="宋体" w:cs="宋体"/>
                <w:b w:val="0"/>
                <w:bCs w:val="0"/>
                <w:color w:val="auto"/>
                <w:sz w:val="24"/>
                <w:szCs w:val="24"/>
                <w:lang w:val="en-US" w:eastAsia="zh-CN"/>
              </w:rPr>
              <w:t>应</w:t>
            </w:r>
            <w:r>
              <w:rPr>
                <w:rFonts w:hint="eastAsia" w:ascii="宋体" w:hAnsi="宋体" w:eastAsia="宋体" w:cs="宋体"/>
                <w:b w:val="0"/>
                <w:bCs w:val="0"/>
                <w:color w:val="auto"/>
                <w:sz w:val="24"/>
                <w:szCs w:val="24"/>
              </w:rPr>
              <w:t>同时提供证书复印件及“</w:t>
            </w:r>
            <w:r>
              <w:rPr>
                <w:rFonts w:hint="eastAsia" w:ascii="宋体" w:hAnsi="宋体" w:eastAsia="宋体" w:cs="宋体"/>
                <w:b w:val="0"/>
                <w:bCs w:val="0"/>
                <w:color w:val="auto"/>
                <w:sz w:val="24"/>
                <w:szCs w:val="24"/>
                <w:lang w:val="en-US" w:eastAsia="zh-CN"/>
              </w:rPr>
              <w:t>中华人民共和国工业和信息化部</w:t>
            </w:r>
            <w:r>
              <w:rPr>
                <w:rFonts w:hint="eastAsia" w:ascii="宋体" w:hAnsi="宋体" w:eastAsia="宋体" w:cs="宋体"/>
                <w:b w:val="0"/>
                <w:bCs w:val="0"/>
                <w:color w:val="auto"/>
                <w:sz w:val="24"/>
                <w:szCs w:val="24"/>
              </w:rPr>
              <w:t>”官网信息查询截图</w:t>
            </w:r>
            <w:r>
              <w:rPr>
                <w:rFonts w:hint="eastAsia" w:ascii="宋体" w:hAnsi="宋体" w:eastAsia="宋体" w:cs="宋体"/>
                <w:b w:val="0"/>
                <w:bCs w:val="0"/>
                <w:color w:val="auto"/>
                <w:sz w:val="24"/>
                <w:szCs w:val="24"/>
                <w:lang w:val="en-US" w:eastAsia="zh-CN"/>
              </w:rPr>
              <w:t>并加盖</w:t>
            </w:r>
            <w:r>
              <w:rPr>
                <w:rFonts w:hint="eastAsia" w:ascii="宋体" w:hAnsi="宋体" w:cs="宋体"/>
                <w:b w:val="0"/>
                <w:bCs w:val="0"/>
                <w:color w:val="auto"/>
                <w:sz w:val="24"/>
                <w:szCs w:val="24"/>
                <w:lang w:val="en-US" w:eastAsia="zh-CN"/>
              </w:rPr>
              <w:t>投标人</w:t>
            </w:r>
            <w:r>
              <w:rPr>
                <w:rFonts w:hint="eastAsia" w:ascii="宋体" w:hAnsi="宋体" w:eastAsia="宋体" w:cs="宋体"/>
                <w:b w:val="0"/>
                <w:bCs w:val="0"/>
                <w:color w:val="auto"/>
                <w:sz w:val="24"/>
                <w:szCs w:val="24"/>
                <w:lang w:val="en-US" w:eastAsia="zh-CN"/>
              </w:rPr>
              <w:t>公章</w:t>
            </w:r>
            <w:r>
              <w:rPr>
                <w:rFonts w:hint="eastAsia" w:ascii="宋体" w:hAnsi="宋体" w:eastAsia="宋体" w:cs="宋体"/>
                <w:b w:val="0"/>
                <w:bCs w:val="0"/>
                <w:color w:val="auto"/>
                <w:sz w:val="24"/>
                <w:szCs w:val="24"/>
              </w:rPr>
              <w:t>（平台网址：</w:t>
            </w:r>
            <w:r>
              <w:rPr>
                <w:rFonts w:hint="eastAsia" w:ascii="宋体" w:hAnsi="宋体" w:eastAsia="宋体" w:cs="宋体"/>
                <w:b w:val="0"/>
                <w:bCs w:val="0"/>
                <w:color w:val="auto"/>
                <w:sz w:val="24"/>
                <w:szCs w:val="24"/>
                <w:highlight w:val="none"/>
                <w:lang w:eastAsia="zh-CN"/>
              </w:rPr>
              <w:t>https://www.miit.gov.cn/</w:t>
            </w:r>
            <w:r>
              <w:rPr>
                <w:rFonts w:hint="eastAsia" w:ascii="宋体" w:hAnsi="宋体" w:eastAsia="宋体" w:cs="宋体"/>
                <w:b w:val="0"/>
                <w:bCs w:val="0"/>
                <w:color w:val="auto"/>
                <w:sz w:val="24"/>
                <w:szCs w:val="24"/>
              </w:rPr>
              <w:t>；</w:t>
            </w:r>
          </w:p>
          <w:p w14:paraId="595ADA2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left"/>
              <w:textAlignment w:val="center"/>
              <w:rPr>
                <w:rFonts w:hint="eastAsia"/>
                <w:b w:val="0"/>
                <w:bCs w:val="0"/>
                <w:color w:val="auto"/>
                <w:sz w:val="24"/>
                <w:szCs w:val="24"/>
                <w:lang w:val="en-US" w:eastAsia="zh-CN"/>
              </w:rPr>
            </w:pPr>
            <w:r>
              <w:rPr>
                <w:rFonts w:hint="eastAsia" w:ascii="宋体" w:hAnsi="宋体" w:eastAsia="宋体" w:cs="宋体"/>
                <w:b w:val="0"/>
                <w:bCs w:val="0"/>
                <w:color w:val="auto"/>
                <w:sz w:val="24"/>
                <w:szCs w:val="24"/>
              </w:rPr>
              <w:t>2.未按要求提供证明材料的，该对应评分项不得分。</w:t>
            </w:r>
          </w:p>
        </w:tc>
        <w:tc>
          <w:tcPr>
            <w:tcW w:w="964" w:type="dxa"/>
            <w:tcBorders>
              <w:top w:val="nil"/>
              <w:left w:val="nil"/>
              <w:bottom w:val="single" w:color="auto" w:sz="4" w:space="0"/>
              <w:right w:val="single" w:color="000000" w:sz="4" w:space="0"/>
            </w:tcBorders>
            <w:shd w:val="clear" w:color="auto" w:fill="auto"/>
            <w:vAlign w:val="center"/>
          </w:tcPr>
          <w:p w14:paraId="2C058C2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center"/>
              <w:textAlignment w:val="center"/>
              <w:rPr>
                <w:rFonts w:hint="eastAsia" w:ascii="宋体" w:hAnsi="宋体" w:eastAsia="宋体" w:cs="宋体"/>
                <w:b/>
                <w:bCs/>
                <w:color w:val="auto"/>
                <w:sz w:val="24"/>
                <w:szCs w:val="24"/>
                <w:lang w:val="en-US" w:eastAsia="zh-CN"/>
              </w:rPr>
            </w:pPr>
            <w:r>
              <w:rPr>
                <w:rFonts w:hint="eastAsia" w:ascii="宋体" w:hAnsi="宋体" w:cs="宋体"/>
                <w:b w:val="0"/>
                <w:bCs w:val="0"/>
                <w:color w:val="auto"/>
                <w:sz w:val="24"/>
                <w:szCs w:val="24"/>
                <w:lang w:val="en-US" w:eastAsia="zh-CN"/>
              </w:rPr>
              <w:t>2</w:t>
            </w:r>
          </w:p>
        </w:tc>
      </w:tr>
      <w:tr w14:paraId="1B982BFE">
        <w:tblPrEx>
          <w:tblCellMar>
            <w:top w:w="0" w:type="dxa"/>
            <w:left w:w="108" w:type="dxa"/>
            <w:bottom w:w="0" w:type="dxa"/>
            <w:right w:w="108" w:type="dxa"/>
          </w:tblCellMar>
        </w:tblPrEx>
        <w:trPr>
          <w:trHeight w:val="3567" w:hRule="atLeast"/>
          <w:jc w:val="center"/>
        </w:trPr>
        <w:tc>
          <w:tcPr>
            <w:tcW w:w="1350" w:type="dxa"/>
            <w:vMerge w:val="continue"/>
            <w:tcBorders>
              <w:left w:val="single" w:color="auto" w:sz="4" w:space="0"/>
              <w:right w:val="single" w:color="auto" w:sz="4" w:space="0"/>
            </w:tcBorders>
            <w:noWrap/>
            <w:vAlign w:val="center"/>
          </w:tcPr>
          <w:p w14:paraId="63110F7D">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sz w:val="24"/>
                <w:szCs w:val="24"/>
              </w:rPr>
            </w:pPr>
          </w:p>
        </w:tc>
        <w:tc>
          <w:tcPr>
            <w:tcW w:w="975" w:type="dxa"/>
            <w:vMerge w:val="continue"/>
            <w:tcBorders>
              <w:left w:val="nil"/>
              <w:right w:val="single" w:color="auto" w:sz="4" w:space="0"/>
            </w:tcBorders>
            <w:noWrap/>
            <w:vAlign w:val="center"/>
          </w:tcPr>
          <w:p w14:paraId="715ECC20">
            <w:pPr>
              <w:keepNext w:val="0"/>
              <w:keepLines w:val="0"/>
              <w:widowControl/>
              <w:suppressLineNumbers w:val="0"/>
              <w:spacing w:before="0" w:beforeAutospacing="0" w:after="0" w:afterAutospacing="0"/>
              <w:ind w:left="0" w:leftChars="0" w:right="0" w:firstLine="0" w:firstLineChars="0"/>
              <w:jc w:val="center"/>
              <w:rPr>
                <w:rFonts w:hint="default" w:ascii="宋体" w:hAnsi="宋体" w:eastAsia="宋体" w:cs="宋体"/>
                <w:sz w:val="24"/>
                <w:szCs w:val="24"/>
                <w:lang w:val="en-US" w:eastAsia="zh-CN"/>
              </w:rPr>
            </w:pPr>
          </w:p>
        </w:tc>
        <w:tc>
          <w:tcPr>
            <w:tcW w:w="6728" w:type="dxa"/>
            <w:tcBorders>
              <w:top w:val="nil"/>
              <w:left w:val="nil"/>
              <w:bottom w:val="single" w:color="auto" w:sz="4" w:space="0"/>
              <w:right w:val="single" w:color="000000" w:sz="4" w:space="0"/>
            </w:tcBorders>
            <w:vAlign w:val="center"/>
          </w:tcPr>
          <w:p w14:paraId="357ACA25">
            <w:pPr>
              <w:keepNext w:val="0"/>
              <w:keepLines w:val="0"/>
              <w:pageBreakBefore w:val="0"/>
              <w:widowControl w:val="0"/>
              <w:numPr>
                <w:ilvl w:val="0"/>
                <w:numId w:val="5"/>
              </w:numPr>
              <w:kinsoku/>
              <w:wordWrap/>
              <w:overflowPunct/>
              <w:topLinePunct w:val="0"/>
              <w:autoSpaceDE w:val="0"/>
              <w:autoSpaceDN w:val="0"/>
              <w:bidi w:val="0"/>
              <w:adjustRightInd w:val="0"/>
              <w:snapToGrid w:val="0"/>
              <w:spacing w:line="240" w:lineRule="auto"/>
              <w:ind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评分内容：</w:t>
            </w:r>
          </w:p>
          <w:p w14:paraId="3266884B">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rPr>
                <w:rFonts w:hint="eastAsia" w:ascii="宋体" w:hAnsi="宋体" w:eastAsia="宋体" w:cs="宋体"/>
                <w:b w:val="0"/>
                <w:bCs w:val="0"/>
                <w:color w:val="auto"/>
                <w:sz w:val="24"/>
                <w:szCs w:val="24"/>
                <w:highlight w:val="none"/>
              </w:rPr>
            </w:pPr>
            <w:r>
              <w:rPr>
                <w:rFonts w:hint="eastAsia"/>
                <w:b w:val="0"/>
                <w:bCs w:val="0"/>
                <w:color w:val="auto"/>
                <w:sz w:val="24"/>
                <w:szCs w:val="24"/>
                <w:highlight w:val="none"/>
              </w:rPr>
              <w:t>所投</w:t>
            </w:r>
            <w:r>
              <w:rPr>
                <w:rFonts w:hint="eastAsia"/>
                <w:b w:val="0"/>
                <w:bCs w:val="0"/>
                <w:color w:val="auto"/>
                <w:sz w:val="24"/>
                <w:szCs w:val="24"/>
                <w:highlight w:val="none"/>
                <w:lang w:val="en-US" w:eastAsia="zh-CN"/>
              </w:rPr>
              <w:t>智慧黑板</w:t>
            </w:r>
            <w:r>
              <w:rPr>
                <w:rFonts w:hint="eastAsia"/>
                <w:b w:val="0"/>
                <w:bCs w:val="0"/>
                <w:color w:val="auto"/>
                <w:sz w:val="24"/>
                <w:szCs w:val="24"/>
                <w:lang w:val="en-US" w:eastAsia="zh-CN"/>
              </w:rPr>
              <w:t>产品</w:t>
            </w:r>
            <w:r>
              <w:rPr>
                <w:rFonts w:hint="eastAsia"/>
                <w:b w:val="0"/>
                <w:bCs w:val="0"/>
                <w:color w:val="auto"/>
                <w:sz w:val="24"/>
                <w:szCs w:val="24"/>
                <w:lang w:eastAsia="zh-Hans"/>
              </w:rPr>
              <w:t>制造商</w:t>
            </w:r>
            <w:r>
              <w:rPr>
                <w:rFonts w:hint="eastAsia" w:ascii="宋体" w:hAnsi="宋体" w:eastAsia="宋体" w:cs="宋体"/>
                <w:b w:val="0"/>
                <w:bCs w:val="0"/>
                <w:color w:val="auto"/>
                <w:sz w:val="24"/>
                <w:szCs w:val="24"/>
                <w:highlight w:val="none"/>
              </w:rPr>
              <w:t>具有由国家认证认可监督管理委员会认证机构颁发有效的认证证书：</w:t>
            </w:r>
          </w:p>
          <w:p w14:paraId="4CA683C9">
            <w:pPr>
              <w:pStyle w:val="9"/>
              <w:keepNext w:val="0"/>
              <w:keepLines w:val="0"/>
              <w:pageBreakBefore w:val="0"/>
              <w:widowControl/>
              <w:numPr>
                <w:ilvl w:val="0"/>
                <w:numId w:val="0"/>
              </w:numPr>
              <w:kinsoku/>
              <w:wordWrap/>
              <w:overflowPunct/>
              <w:topLinePunct w:val="0"/>
              <w:autoSpaceDE/>
              <w:autoSpaceDN/>
              <w:bidi w:val="0"/>
              <w:adjustRightInd/>
              <w:snapToGrid/>
              <w:spacing w:after="0" w:line="240" w:lineRule="auto"/>
              <w:textAlignment w:val="auto"/>
              <w:rPr>
                <w:rFonts w:hint="eastAsia"/>
                <w:b w:val="0"/>
                <w:bCs w:val="0"/>
                <w:color w:val="auto"/>
                <w:sz w:val="24"/>
                <w:szCs w:val="24"/>
                <w:highlight w:val="none"/>
              </w:rPr>
            </w:pPr>
            <w:r>
              <w:rPr>
                <w:rFonts w:hint="eastAsia"/>
                <w:b w:val="0"/>
                <w:bCs w:val="0"/>
                <w:color w:val="auto"/>
                <w:sz w:val="24"/>
                <w:szCs w:val="24"/>
                <w:highlight w:val="none"/>
                <w:lang w:val="en-US" w:eastAsia="zh-CN"/>
              </w:rPr>
              <w:t>1、</w:t>
            </w:r>
            <w:r>
              <w:rPr>
                <w:rFonts w:hint="eastAsia"/>
                <w:b w:val="0"/>
                <w:bCs w:val="0"/>
                <w:color w:val="auto"/>
                <w:sz w:val="24"/>
                <w:szCs w:val="24"/>
                <w:highlight w:val="none"/>
              </w:rPr>
              <w:t>低碳体系</w:t>
            </w:r>
          </w:p>
          <w:p w14:paraId="7E928C6C">
            <w:pPr>
              <w:pStyle w:val="9"/>
              <w:keepNext w:val="0"/>
              <w:keepLines w:val="0"/>
              <w:pageBreakBefore w:val="0"/>
              <w:widowControl/>
              <w:numPr>
                <w:ilvl w:val="0"/>
                <w:numId w:val="0"/>
              </w:numPr>
              <w:kinsoku/>
              <w:wordWrap/>
              <w:overflowPunct/>
              <w:topLinePunct w:val="0"/>
              <w:autoSpaceDE/>
              <w:autoSpaceDN/>
              <w:bidi w:val="0"/>
              <w:adjustRightInd/>
              <w:snapToGrid/>
              <w:spacing w:after="0" w:line="240" w:lineRule="auto"/>
              <w:textAlignment w:val="auto"/>
              <w:rPr>
                <w:rFonts w:hint="eastAsia"/>
                <w:b w:val="0"/>
                <w:bCs w:val="0"/>
                <w:color w:val="auto"/>
                <w:sz w:val="24"/>
                <w:szCs w:val="24"/>
                <w:highlight w:val="none"/>
                <w:lang w:eastAsia="zh-Hans"/>
              </w:rPr>
            </w:pPr>
            <w:r>
              <w:rPr>
                <w:rFonts w:hint="eastAsia"/>
                <w:b w:val="0"/>
                <w:bCs w:val="0"/>
                <w:color w:val="auto"/>
                <w:sz w:val="24"/>
                <w:szCs w:val="24"/>
                <w:highlight w:val="none"/>
                <w:lang w:val="en-US" w:eastAsia="zh-CN"/>
              </w:rPr>
              <w:t>2、</w:t>
            </w:r>
            <w:r>
              <w:rPr>
                <w:rFonts w:hint="eastAsia"/>
                <w:b w:val="0"/>
                <w:bCs w:val="0"/>
                <w:color w:val="auto"/>
                <w:sz w:val="24"/>
                <w:szCs w:val="24"/>
                <w:highlight w:val="none"/>
              </w:rPr>
              <w:t>IECQ有害物质体系</w:t>
            </w:r>
          </w:p>
          <w:p w14:paraId="362859EA">
            <w:pPr>
              <w:pStyle w:val="9"/>
              <w:keepNext w:val="0"/>
              <w:keepLines w:val="0"/>
              <w:pageBreakBefore w:val="0"/>
              <w:widowControl/>
              <w:numPr>
                <w:ilvl w:val="0"/>
                <w:numId w:val="0"/>
              </w:numPr>
              <w:kinsoku/>
              <w:wordWrap/>
              <w:overflowPunct/>
              <w:topLinePunct w:val="0"/>
              <w:autoSpaceDE/>
              <w:autoSpaceDN/>
              <w:bidi w:val="0"/>
              <w:adjustRightInd/>
              <w:snapToGrid/>
              <w:spacing w:after="0" w:line="240" w:lineRule="auto"/>
              <w:textAlignment w:val="auto"/>
              <w:rPr>
                <w:rFonts w:hint="eastAsia" w:eastAsia="宋体"/>
                <w:b w:val="0"/>
                <w:bCs w:val="0"/>
                <w:color w:val="auto"/>
                <w:sz w:val="24"/>
                <w:szCs w:val="24"/>
                <w:lang w:eastAsia="zh-CN"/>
              </w:rPr>
            </w:pPr>
            <w:r>
              <w:rPr>
                <w:rFonts w:hint="eastAsia"/>
                <w:b w:val="0"/>
                <w:bCs w:val="0"/>
                <w:color w:val="auto"/>
                <w:sz w:val="24"/>
                <w:szCs w:val="24"/>
                <w:highlight w:val="none"/>
                <w:lang w:val="en-US" w:eastAsia="zh-CN"/>
              </w:rPr>
              <w:t>按要求每提供1项认证</w:t>
            </w:r>
            <w:r>
              <w:rPr>
                <w:rFonts w:hint="eastAsia"/>
                <w:b w:val="0"/>
                <w:bCs w:val="0"/>
                <w:color w:val="auto"/>
                <w:sz w:val="24"/>
                <w:szCs w:val="24"/>
                <w:highlight w:val="none"/>
              </w:rPr>
              <w:t>得</w:t>
            </w:r>
            <w:r>
              <w:rPr>
                <w:rFonts w:hint="eastAsia"/>
                <w:b w:val="0"/>
                <w:bCs w:val="0"/>
                <w:color w:val="auto"/>
                <w:sz w:val="24"/>
                <w:szCs w:val="24"/>
                <w:highlight w:val="none"/>
                <w:lang w:val="en-US" w:eastAsia="zh-CN"/>
              </w:rPr>
              <w:t>1</w:t>
            </w:r>
            <w:r>
              <w:rPr>
                <w:rFonts w:hint="eastAsia"/>
                <w:b w:val="0"/>
                <w:bCs w:val="0"/>
                <w:color w:val="auto"/>
                <w:sz w:val="24"/>
                <w:szCs w:val="24"/>
                <w:highlight w:val="none"/>
              </w:rPr>
              <w:t>分，</w:t>
            </w:r>
            <w:r>
              <w:rPr>
                <w:rFonts w:hint="eastAsia"/>
                <w:b w:val="0"/>
                <w:bCs w:val="0"/>
                <w:color w:val="auto"/>
                <w:sz w:val="24"/>
                <w:szCs w:val="24"/>
                <w:highlight w:val="none"/>
                <w:lang w:val="en-US" w:eastAsia="zh-CN"/>
              </w:rPr>
              <w:t>最高得2分。</w:t>
            </w:r>
          </w:p>
          <w:p w14:paraId="3697E021">
            <w:pPr>
              <w:keepNext w:val="0"/>
              <w:keepLines w:val="0"/>
              <w:pageBreakBefore w:val="0"/>
              <w:wordWrap/>
              <w:overflowPunct/>
              <w:topLinePunct w:val="0"/>
              <w:autoSpaceDE w:val="0"/>
              <w:autoSpaceDN w:val="0"/>
              <w:bidi w:val="0"/>
              <w:adjustRightInd w:val="0"/>
              <w:snapToGrid w:val="0"/>
              <w:spacing w:line="240" w:lineRule="auto"/>
              <w:ind w:left="0" w:leftChars="0"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（二）评审依据：</w:t>
            </w:r>
          </w:p>
          <w:p w14:paraId="0FDA681E">
            <w:pPr>
              <w:keepNext w:val="0"/>
              <w:keepLines w:val="0"/>
              <w:pageBreakBefore w:val="0"/>
              <w:wordWrap/>
              <w:overflowPunct/>
              <w:topLinePunct w:val="0"/>
              <w:autoSpaceDE w:val="0"/>
              <w:autoSpaceDN w:val="0"/>
              <w:bidi w:val="0"/>
              <w:adjustRightInd w:val="0"/>
              <w:snapToGrid w:val="0"/>
              <w:spacing w:line="240" w:lineRule="auto"/>
              <w:ind w:left="0" w:leftChars="0"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1.投标文件中同时提供证书复印件及“全国认证认可信息公共服务平台”官网证书信息查询截图（平台网址：http://cx.cnca.cn/CertECloud/index/index/page）；</w:t>
            </w:r>
          </w:p>
          <w:p w14:paraId="035433C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left"/>
              <w:textAlignment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rPr>
              <w:t>2.未按要求提供证明材料的，该对应评分项不得分。</w:t>
            </w:r>
          </w:p>
        </w:tc>
        <w:tc>
          <w:tcPr>
            <w:tcW w:w="964" w:type="dxa"/>
            <w:tcBorders>
              <w:top w:val="nil"/>
              <w:left w:val="nil"/>
              <w:bottom w:val="single" w:color="auto" w:sz="4" w:space="0"/>
              <w:right w:val="single" w:color="000000" w:sz="4" w:space="0"/>
            </w:tcBorders>
            <w:vAlign w:val="center"/>
          </w:tcPr>
          <w:p w14:paraId="1F4D147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jc w:val="center"/>
              <w:textAlignment w:val="center"/>
              <w:rPr>
                <w:rFonts w:hint="eastAsia" w:ascii="宋体" w:hAnsi="宋体" w:eastAsia="宋体" w:cs="宋体"/>
                <w:b/>
                <w:bCs/>
                <w:color w:val="auto"/>
                <w:sz w:val="24"/>
                <w:szCs w:val="24"/>
                <w:lang w:val="en-US" w:eastAsia="zh-CN"/>
              </w:rPr>
            </w:pPr>
            <w:r>
              <w:rPr>
                <w:rFonts w:hint="eastAsia" w:ascii="宋体" w:hAnsi="宋体" w:cs="宋体"/>
                <w:b w:val="0"/>
                <w:bCs w:val="0"/>
                <w:color w:val="auto"/>
                <w:sz w:val="24"/>
                <w:szCs w:val="24"/>
                <w:lang w:val="en-US" w:eastAsia="zh-CN"/>
              </w:rPr>
              <w:t>2</w:t>
            </w:r>
          </w:p>
        </w:tc>
      </w:tr>
      <w:tr w14:paraId="0DB7E13D">
        <w:tblPrEx>
          <w:tblCellMar>
            <w:top w:w="0" w:type="dxa"/>
            <w:left w:w="108" w:type="dxa"/>
            <w:bottom w:w="0" w:type="dxa"/>
            <w:right w:w="108" w:type="dxa"/>
          </w:tblCellMar>
        </w:tblPrEx>
        <w:trPr>
          <w:trHeight w:val="3373" w:hRule="atLeast"/>
          <w:jc w:val="center"/>
        </w:trPr>
        <w:tc>
          <w:tcPr>
            <w:tcW w:w="1350" w:type="dxa"/>
            <w:vMerge w:val="continue"/>
            <w:tcBorders>
              <w:left w:val="single" w:color="auto" w:sz="4" w:space="0"/>
              <w:right w:val="single" w:color="auto" w:sz="4" w:space="0"/>
            </w:tcBorders>
            <w:noWrap/>
            <w:vAlign w:val="center"/>
          </w:tcPr>
          <w:p w14:paraId="0827502E">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sz w:val="24"/>
                <w:szCs w:val="24"/>
              </w:rPr>
            </w:pPr>
          </w:p>
        </w:tc>
        <w:tc>
          <w:tcPr>
            <w:tcW w:w="975" w:type="dxa"/>
            <w:vMerge w:val="continue"/>
            <w:tcBorders>
              <w:left w:val="nil"/>
              <w:right w:val="single" w:color="auto" w:sz="4" w:space="0"/>
            </w:tcBorders>
            <w:noWrap/>
            <w:vAlign w:val="center"/>
          </w:tcPr>
          <w:p w14:paraId="2187DEF5">
            <w:pPr>
              <w:keepNext w:val="0"/>
              <w:keepLines w:val="0"/>
              <w:widowControl/>
              <w:suppressLineNumbers w:val="0"/>
              <w:spacing w:before="0" w:beforeAutospacing="0" w:after="0" w:afterAutospacing="0"/>
              <w:ind w:left="0" w:leftChars="0" w:right="0" w:firstLine="0" w:firstLineChars="0"/>
              <w:jc w:val="center"/>
              <w:rPr>
                <w:rFonts w:hint="default" w:ascii="宋体" w:hAnsi="宋体" w:eastAsia="宋体" w:cs="宋体"/>
                <w:sz w:val="24"/>
                <w:szCs w:val="24"/>
                <w:lang w:val="en-US" w:eastAsia="zh-CN"/>
              </w:rPr>
            </w:pPr>
          </w:p>
        </w:tc>
        <w:tc>
          <w:tcPr>
            <w:tcW w:w="6728" w:type="dxa"/>
            <w:tcBorders>
              <w:top w:val="nil"/>
              <w:left w:val="nil"/>
              <w:bottom w:val="single" w:color="auto" w:sz="4" w:space="0"/>
              <w:right w:val="single" w:color="000000" w:sz="4" w:space="0"/>
            </w:tcBorders>
            <w:vAlign w:val="center"/>
          </w:tcPr>
          <w:p w14:paraId="3239D21D">
            <w:pPr>
              <w:keepNext w:val="0"/>
              <w:keepLines w:val="0"/>
              <w:pageBreakBefore w:val="0"/>
              <w:widowControl w:val="0"/>
              <w:numPr>
                <w:ilvl w:val="0"/>
                <w:numId w:val="6"/>
              </w:numPr>
              <w:kinsoku/>
              <w:wordWrap/>
              <w:overflowPunct/>
              <w:topLinePunct w:val="0"/>
              <w:autoSpaceDE w:val="0"/>
              <w:autoSpaceDN w:val="0"/>
              <w:bidi w:val="0"/>
              <w:adjustRightInd w:val="0"/>
              <w:snapToGrid w:val="0"/>
              <w:spacing w:line="264" w:lineRule="auto"/>
              <w:ind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评分内容：</w:t>
            </w:r>
          </w:p>
          <w:p w14:paraId="3FC2C406">
            <w:pPr>
              <w:keepNext w:val="0"/>
              <w:keepLines w:val="0"/>
              <w:pageBreakBefore w:val="0"/>
              <w:wordWrap/>
              <w:overflowPunct/>
              <w:topLinePunct w:val="0"/>
              <w:autoSpaceDE w:val="0"/>
              <w:autoSpaceDN w:val="0"/>
              <w:bidi w:val="0"/>
              <w:adjustRightInd w:val="0"/>
              <w:snapToGrid w:val="0"/>
              <w:spacing w:line="264" w:lineRule="auto"/>
              <w:ind w:left="0" w:leftChars="0" w:firstLine="0"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为确保</w:t>
            </w:r>
            <w:r>
              <w:rPr>
                <w:rFonts w:hint="eastAsia" w:ascii="宋体" w:hAnsi="宋体" w:cs="宋体"/>
                <w:b w:val="0"/>
                <w:bCs w:val="0"/>
                <w:color w:val="auto"/>
                <w:sz w:val="24"/>
                <w:szCs w:val="24"/>
                <w:highlight w:val="none"/>
                <w:lang w:val="en-US" w:eastAsia="zh-CN"/>
              </w:rPr>
              <w:t>师生</w:t>
            </w:r>
            <w:r>
              <w:rPr>
                <w:rFonts w:hint="eastAsia" w:ascii="宋体" w:hAnsi="宋体" w:eastAsia="宋体" w:cs="宋体"/>
                <w:b w:val="0"/>
                <w:bCs w:val="0"/>
                <w:color w:val="auto"/>
                <w:sz w:val="24"/>
                <w:szCs w:val="24"/>
                <w:highlight w:val="none"/>
                <w:lang w:val="en-US" w:eastAsia="zh-CN"/>
              </w:rPr>
              <w:t>教学数据</w:t>
            </w:r>
            <w:r>
              <w:rPr>
                <w:rFonts w:hint="eastAsia" w:ascii="宋体" w:hAnsi="宋体" w:cs="宋体"/>
                <w:b w:val="0"/>
                <w:bCs w:val="0"/>
                <w:color w:val="auto"/>
                <w:sz w:val="24"/>
                <w:szCs w:val="24"/>
                <w:highlight w:val="none"/>
                <w:lang w:val="en-US" w:eastAsia="zh-CN"/>
              </w:rPr>
              <w:t>隐私</w:t>
            </w:r>
            <w:r>
              <w:rPr>
                <w:rFonts w:hint="eastAsia" w:ascii="宋体" w:hAnsi="宋体" w:eastAsia="宋体" w:cs="宋体"/>
                <w:b w:val="0"/>
                <w:bCs w:val="0"/>
                <w:color w:val="auto"/>
                <w:sz w:val="24"/>
                <w:szCs w:val="24"/>
                <w:highlight w:val="none"/>
                <w:lang w:val="en-US" w:eastAsia="zh-CN"/>
              </w:rPr>
              <w:t>安全管理，要求所投</w:t>
            </w:r>
            <w:r>
              <w:rPr>
                <w:rFonts w:hint="eastAsia" w:ascii="宋体" w:hAnsi="宋体" w:cs="宋体"/>
                <w:b w:val="0"/>
                <w:bCs w:val="0"/>
                <w:color w:val="auto"/>
                <w:sz w:val="24"/>
                <w:szCs w:val="24"/>
                <w:highlight w:val="none"/>
                <w:lang w:val="en-US" w:eastAsia="zh-CN"/>
              </w:rPr>
              <w:t>集中控制管理平台</w:t>
            </w:r>
            <w:r>
              <w:rPr>
                <w:rFonts w:hint="eastAsia" w:ascii="宋体" w:hAnsi="宋体" w:eastAsia="宋体" w:cs="宋体"/>
                <w:b w:val="0"/>
                <w:bCs w:val="0"/>
                <w:color w:val="auto"/>
                <w:sz w:val="24"/>
                <w:szCs w:val="24"/>
                <w:highlight w:val="none"/>
                <w:lang w:val="en-US" w:eastAsia="zh-CN"/>
              </w:rPr>
              <w:t>制造商</w:t>
            </w:r>
            <w:r>
              <w:rPr>
                <w:rFonts w:hint="eastAsia" w:ascii="宋体" w:hAnsi="宋体" w:eastAsia="宋体" w:cs="宋体"/>
                <w:b w:val="0"/>
                <w:bCs w:val="0"/>
                <w:color w:val="auto"/>
                <w:sz w:val="24"/>
                <w:szCs w:val="24"/>
                <w:highlight w:val="none"/>
              </w:rPr>
              <w:t>具有由国家认证认可监督管理委员会认证机构颁发有效的认证证书：</w:t>
            </w:r>
          </w:p>
          <w:p w14:paraId="1D2C107E">
            <w:pPr>
              <w:keepNext w:val="0"/>
              <w:keepLines w:val="0"/>
              <w:pageBreakBefore w:val="0"/>
              <w:numPr>
                <w:ilvl w:val="0"/>
                <w:numId w:val="7"/>
              </w:numPr>
              <w:wordWrap/>
              <w:overflowPunct/>
              <w:topLinePunct w:val="0"/>
              <w:autoSpaceDE w:val="0"/>
              <w:autoSpaceDN w:val="0"/>
              <w:bidi w:val="0"/>
              <w:adjustRightInd w:val="0"/>
              <w:snapToGrid w:val="0"/>
              <w:spacing w:line="264" w:lineRule="auto"/>
              <w:ind w:left="0" w:leftChars="0" w:firstLine="0"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云服务信息安全管理体系</w:t>
            </w:r>
          </w:p>
          <w:p w14:paraId="6D561079">
            <w:pPr>
              <w:keepNext w:val="0"/>
              <w:keepLines w:val="0"/>
              <w:pageBreakBefore w:val="0"/>
              <w:numPr>
                <w:ilvl w:val="0"/>
                <w:numId w:val="7"/>
              </w:numPr>
              <w:wordWrap/>
              <w:overflowPunct/>
              <w:topLinePunct w:val="0"/>
              <w:autoSpaceDE w:val="0"/>
              <w:autoSpaceDN w:val="0"/>
              <w:bidi w:val="0"/>
              <w:adjustRightInd w:val="0"/>
              <w:snapToGrid w:val="0"/>
              <w:spacing w:line="264" w:lineRule="auto"/>
              <w:ind w:left="0" w:leftChars="0" w:firstLine="0" w:firstLineChars="0"/>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隐私信息管理体系</w:t>
            </w:r>
          </w:p>
          <w:p w14:paraId="288FB306">
            <w:pPr>
              <w:keepNext w:val="0"/>
              <w:keepLines w:val="0"/>
              <w:pageBreakBefore w:val="0"/>
              <w:numPr>
                <w:ilvl w:val="0"/>
                <w:numId w:val="0"/>
              </w:numPr>
              <w:wordWrap/>
              <w:overflowPunct/>
              <w:topLinePunct w:val="0"/>
              <w:autoSpaceDE w:val="0"/>
              <w:autoSpaceDN w:val="0"/>
              <w:bidi w:val="0"/>
              <w:adjustRightInd w:val="0"/>
              <w:snapToGrid w:val="0"/>
              <w:spacing w:line="264" w:lineRule="auto"/>
              <w:ind w:leftChars="0"/>
              <w:rPr>
                <w:rFonts w:hint="default" w:ascii="宋体" w:hAnsi="宋体" w:eastAsia="宋体" w:cs="宋体"/>
                <w:b w:val="0"/>
                <w:bCs w:val="0"/>
                <w:color w:val="auto"/>
                <w:sz w:val="24"/>
                <w:szCs w:val="24"/>
                <w:lang w:val="en-US" w:eastAsia="zh-CN"/>
              </w:rPr>
            </w:pPr>
            <w:r>
              <w:rPr>
                <w:rFonts w:hint="eastAsia"/>
                <w:b w:val="0"/>
                <w:bCs w:val="0"/>
                <w:color w:val="auto"/>
                <w:sz w:val="24"/>
                <w:szCs w:val="24"/>
                <w:highlight w:val="none"/>
                <w:lang w:val="en-US" w:eastAsia="zh-CN"/>
              </w:rPr>
              <w:t>按要求每提供1项认证</w:t>
            </w:r>
            <w:r>
              <w:rPr>
                <w:rFonts w:hint="eastAsia"/>
                <w:b w:val="0"/>
                <w:bCs w:val="0"/>
                <w:color w:val="auto"/>
                <w:sz w:val="24"/>
                <w:szCs w:val="24"/>
                <w:highlight w:val="none"/>
              </w:rPr>
              <w:t>得</w:t>
            </w:r>
            <w:r>
              <w:rPr>
                <w:rFonts w:hint="eastAsia"/>
                <w:b w:val="0"/>
                <w:bCs w:val="0"/>
                <w:color w:val="auto"/>
                <w:sz w:val="24"/>
                <w:szCs w:val="24"/>
                <w:highlight w:val="none"/>
                <w:lang w:val="en-US" w:eastAsia="zh-CN"/>
              </w:rPr>
              <w:t>1</w:t>
            </w:r>
            <w:r>
              <w:rPr>
                <w:rFonts w:hint="eastAsia"/>
                <w:b w:val="0"/>
                <w:bCs w:val="0"/>
                <w:color w:val="auto"/>
                <w:sz w:val="24"/>
                <w:szCs w:val="24"/>
                <w:highlight w:val="none"/>
              </w:rPr>
              <w:t>分，</w:t>
            </w:r>
            <w:r>
              <w:rPr>
                <w:rFonts w:hint="eastAsia"/>
                <w:b w:val="0"/>
                <w:bCs w:val="0"/>
                <w:color w:val="auto"/>
                <w:sz w:val="24"/>
                <w:szCs w:val="24"/>
                <w:highlight w:val="none"/>
                <w:lang w:val="en-US" w:eastAsia="zh-CN"/>
              </w:rPr>
              <w:t>最高得2分。</w:t>
            </w:r>
          </w:p>
          <w:p w14:paraId="7D79A1F3">
            <w:pPr>
              <w:keepNext w:val="0"/>
              <w:keepLines w:val="0"/>
              <w:pageBreakBefore w:val="0"/>
              <w:wordWrap/>
              <w:overflowPunct/>
              <w:topLinePunct w:val="0"/>
              <w:autoSpaceDE w:val="0"/>
              <w:autoSpaceDN w:val="0"/>
              <w:bidi w:val="0"/>
              <w:adjustRightInd w:val="0"/>
              <w:snapToGrid w:val="0"/>
              <w:spacing w:line="264" w:lineRule="auto"/>
              <w:ind w:left="0" w:leftChars="0"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（二）评审依据：</w:t>
            </w:r>
          </w:p>
          <w:p w14:paraId="04BC4B2A">
            <w:pPr>
              <w:keepNext w:val="0"/>
              <w:keepLines w:val="0"/>
              <w:pageBreakBefore w:val="0"/>
              <w:wordWrap/>
              <w:overflowPunct/>
              <w:topLinePunct w:val="0"/>
              <w:autoSpaceDE w:val="0"/>
              <w:autoSpaceDN w:val="0"/>
              <w:bidi w:val="0"/>
              <w:adjustRightInd w:val="0"/>
              <w:snapToGrid w:val="0"/>
              <w:spacing w:line="240" w:lineRule="auto"/>
              <w:ind w:left="0" w:leftChars="0"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1.投标文件中同时提供证书复印件及“全国认证认可信息公共服务平台”官网证书信息查询截图（平台网址：http://cx.cnca.cn/CertECloud/index/index/page）；</w:t>
            </w:r>
          </w:p>
          <w:p w14:paraId="1F4BCB5A">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left"/>
              <w:textAlignment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rPr>
              <w:t>2.未按要求提供证明材料的，该对应评分项不得分。</w:t>
            </w:r>
          </w:p>
        </w:tc>
        <w:tc>
          <w:tcPr>
            <w:tcW w:w="964" w:type="dxa"/>
            <w:tcBorders>
              <w:top w:val="nil"/>
              <w:left w:val="nil"/>
              <w:bottom w:val="single" w:color="auto" w:sz="4" w:space="0"/>
              <w:right w:val="single" w:color="000000" w:sz="4" w:space="0"/>
            </w:tcBorders>
            <w:vAlign w:val="center"/>
          </w:tcPr>
          <w:p w14:paraId="7D22DA7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center"/>
              <w:textAlignment w:val="center"/>
              <w:rPr>
                <w:rFonts w:hint="eastAsia" w:ascii="宋体" w:hAnsi="宋体" w:eastAsia="宋体" w:cs="宋体"/>
                <w:b/>
                <w:bCs/>
                <w:color w:val="auto"/>
                <w:sz w:val="24"/>
                <w:szCs w:val="24"/>
                <w:lang w:val="en-US" w:eastAsia="zh-CN"/>
              </w:rPr>
            </w:pPr>
            <w:r>
              <w:rPr>
                <w:rFonts w:hint="eastAsia" w:ascii="宋体" w:hAnsi="宋体" w:cs="宋体"/>
                <w:b w:val="0"/>
                <w:bCs w:val="0"/>
                <w:color w:val="auto"/>
                <w:sz w:val="24"/>
                <w:szCs w:val="24"/>
                <w:lang w:val="en-US" w:eastAsia="zh-CN"/>
              </w:rPr>
              <w:t>2</w:t>
            </w:r>
          </w:p>
        </w:tc>
      </w:tr>
      <w:tr w14:paraId="3377F345">
        <w:tblPrEx>
          <w:tblCellMar>
            <w:top w:w="0" w:type="dxa"/>
            <w:left w:w="108" w:type="dxa"/>
            <w:bottom w:w="0" w:type="dxa"/>
            <w:right w:w="108" w:type="dxa"/>
          </w:tblCellMar>
        </w:tblPrEx>
        <w:trPr>
          <w:trHeight w:val="1060" w:hRule="atLeast"/>
          <w:jc w:val="center"/>
        </w:trPr>
        <w:tc>
          <w:tcPr>
            <w:tcW w:w="1350" w:type="dxa"/>
            <w:vMerge w:val="continue"/>
            <w:tcBorders>
              <w:left w:val="single" w:color="auto" w:sz="4" w:space="0"/>
              <w:bottom w:val="single" w:color="auto" w:sz="4" w:space="0"/>
              <w:right w:val="single" w:color="auto" w:sz="4" w:space="0"/>
            </w:tcBorders>
            <w:noWrap/>
            <w:vAlign w:val="center"/>
          </w:tcPr>
          <w:p w14:paraId="2DCD43C4">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sz w:val="24"/>
                <w:szCs w:val="24"/>
              </w:rPr>
            </w:pPr>
          </w:p>
        </w:tc>
        <w:tc>
          <w:tcPr>
            <w:tcW w:w="975" w:type="dxa"/>
            <w:vMerge w:val="continue"/>
            <w:tcBorders>
              <w:left w:val="nil"/>
              <w:bottom w:val="single" w:color="auto" w:sz="4" w:space="0"/>
              <w:right w:val="single" w:color="auto" w:sz="4" w:space="0"/>
            </w:tcBorders>
            <w:noWrap/>
            <w:vAlign w:val="center"/>
          </w:tcPr>
          <w:p w14:paraId="183C15B3">
            <w:pPr>
              <w:keepNext w:val="0"/>
              <w:keepLines w:val="0"/>
              <w:widowControl/>
              <w:suppressLineNumbers w:val="0"/>
              <w:spacing w:before="0" w:beforeAutospacing="0" w:after="0" w:afterAutospacing="0"/>
              <w:ind w:left="0" w:leftChars="0" w:right="0" w:firstLine="0" w:firstLineChars="0"/>
              <w:jc w:val="center"/>
              <w:rPr>
                <w:rFonts w:hint="default" w:ascii="宋体" w:hAnsi="宋体" w:eastAsia="宋体" w:cs="宋体"/>
                <w:sz w:val="24"/>
                <w:szCs w:val="24"/>
                <w:lang w:val="en-US" w:eastAsia="zh-CN"/>
              </w:rPr>
            </w:pPr>
          </w:p>
        </w:tc>
        <w:tc>
          <w:tcPr>
            <w:tcW w:w="6728" w:type="dxa"/>
            <w:tcBorders>
              <w:top w:val="nil"/>
              <w:left w:val="nil"/>
              <w:bottom w:val="single" w:color="auto" w:sz="4" w:space="0"/>
              <w:right w:val="single" w:color="000000" w:sz="4" w:space="0"/>
            </w:tcBorders>
            <w:vAlign w:val="center"/>
          </w:tcPr>
          <w:p w14:paraId="39FEA13B">
            <w:pPr>
              <w:keepNext w:val="0"/>
              <w:keepLines w:val="0"/>
              <w:pageBreakBefore w:val="0"/>
              <w:widowControl w:val="0"/>
              <w:numPr>
                <w:ilvl w:val="0"/>
                <w:numId w:val="8"/>
              </w:numPr>
              <w:kinsoku/>
              <w:wordWrap/>
              <w:overflowPunct/>
              <w:topLinePunct w:val="0"/>
              <w:autoSpaceDE w:val="0"/>
              <w:autoSpaceDN w:val="0"/>
              <w:bidi w:val="0"/>
              <w:adjustRightInd w:val="0"/>
              <w:snapToGrid w:val="0"/>
              <w:spacing w:line="264" w:lineRule="auto"/>
              <w:ind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评分内容：</w:t>
            </w:r>
          </w:p>
          <w:p w14:paraId="2FBAC70B">
            <w:pPr>
              <w:keepNext w:val="0"/>
              <w:keepLines w:val="0"/>
              <w:pageBreakBefore w:val="0"/>
              <w:wordWrap/>
              <w:overflowPunct/>
              <w:topLinePunct w:val="0"/>
              <w:autoSpaceDE w:val="0"/>
              <w:autoSpaceDN w:val="0"/>
              <w:bidi w:val="0"/>
              <w:adjustRightInd w:val="0"/>
              <w:snapToGrid w:val="0"/>
              <w:spacing w:line="264" w:lineRule="auto"/>
              <w:ind w:left="0" w:leftChars="0" w:firstLine="0" w:firstLineChars="0"/>
              <w:rPr>
                <w:rFonts w:hint="eastAsia" w:cs="Times New Roman"/>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为确保</w:t>
            </w:r>
            <w:r>
              <w:rPr>
                <w:rFonts w:hint="eastAsia" w:ascii="宋体" w:hAnsi="宋体" w:cs="宋体"/>
                <w:b w:val="0"/>
                <w:bCs w:val="0"/>
                <w:color w:val="auto"/>
                <w:sz w:val="24"/>
                <w:szCs w:val="24"/>
                <w:highlight w:val="none"/>
                <w:lang w:val="en-US" w:eastAsia="zh-CN"/>
              </w:rPr>
              <w:t>备授课场景下</w:t>
            </w:r>
            <w:r>
              <w:rPr>
                <w:rFonts w:hint="eastAsia" w:ascii="宋体" w:hAnsi="宋体" w:eastAsia="宋体" w:cs="宋体"/>
                <w:b w:val="0"/>
                <w:bCs w:val="0"/>
                <w:color w:val="auto"/>
                <w:sz w:val="24"/>
                <w:szCs w:val="24"/>
                <w:highlight w:val="none"/>
                <w:lang w:val="en-US" w:eastAsia="zh-CN"/>
              </w:rPr>
              <w:t>学校师生行为数据有效安全管理，要求所投智慧黑板</w:t>
            </w:r>
            <w:r>
              <w:rPr>
                <w:rFonts w:hint="eastAsia" w:ascii="宋体" w:hAnsi="宋体" w:cs="宋体"/>
                <w:b w:val="0"/>
                <w:bCs w:val="0"/>
                <w:color w:val="auto"/>
                <w:sz w:val="24"/>
                <w:szCs w:val="24"/>
                <w:highlight w:val="none"/>
                <w:lang w:val="en-US" w:eastAsia="zh-CN"/>
              </w:rPr>
              <w:t>教学软件</w:t>
            </w:r>
            <w:r>
              <w:rPr>
                <w:rFonts w:hint="eastAsia" w:ascii="宋体" w:hAnsi="宋体" w:eastAsia="宋体" w:cs="宋体"/>
                <w:b w:val="0"/>
                <w:bCs w:val="0"/>
                <w:color w:val="auto"/>
                <w:sz w:val="24"/>
                <w:szCs w:val="24"/>
                <w:highlight w:val="none"/>
                <w:lang w:val="en-US" w:eastAsia="zh-CN"/>
              </w:rPr>
              <w:t>制造商具有一定的数据管理能力，须通过DCMM（数据管理能力）认</w:t>
            </w:r>
            <w:r>
              <w:rPr>
                <w:rFonts w:hint="eastAsia" w:cs="Times New Roman"/>
                <w:b w:val="0"/>
                <w:bCs w:val="0"/>
                <w:color w:val="auto"/>
                <w:sz w:val="24"/>
                <w:szCs w:val="24"/>
                <w:highlight w:val="none"/>
                <w:lang w:val="en-US" w:eastAsia="zh-CN"/>
              </w:rPr>
              <w:t>证。通过</w:t>
            </w:r>
            <w:r>
              <w:rPr>
                <w:rFonts w:hint="eastAsia" w:ascii="宋体" w:hAnsi="宋体" w:eastAsia="宋体" w:cs="宋体"/>
                <w:b w:val="0"/>
                <w:bCs w:val="0"/>
                <w:color w:val="auto"/>
                <w:sz w:val="24"/>
                <w:szCs w:val="24"/>
                <w:highlight w:val="none"/>
                <w:lang w:val="en-US" w:eastAsia="zh-CN"/>
              </w:rPr>
              <w:t>DCMM</w:t>
            </w:r>
            <w:r>
              <w:rPr>
                <w:rFonts w:hint="eastAsia" w:cs="Times New Roman"/>
                <w:b w:val="0"/>
                <w:bCs w:val="0"/>
                <w:color w:val="auto"/>
                <w:sz w:val="24"/>
                <w:szCs w:val="24"/>
                <w:highlight w:val="none"/>
                <w:lang w:val="en-US" w:eastAsia="zh-CN"/>
              </w:rPr>
              <w:t>三级及以上得2分，通过二级得1分，其他不得分，需提供官网截图及证书复印件并加盖投标人公章。</w:t>
            </w:r>
          </w:p>
          <w:p w14:paraId="369C1917">
            <w:pPr>
              <w:keepNext w:val="0"/>
              <w:keepLines w:val="0"/>
              <w:pageBreakBefore w:val="0"/>
              <w:wordWrap/>
              <w:overflowPunct/>
              <w:topLinePunct w:val="0"/>
              <w:autoSpaceDE w:val="0"/>
              <w:autoSpaceDN w:val="0"/>
              <w:bidi w:val="0"/>
              <w:adjustRightInd w:val="0"/>
              <w:snapToGrid w:val="0"/>
              <w:spacing w:line="264" w:lineRule="auto"/>
              <w:ind w:left="0" w:leftChars="0" w:firstLine="0" w:firstLineChars="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（二）评审依据：</w:t>
            </w:r>
          </w:p>
          <w:p w14:paraId="53C40FE0">
            <w:pPr>
              <w:keepNext w:val="0"/>
              <w:keepLines w:val="0"/>
              <w:pageBreakBefore w:val="0"/>
              <w:widowControl w:val="0"/>
              <w:kinsoku/>
              <w:wordWrap/>
              <w:overflowPunct/>
              <w:topLinePunct w:val="0"/>
              <w:autoSpaceDE w:val="0"/>
              <w:autoSpaceDN w:val="0"/>
              <w:bidi w:val="0"/>
              <w:adjustRightInd w:val="0"/>
              <w:snapToGrid w:val="0"/>
              <w:spacing w:line="264" w:lineRule="auto"/>
              <w:ind w:firstLine="0" w:firstLineChars="0"/>
              <w:rPr>
                <w:rFonts w:hint="eastAsia" w:ascii="宋体" w:hAnsi="宋体" w:cs="宋体"/>
                <w:b w:val="0"/>
                <w:bCs w:val="0"/>
                <w:color w:val="auto"/>
                <w:sz w:val="24"/>
                <w:szCs w:val="24"/>
                <w:lang w:eastAsia="zh-CN"/>
              </w:rPr>
            </w:pPr>
            <w:r>
              <w:rPr>
                <w:rFonts w:hint="eastAsia" w:ascii="宋体" w:hAnsi="宋体" w:eastAsia="宋体" w:cs="宋体"/>
                <w:b w:val="0"/>
                <w:bCs w:val="0"/>
                <w:color w:val="auto"/>
                <w:sz w:val="24"/>
                <w:szCs w:val="24"/>
              </w:rPr>
              <w:t>1.投标文件中</w:t>
            </w:r>
            <w:r>
              <w:rPr>
                <w:rFonts w:hint="eastAsia" w:ascii="宋体" w:hAnsi="宋体" w:eastAsia="宋体" w:cs="宋体"/>
                <w:b w:val="0"/>
                <w:bCs w:val="0"/>
                <w:color w:val="auto"/>
                <w:sz w:val="24"/>
                <w:szCs w:val="24"/>
                <w:lang w:val="en-US" w:eastAsia="zh-CN"/>
              </w:rPr>
              <w:t>应</w:t>
            </w:r>
            <w:r>
              <w:rPr>
                <w:rFonts w:hint="eastAsia" w:ascii="宋体" w:hAnsi="宋体" w:eastAsia="宋体" w:cs="宋体"/>
                <w:b w:val="0"/>
                <w:bCs w:val="0"/>
                <w:color w:val="auto"/>
                <w:sz w:val="24"/>
                <w:szCs w:val="24"/>
              </w:rPr>
              <w:t>同时提供证书复印件及</w:t>
            </w:r>
            <w:r>
              <w:rPr>
                <w:rFonts w:hint="eastAsia" w:ascii="宋体" w:hAnsi="宋体" w:cs="宋体"/>
                <w:b w:val="0"/>
                <w:bCs w:val="0"/>
                <w:color w:val="auto"/>
                <w:sz w:val="24"/>
                <w:szCs w:val="24"/>
                <w:lang w:eastAsia="zh-CN"/>
              </w:rPr>
              <w:t>“</w:t>
            </w:r>
            <w:r>
              <w:rPr>
                <w:rFonts w:hint="eastAsia" w:ascii="宋体" w:hAnsi="宋体" w:eastAsia="宋体" w:cs="宋体"/>
                <w:b w:val="0"/>
                <w:bCs w:val="0"/>
                <w:color w:val="auto"/>
                <w:sz w:val="24"/>
                <w:szCs w:val="24"/>
              </w:rPr>
              <w:t>全国DCMM评估公共服务平台</w:t>
            </w:r>
            <w:r>
              <w:rPr>
                <w:rFonts w:hint="eastAsia" w:ascii="宋体" w:hAnsi="宋体" w:cs="宋体"/>
                <w:b w:val="0"/>
                <w:bCs w:val="0"/>
                <w:color w:val="auto"/>
                <w:sz w:val="24"/>
                <w:szCs w:val="24"/>
                <w:lang w:eastAsia="zh-CN"/>
              </w:rPr>
              <w:t>”</w:t>
            </w:r>
            <w:r>
              <w:rPr>
                <w:rFonts w:hint="eastAsia" w:ascii="宋体" w:hAnsi="宋体" w:cs="宋体"/>
                <w:b w:val="0"/>
                <w:bCs w:val="0"/>
                <w:color w:val="auto"/>
                <w:sz w:val="24"/>
                <w:szCs w:val="24"/>
                <w:lang w:val="en-US" w:eastAsia="zh-CN"/>
              </w:rPr>
              <w:t>官网</w:t>
            </w:r>
            <w:r>
              <w:rPr>
                <w:rFonts w:hint="eastAsia" w:ascii="宋体" w:hAnsi="宋体" w:eastAsia="宋体" w:cs="宋体"/>
                <w:b w:val="0"/>
                <w:bCs w:val="0"/>
                <w:color w:val="auto"/>
                <w:sz w:val="24"/>
                <w:szCs w:val="24"/>
              </w:rPr>
              <w:t>证书信息查询截图</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rPr>
              <w:t>平台网址：http://www.dcmm.org.cn</w:t>
            </w:r>
            <w:r>
              <w:rPr>
                <w:rFonts w:hint="eastAsia" w:ascii="宋体" w:hAnsi="宋体" w:cs="宋体"/>
                <w:b w:val="0"/>
                <w:bCs w:val="0"/>
                <w:color w:val="auto"/>
                <w:sz w:val="24"/>
                <w:szCs w:val="24"/>
                <w:lang w:eastAsia="zh-CN"/>
              </w:rPr>
              <w:t>）；</w:t>
            </w:r>
          </w:p>
          <w:p w14:paraId="2065C82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left"/>
              <w:textAlignment w:val="center"/>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2.未按要求提供证明材料的，该对应评分项不得分。</w:t>
            </w:r>
          </w:p>
        </w:tc>
        <w:tc>
          <w:tcPr>
            <w:tcW w:w="964" w:type="dxa"/>
            <w:tcBorders>
              <w:top w:val="nil"/>
              <w:left w:val="nil"/>
              <w:bottom w:val="single" w:color="auto" w:sz="4" w:space="0"/>
              <w:right w:val="single" w:color="000000" w:sz="4" w:space="0"/>
            </w:tcBorders>
            <w:vAlign w:val="center"/>
          </w:tcPr>
          <w:p w14:paraId="055924F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center"/>
              <w:textAlignment w:val="center"/>
              <w:rPr>
                <w:rFonts w:hint="eastAsia" w:ascii="宋体" w:hAnsi="宋体" w:eastAsia="宋体" w:cs="宋体"/>
                <w:b/>
                <w:bCs/>
                <w:color w:val="auto"/>
                <w:sz w:val="24"/>
                <w:szCs w:val="24"/>
                <w:lang w:val="en-US" w:eastAsia="zh-CN"/>
              </w:rPr>
            </w:pPr>
            <w:r>
              <w:rPr>
                <w:rFonts w:hint="eastAsia" w:ascii="宋体" w:hAnsi="宋体" w:cs="宋体"/>
                <w:b w:val="0"/>
                <w:bCs w:val="0"/>
                <w:color w:val="auto"/>
                <w:sz w:val="24"/>
                <w:szCs w:val="24"/>
                <w:lang w:val="en-US" w:eastAsia="zh-CN"/>
              </w:rPr>
              <w:t>2</w:t>
            </w:r>
          </w:p>
        </w:tc>
      </w:tr>
      <w:tr w14:paraId="6A5CAC40">
        <w:tblPrEx>
          <w:tblCellMar>
            <w:top w:w="0" w:type="dxa"/>
            <w:left w:w="108" w:type="dxa"/>
            <w:bottom w:w="0" w:type="dxa"/>
            <w:right w:w="108" w:type="dxa"/>
          </w:tblCellMar>
        </w:tblPrEx>
        <w:trPr>
          <w:trHeight w:val="606" w:hRule="atLeast"/>
          <w:jc w:val="center"/>
        </w:trPr>
        <w:tc>
          <w:tcPr>
            <w:tcW w:w="1350" w:type="dxa"/>
            <w:vMerge w:val="restart"/>
            <w:tcBorders>
              <w:top w:val="nil"/>
              <w:left w:val="single" w:color="auto" w:sz="4" w:space="0"/>
              <w:right w:val="single" w:color="auto" w:sz="4" w:space="0"/>
            </w:tcBorders>
            <w:noWrap/>
            <w:vAlign w:val="center"/>
          </w:tcPr>
          <w:p w14:paraId="5AA6930D">
            <w:pPr>
              <w:keepNext w:val="0"/>
              <w:keepLines w:val="0"/>
              <w:pageBreakBefore w:val="0"/>
              <w:widowControl w:val="0"/>
              <w:kinsoku/>
              <w:wordWrap/>
              <w:overflowPunct/>
              <w:topLinePunct w:val="0"/>
              <w:autoSpaceDE w:val="0"/>
              <w:autoSpaceDN w:val="0"/>
              <w:bidi w:val="0"/>
              <w:adjustRightInd w:val="0"/>
              <w:snapToGrid w:val="0"/>
              <w:spacing w:line="264" w:lineRule="auto"/>
              <w:ind w:firstLine="0" w:firstLineChars="0"/>
              <w:jc w:val="center"/>
              <w:rPr>
                <w:rFonts w:hint="eastAsia" w:ascii="宋体" w:hAnsi="宋体" w:eastAsia="宋体" w:cs="宋体"/>
                <w:sz w:val="24"/>
                <w:szCs w:val="24"/>
              </w:rPr>
            </w:pPr>
            <w:r>
              <w:rPr>
                <w:rFonts w:hint="eastAsia" w:ascii="宋体" w:hAnsi="宋体" w:eastAsia="宋体" w:cs="宋体"/>
                <w:color w:val="auto"/>
                <w:sz w:val="24"/>
                <w:szCs w:val="24"/>
                <w:highlight w:val="none"/>
              </w:rPr>
              <w:t>技术部分（</w:t>
            </w:r>
            <w:r>
              <w:rPr>
                <w:rFonts w:hint="eastAsia" w:ascii="宋体" w:hAnsi="宋体" w:eastAsia="宋体" w:cs="宋体"/>
                <w:color w:val="auto"/>
                <w:sz w:val="24"/>
                <w:szCs w:val="24"/>
                <w:highlight w:val="none"/>
                <w:lang w:val="en-US" w:eastAsia="zh-CN"/>
              </w:rPr>
              <w:t>38</w:t>
            </w:r>
            <w:r>
              <w:rPr>
                <w:rFonts w:hint="eastAsia" w:ascii="宋体" w:hAnsi="宋体" w:eastAsia="宋体" w:cs="宋体"/>
                <w:color w:val="auto"/>
                <w:sz w:val="24"/>
                <w:szCs w:val="24"/>
                <w:highlight w:val="none"/>
              </w:rPr>
              <w:t>分）</w:t>
            </w:r>
          </w:p>
        </w:tc>
        <w:tc>
          <w:tcPr>
            <w:tcW w:w="975" w:type="dxa"/>
            <w:tcBorders>
              <w:top w:val="nil"/>
              <w:left w:val="nil"/>
              <w:bottom w:val="single" w:color="auto" w:sz="4" w:space="0"/>
              <w:right w:val="single" w:color="auto" w:sz="4" w:space="0"/>
            </w:tcBorders>
            <w:noWrap/>
            <w:vAlign w:val="center"/>
          </w:tcPr>
          <w:p w14:paraId="674E255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宋体" w:hAnsi="宋体" w:eastAsia="宋体" w:cs="宋体"/>
                <w:sz w:val="24"/>
                <w:szCs w:val="24"/>
                <w:lang w:eastAsia="zh-CN"/>
              </w:rPr>
            </w:pPr>
            <w:r>
              <w:rPr>
                <w:rFonts w:hint="eastAsia" w:ascii="宋体" w:hAnsi="宋体" w:eastAsia="宋体" w:cs="宋体"/>
                <w:b w:val="0"/>
                <w:bCs w:val="0"/>
                <w:color w:val="auto"/>
                <w:sz w:val="24"/>
                <w:szCs w:val="24"/>
                <w:highlight w:val="none"/>
                <w:lang w:eastAsia="zh-Hans"/>
              </w:rPr>
              <w:t>产品</w:t>
            </w:r>
            <w:r>
              <w:rPr>
                <w:rFonts w:hint="eastAsia" w:ascii="宋体" w:hAnsi="宋体" w:eastAsia="宋体" w:cs="宋体"/>
                <w:b w:val="0"/>
                <w:bCs w:val="0"/>
                <w:color w:val="auto"/>
                <w:sz w:val="24"/>
                <w:szCs w:val="24"/>
                <w:highlight w:val="none"/>
                <w:lang w:val="en-US" w:eastAsia="zh-CN"/>
              </w:rPr>
              <w:t>技术规格响应</w:t>
            </w:r>
          </w:p>
        </w:tc>
        <w:tc>
          <w:tcPr>
            <w:tcW w:w="6728" w:type="dxa"/>
            <w:tcBorders>
              <w:top w:val="nil"/>
              <w:left w:val="nil"/>
              <w:bottom w:val="single" w:color="auto" w:sz="4" w:space="0"/>
              <w:right w:val="single" w:color="000000" w:sz="4" w:space="0"/>
            </w:tcBorders>
            <w:vAlign w:val="center"/>
          </w:tcPr>
          <w:p w14:paraId="388093D5">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投标产品技术规格完全符合招标文件要求得</w:t>
            </w:r>
            <w:r>
              <w:rPr>
                <w:rFonts w:hint="default" w:ascii="宋体" w:hAnsi="宋体" w:eastAsia="宋体" w:cs="宋体"/>
                <w:color w:val="auto"/>
                <w:sz w:val="24"/>
                <w:szCs w:val="24"/>
                <w:highlight w:val="none"/>
              </w:rPr>
              <w:t>20</w:t>
            </w:r>
            <w:r>
              <w:rPr>
                <w:rFonts w:hint="eastAsia" w:ascii="宋体" w:hAnsi="宋体" w:eastAsia="宋体" w:cs="宋体"/>
                <w:color w:val="auto"/>
                <w:sz w:val="24"/>
                <w:szCs w:val="24"/>
                <w:highlight w:val="none"/>
              </w:rPr>
              <w:t>分。</w:t>
            </w:r>
          </w:p>
          <w:p w14:paraId="616DE35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招标文件</w:t>
            </w:r>
            <w:r>
              <w:rPr>
                <w:rFonts w:hint="eastAsia" w:ascii="宋体" w:hAnsi="宋体" w:eastAsia="宋体" w:cs="宋体"/>
                <w:color w:val="auto"/>
                <w:sz w:val="24"/>
                <w:szCs w:val="24"/>
                <w:highlight w:val="none"/>
                <w:lang w:val="en-US" w:eastAsia="zh-CN"/>
              </w:rPr>
              <w:t>中标注“▲”的技术指标（共计</w:t>
            </w:r>
            <w:r>
              <w:rPr>
                <w:rFonts w:hint="default" w:ascii="宋体" w:hAnsi="宋体" w:eastAsia="宋体" w:cs="宋体"/>
                <w:color w:val="auto"/>
                <w:sz w:val="24"/>
                <w:szCs w:val="24"/>
                <w:highlight w:val="none"/>
                <w:lang w:val="en-US" w:eastAsia="zh-CN"/>
              </w:rPr>
              <w:t>28</w:t>
            </w:r>
            <w:r>
              <w:rPr>
                <w:rFonts w:hint="eastAsia" w:ascii="宋体" w:hAnsi="宋体" w:eastAsia="宋体" w:cs="宋体"/>
                <w:color w:val="auto"/>
                <w:sz w:val="24"/>
                <w:szCs w:val="24"/>
                <w:highlight w:val="none"/>
                <w:lang w:val="en-US" w:eastAsia="zh-CN"/>
              </w:rPr>
              <w:t>处）为重要功能需求，</w:t>
            </w:r>
            <w:r>
              <w:rPr>
                <w:rFonts w:hint="eastAsia" w:ascii="宋体" w:hAnsi="宋体" w:cs="宋体"/>
                <w:color w:val="auto"/>
                <w:sz w:val="24"/>
                <w:szCs w:val="24"/>
                <w:highlight w:val="none"/>
                <w:lang w:val="en-US" w:eastAsia="zh-CN"/>
              </w:rPr>
              <w:t>需逐项按照招标文件要求提供证明文件，如有</w:t>
            </w:r>
            <w:r>
              <w:rPr>
                <w:rFonts w:hint="eastAsia" w:ascii="宋体" w:hAnsi="宋体" w:eastAsia="宋体" w:cs="宋体"/>
                <w:color w:val="auto"/>
                <w:sz w:val="24"/>
                <w:szCs w:val="24"/>
                <w:highlight w:val="none"/>
              </w:rPr>
              <w:t>不满足</w:t>
            </w:r>
            <w:r>
              <w:rPr>
                <w:rFonts w:hint="eastAsia" w:ascii="宋体" w:hAnsi="宋体" w:cs="宋体"/>
                <w:color w:val="auto"/>
                <w:sz w:val="24"/>
                <w:szCs w:val="24"/>
                <w:highlight w:val="none"/>
                <w:lang w:val="en-US" w:eastAsia="zh-CN"/>
              </w:rPr>
              <w:t>每项</w:t>
            </w:r>
            <w:r>
              <w:rPr>
                <w:rFonts w:hint="eastAsia" w:ascii="宋体" w:hAnsi="宋体" w:eastAsia="宋体" w:cs="宋体"/>
                <w:color w:val="auto"/>
                <w:sz w:val="24"/>
                <w:szCs w:val="24"/>
                <w:highlight w:val="none"/>
              </w:rPr>
              <w:t>扣</w:t>
            </w:r>
            <w:r>
              <w:rPr>
                <w:rFonts w:hint="eastAsia" w:ascii="宋体" w:hAnsi="宋体" w:cs="宋体"/>
                <w:color w:val="auto"/>
                <w:sz w:val="24"/>
                <w:szCs w:val="24"/>
                <w:highlight w:val="none"/>
                <w:lang w:val="en-US" w:eastAsia="zh-CN"/>
              </w:rPr>
              <w:t>0.5</w:t>
            </w:r>
            <w:r>
              <w:rPr>
                <w:rFonts w:hint="eastAsia" w:ascii="宋体" w:hAnsi="宋体" w:eastAsia="宋体" w:cs="宋体"/>
                <w:color w:val="auto"/>
                <w:sz w:val="24"/>
                <w:szCs w:val="24"/>
                <w:highlight w:val="none"/>
              </w:rPr>
              <w:t>分，</w:t>
            </w:r>
            <w:r>
              <w:rPr>
                <w:rFonts w:hint="eastAsia" w:ascii="宋体" w:hAnsi="宋体" w:cs="宋体"/>
                <w:color w:val="auto"/>
                <w:sz w:val="24"/>
                <w:szCs w:val="24"/>
                <w:highlight w:val="none"/>
                <w:lang w:val="en-US" w:eastAsia="zh-CN"/>
              </w:rPr>
              <w:t>其它未标注任何符号的一般技术指标如有不满足每项扣0.2分，</w:t>
            </w:r>
            <w:r>
              <w:rPr>
                <w:rFonts w:hint="eastAsia" w:ascii="宋体" w:hAnsi="宋体" w:eastAsia="宋体" w:cs="宋体"/>
                <w:color w:val="auto"/>
                <w:sz w:val="24"/>
                <w:szCs w:val="24"/>
                <w:highlight w:val="none"/>
              </w:rPr>
              <w:t>扣完为止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需按招标文件要求提供证明材料）</w:t>
            </w:r>
          </w:p>
        </w:tc>
        <w:tc>
          <w:tcPr>
            <w:tcW w:w="964" w:type="dxa"/>
            <w:tcBorders>
              <w:top w:val="nil"/>
              <w:left w:val="nil"/>
              <w:bottom w:val="single" w:color="auto" w:sz="4" w:space="0"/>
              <w:right w:val="single" w:color="000000" w:sz="4" w:space="0"/>
            </w:tcBorders>
            <w:vAlign w:val="center"/>
          </w:tcPr>
          <w:p w14:paraId="2052B616">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center"/>
              <w:textAlignment w:val="center"/>
              <w:rPr>
                <w:rFonts w:hint="eastAsia" w:ascii="宋体" w:hAnsi="宋体" w:eastAsia="宋体" w:cs="宋体"/>
                <w:color w:val="auto"/>
                <w:sz w:val="24"/>
                <w:szCs w:val="24"/>
                <w:highlight w:val="none"/>
              </w:rPr>
            </w:pPr>
            <w:r>
              <w:rPr>
                <w:rFonts w:hint="default" w:ascii="宋体" w:hAnsi="宋体" w:cs="宋体"/>
                <w:color w:val="auto"/>
                <w:sz w:val="24"/>
                <w:szCs w:val="24"/>
                <w:highlight w:val="none"/>
                <w:lang w:val="en-US" w:eastAsia="zh-CN"/>
              </w:rPr>
              <w:t>20</w:t>
            </w:r>
          </w:p>
        </w:tc>
      </w:tr>
      <w:tr w14:paraId="04C9BECD">
        <w:tblPrEx>
          <w:tblCellMar>
            <w:top w:w="0" w:type="dxa"/>
            <w:left w:w="108" w:type="dxa"/>
            <w:bottom w:w="0" w:type="dxa"/>
            <w:right w:w="108" w:type="dxa"/>
          </w:tblCellMar>
        </w:tblPrEx>
        <w:trPr>
          <w:trHeight w:val="849" w:hRule="atLeast"/>
          <w:jc w:val="center"/>
        </w:trPr>
        <w:tc>
          <w:tcPr>
            <w:tcW w:w="1350" w:type="dxa"/>
            <w:vMerge w:val="continue"/>
            <w:tcBorders>
              <w:left w:val="single" w:color="auto" w:sz="4" w:space="0"/>
              <w:right w:val="single" w:color="auto" w:sz="4" w:space="0"/>
            </w:tcBorders>
            <w:vAlign w:val="center"/>
          </w:tcPr>
          <w:p w14:paraId="7985BC32">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sz w:val="24"/>
                <w:szCs w:val="24"/>
              </w:rPr>
            </w:pPr>
          </w:p>
        </w:tc>
        <w:tc>
          <w:tcPr>
            <w:tcW w:w="975" w:type="dxa"/>
            <w:tcBorders>
              <w:top w:val="nil"/>
              <w:left w:val="nil"/>
              <w:bottom w:val="single" w:color="auto" w:sz="4" w:space="0"/>
              <w:right w:val="single" w:color="auto" w:sz="4" w:space="0"/>
            </w:tcBorders>
            <w:vAlign w:val="center"/>
          </w:tcPr>
          <w:p w14:paraId="1790F75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center"/>
              <w:textAlignment w:val="center"/>
              <w:rPr>
                <w:rFonts w:hint="default" w:ascii="宋体" w:hAnsi="宋体" w:eastAsia="宋体" w:cs="宋体"/>
                <w:sz w:val="24"/>
                <w:szCs w:val="24"/>
                <w:lang w:val="en-US" w:eastAsia="zh-CN"/>
              </w:rPr>
            </w:pPr>
          </w:p>
        </w:tc>
        <w:tc>
          <w:tcPr>
            <w:tcW w:w="6728" w:type="dxa"/>
            <w:tcBorders>
              <w:top w:val="nil"/>
              <w:left w:val="nil"/>
              <w:bottom w:val="single" w:color="auto" w:sz="4" w:space="0"/>
              <w:right w:val="single" w:color="000000" w:sz="4" w:space="0"/>
            </w:tcBorders>
            <w:vAlign w:val="center"/>
          </w:tcPr>
          <w:p w14:paraId="3DC8E9B7">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为保障产品性能稳定，所投</w:t>
            </w:r>
            <w:r>
              <w:rPr>
                <w:rFonts w:hint="eastAsia" w:ascii="宋体" w:hAnsi="宋体" w:eastAsia="宋体" w:cs="宋体"/>
                <w:color w:val="auto"/>
                <w:sz w:val="24"/>
                <w:szCs w:val="24"/>
                <w:highlight w:val="none"/>
                <w:lang w:val="en-US" w:eastAsia="zh-CN"/>
              </w:rPr>
              <w:t>核心</w:t>
            </w:r>
            <w:r>
              <w:rPr>
                <w:rFonts w:hint="eastAsia" w:ascii="宋体" w:hAnsi="宋体" w:eastAsia="宋体" w:cs="宋体"/>
                <w:color w:val="auto"/>
                <w:sz w:val="24"/>
                <w:szCs w:val="24"/>
                <w:highlight w:val="none"/>
              </w:rPr>
              <w:t>产品</w:t>
            </w:r>
            <w:r>
              <w:rPr>
                <w:rFonts w:hint="eastAsia" w:ascii="宋体" w:hAnsi="宋体" w:eastAsia="宋体" w:cs="宋体"/>
                <w:color w:val="auto"/>
                <w:sz w:val="24"/>
                <w:szCs w:val="24"/>
                <w:highlight w:val="none"/>
                <w:lang w:val="en-US" w:eastAsia="zh-CN"/>
              </w:rPr>
              <w:t>（实训计算机）</w:t>
            </w:r>
            <w:r>
              <w:rPr>
                <w:rFonts w:hint="eastAsia" w:ascii="宋体" w:hAnsi="宋体" w:eastAsia="宋体" w:cs="宋体"/>
                <w:color w:val="auto"/>
                <w:sz w:val="24"/>
                <w:szCs w:val="24"/>
                <w:highlight w:val="none"/>
              </w:rPr>
              <w:t>整机通过抗压测试合格认证得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分（提供权威部门的检测合格证书复印件加盖投标人公章为得分依据）</w:t>
            </w:r>
          </w:p>
        </w:tc>
        <w:tc>
          <w:tcPr>
            <w:tcW w:w="964" w:type="dxa"/>
            <w:tcBorders>
              <w:top w:val="nil"/>
              <w:left w:val="nil"/>
              <w:bottom w:val="single" w:color="auto" w:sz="4" w:space="0"/>
              <w:right w:val="single" w:color="000000" w:sz="4" w:space="0"/>
            </w:tcBorders>
            <w:vAlign w:val="center"/>
          </w:tcPr>
          <w:p w14:paraId="718B19F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center"/>
              <w:textAlignment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r>
      <w:tr w14:paraId="0F4F8B8A">
        <w:tblPrEx>
          <w:tblCellMar>
            <w:top w:w="0" w:type="dxa"/>
            <w:left w:w="108" w:type="dxa"/>
            <w:bottom w:w="0" w:type="dxa"/>
            <w:right w:w="108" w:type="dxa"/>
          </w:tblCellMar>
        </w:tblPrEx>
        <w:trPr>
          <w:trHeight w:val="1132" w:hRule="atLeast"/>
          <w:jc w:val="center"/>
        </w:trPr>
        <w:tc>
          <w:tcPr>
            <w:tcW w:w="1350" w:type="dxa"/>
            <w:vMerge w:val="continue"/>
            <w:tcBorders>
              <w:left w:val="single" w:color="auto" w:sz="4" w:space="0"/>
              <w:right w:val="single" w:color="auto" w:sz="4" w:space="0"/>
            </w:tcBorders>
            <w:vAlign w:val="center"/>
          </w:tcPr>
          <w:p w14:paraId="3A1BA699">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sz w:val="24"/>
                <w:szCs w:val="24"/>
              </w:rPr>
            </w:pPr>
          </w:p>
        </w:tc>
        <w:tc>
          <w:tcPr>
            <w:tcW w:w="975" w:type="dxa"/>
            <w:tcBorders>
              <w:top w:val="nil"/>
              <w:left w:val="nil"/>
              <w:bottom w:val="single" w:color="auto" w:sz="4" w:space="0"/>
              <w:right w:val="single" w:color="auto" w:sz="4" w:space="0"/>
            </w:tcBorders>
            <w:vAlign w:val="center"/>
          </w:tcPr>
          <w:p w14:paraId="76B5E65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center"/>
              <w:textAlignment w:val="center"/>
              <w:rPr>
                <w:rFonts w:hint="default" w:ascii="宋体" w:hAnsi="宋体" w:eastAsia="宋体" w:cs="宋体"/>
                <w:sz w:val="24"/>
                <w:szCs w:val="24"/>
                <w:lang w:val="en-US" w:eastAsia="zh-CN"/>
              </w:rPr>
            </w:pPr>
            <w:r>
              <w:rPr>
                <w:rFonts w:hint="eastAsia" w:ascii="宋体" w:hAnsi="宋体" w:cs="宋体"/>
                <w:sz w:val="24"/>
                <w:szCs w:val="24"/>
                <w:lang w:val="en-US" w:eastAsia="zh-CN"/>
              </w:rPr>
              <w:t>核心产品</w:t>
            </w:r>
          </w:p>
        </w:tc>
        <w:tc>
          <w:tcPr>
            <w:tcW w:w="6728" w:type="dxa"/>
            <w:tcBorders>
              <w:top w:val="nil"/>
              <w:left w:val="nil"/>
              <w:bottom w:val="single" w:color="auto" w:sz="4" w:space="0"/>
              <w:right w:val="single" w:color="000000" w:sz="4" w:space="0"/>
            </w:tcBorders>
            <w:vAlign w:val="center"/>
          </w:tcPr>
          <w:p w14:paraId="605954B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left"/>
              <w:textAlignment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为体现产品耐用性，所投</w:t>
            </w:r>
            <w:r>
              <w:rPr>
                <w:rFonts w:hint="eastAsia" w:ascii="宋体" w:hAnsi="宋体" w:eastAsia="宋体" w:cs="宋体"/>
                <w:color w:val="auto"/>
                <w:sz w:val="24"/>
                <w:szCs w:val="24"/>
                <w:highlight w:val="none"/>
                <w:lang w:val="en-US" w:eastAsia="zh-CN"/>
              </w:rPr>
              <w:t>核心</w:t>
            </w:r>
            <w:r>
              <w:rPr>
                <w:rFonts w:hint="eastAsia" w:ascii="宋体" w:hAnsi="宋体" w:eastAsia="宋体" w:cs="宋体"/>
                <w:color w:val="auto"/>
                <w:sz w:val="24"/>
                <w:szCs w:val="24"/>
                <w:highlight w:val="none"/>
              </w:rPr>
              <w:t>产品</w:t>
            </w:r>
            <w:r>
              <w:rPr>
                <w:rFonts w:hint="eastAsia" w:ascii="宋体" w:hAnsi="宋体" w:eastAsia="宋体" w:cs="宋体"/>
                <w:color w:val="auto"/>
                <w:sz w:val="24"/>
                <w:szCs w:val="24"/>
                <w:highlight w:val="none"/>
                <w:lang w:val="en-US" w:eastAsia="zh-CN"/>
              </w:rPr>
              <w:t>（实训计算机）</w:t>
            </w:r>
            <w:r>
              <w:rPr>
                <w:rFonts w:hint="eastAsia" w:ascii="宋体" w:hAnsi="宋体" w:eastAsia="宋体" w:cs="宋体"/>
                <w:color w:val="auto"/>
                <w:sz w:val="24"/>
                <w:szCs w:val="24"/>
                <w:highlight w:val="none"/>
              </w:rPr>
              <w:t>整机通过盐雾试验及腐蚀试验评级试验，获得防腐认证测试合格得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分（提供第三方检验合格证书复印件加盖投标人公章为得分依据）</w:t>
            </w:r>
          </w:p>
        </w:tc>
        <w:tc>
          <w:tcPr>
            <w:tcW w:w="964" w:type="dxa"/>
            <w:tcBorders>
              <w:top w:val="nil"/>
              <w:left w:val="nil"/>
              <w:bottom w:val="single" w:color="auto" w:sz="4" w:space="0"/>
              <w:right w:val="single" w:color="000000" w:sz="4" w:space="0"/>
            </w:tcBorders>
            <w:vAlign w:val="center"/>
          </w:tcPr>
          <w:p w14:paraId="4C14E51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center"/>
              <w:textAlignment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r>
      <w:tr w14:paraId="2853FF18">
        <w:tblPrEx>
          <w:tblCellMar>
            <w:top w:w="0" w:type="dxa"/>
            <w:left w:w="108" w:type="dxa"/>
            <w:bottom w:w="0" w:type="dxa"/>
            <w:right w:w="108" w:type="dxa"/>
          </w:tblCellMar>
        </w:tblPrEx>
        <w:trPr>
          <w:trHeight w:val="1132" w:hRule="atLeast"/>
          <w:jc w:val="center"/>
        </w:trPr>
        <w:tc>
          <w:tcPr>
            <w:tcW w:w="1350" w:type="dxa"/>
            <w:vMerge w:val="continue"/>
            <w:tcBorders>
              <w:left w:val="single" w:color="auto" w:sz="4" w:space="0"/>
              <w:right w:val="single" w:color="auto" w:sz="4" w:space="0"/>
            </w:tcBorders>
            <w:vAlign w:val="center"/>
          </w:tcPr>
          <w:p w14:paraId="424C3602">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sz w:val="24"/>
                <w:szCs w:val="24"/>
              </w:rPr>
            </w:pPr>
          </w:p>
        </w:tc>
        <w:tc>
          <w:tcPr>
            <w:tcW w:w="975" w:type="dxa"/>
            <w:tcBorders>
              <w:top w:val="nil"/>
              <w:left w:val="nil"/>
              <w:bottom w:val="single" w:color="auto" w:sz="4" w:space="0"/>
              <w:right w:val="single" w:color="auto" w:sz="4" w:space="0"/>
            </w:tcBorders>
            <w:vAlign w:val="center"/>
          </w:tcPr>
          <w:p w14:paraId="37CAA88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center"/>
              <w:textAlignment w:val="center"/>
              <w:rPr>
                <w:rFonts w:hint="default" w:ascii="宋体" w:hAnsi="宋体" w:eastAsia="宋体" w:cs="宋体"/>
                <w:sz w:val="24"/>
                <w:szCs w:val="24"/>
                <w:lang w:val="en-US" w:eastAsia="zh-CN"/>
              </w:rPr>
            </w:pPr>
            <w:r>
              <w:rPr>
                <w:rFonts w:hint="eastAsia" w:ascii="宋体" w:hAnsi="宋体" w:cs="宋体"/>
                <w:sz w:val="24"/>
                <w:szCs w:val="24"/>
                <w:lang w:val="en-US" w:eastAsia="zh-CN"/>
              </w:rPr>
              <w:t>核心产品</w:t>
            </w:r>
          </w:p>
        </w:tc>
        <w:tc>
          <w:tcPr>
            <w:tcW w:w="6728" w:type="dxa"/>
            <w:tcBorders>
              <w:top w:val="nil"/>
              <w:left w:val="nil"/>
              <w:bottom w:val="single" w:color="auto" w:sz="4" w:space="0"/>
              <w:right w:val="single" w:color="000000" w:sz="4" w:space="0"/>
            </w:tcBorders>
            <w:vAlign w:val="center"/>
          </w:tcPr>
          <w:p w14:paraId="1C4B2321">
            <w:pPr>
              <w:pStyle w:val="8"/>
              <w:ind w:left="0" w:leftChars="0"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所投核心产品（实训计算机）</w:t>
            </w:r>
            <w:r>
              <w:rPr>
                <w:rFonts w:hint="default" w:ascii="宋体" w:hAnsi="宋体" w:eastAsia="宋体" w:cs="宋体"/>
                <w:color w:val="auto"/>
                <w:kern w:val="2"/>
                <w:sz w:val="24"/>
                <w:szCs w:val="24"/>
                <w:highlight w:val="none"/>
                <w:lang w:val="en-US" w:eastAsia="zh-CN" w:bidi="ar-SA"/>
              </w:rPr>
              <w:t>制造商实验室具备有效CNAS实验室认可证书，提供相应证明文件得2分，不提供不得分</w:t>
            </w:r>
            <w:r>
              <w:rPr>
                <w:rFonts w:hint="eastAsia" w:ascii="宋体" w:hAnsi="宋体" w:eastAsia="宋体" w:cs="宋体"/>
                <w:color w:val="auto"/>
                <w:kern w:val="2"/>
                <w:sz w:val="24"/>
                <w:szCs w:val="24"/>
                <w:highlight w:val="none"/>
                <w:lang w:val="en-US" w:eastAsia="zh-CN" w:bidi="ar-SA"/>
              </w:rPr>
              <w:t>（提供证书复印件加盖投标人公章为得分依据）</w:t>
            </w:r>
          </w:p>
        </w:tc>
        <w:tc>
          <w:tcPr>
            <w:tcW w:w="964" w:type="dxa"/>
            <w:tcBorders>
              <w:top w:val="nil"/>
              <w:left w:val="nil"/>
              <w:bottom w:val="single" w:color="auto" w:sz="4" w:space="0"/>
              <w:right w:val="single" w:color="000000" w:sz="4" w:space="0"/>
            </w:tcBorders>
            <w:vAlign w:val="center"/>
          </w:tcPr>
          <w:p w14:paraId="3C7AE60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center"/>
              <w:textAlignment w:val="center"/>
              <w:rPr>
                <w:rFonts w:hint="eastAsia" w:ascii="宋体" w:hAnsi="宋体" w:eastAsia="宋体" w:cs="宋体"/>
                <w:color w:val="0000FF"/>
                <w:sz w:val="24"/>
                <w:szCs w:val="24"/>
                <w:highlight w:val="none"/>
                <w:lang w:val="en-US" w:eastAsia="zh-CN"/>
              </w:rPr>
            </w:pPr>
            <w:r>
              <w:rPr>
                <w:rFonts w:hint="eastAsia" w:ascii="宋体" w:hAnsi="宋体" w:cs="宋体"/>
                <w:color w:val="auto"/>
                <w:sz w:val="24"/>
                <w:szCs w:val="24"/>
                <w:highlight w:val="none"/>
                <w:lang w:val="en-US" w:eastAsia="zh-CN"/>
              </w:rPr>
              <w:t>2</w:t>
            </w:r>
          </w:p>
        </w:tc>
      </w:tr>
      <w:tr w14:paraId="79CD987D">
        <w:tblPrEx>
          <w:tblCellMar>
            <w:top w:w="0" w:type="dxa"/>
            <w:left w:w="108" w:type="dxa"/>
            <w:bottom w:w="0" w:type="dxa"/>
            <w:right w:w="108" w:type="dxa"/>
          </w:tblCellMar>
        </w:tblPrEx>
        <w:trPr>
          <w:trHeight w:val="1212" w:hRule="atLeast"/>
          <w:jc w:val="center"/>
        </w:trPr>
        <w:tc>
          <w:tcPr>
            <w:tcW w:w="1350" w:type="dxa"/>
            <w:vMerge w:val="continue"/>
            <w:tcBorders>
              <w:left w:val="single" w:color="auto" w:sz="4" w:space="0"/>
              <w:right w:val="single" w:color="auto" w:sz="4" w:space="0"/>
            </w:tcBorders>
            <w:noWrap/>
            <w:vAlign w:val="center"/>
          </w:tcPr>
          <w:p w14:paraId="01EBE98A">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sz w:val="24"/>
                <w:szCs w:val="24"/>
              </w:rPr>
            </w:pPr>
          </w:p>
        </w:tc>
        <w:tc>
          <w:tcPr>
            <w:tcW w:w="975" w:type="dxa"/>
            <w:tcBorders>
              <w:top w:val="nil"/>
              <w:left w:val="nil"/>
              <w:bottom w:val="single" w:color="auto" w:sz="4" w:space="0"/>
              <w:right w:val="single" w:color="auto" w:sz="4" w:space="0"/>
            </w:tcBorders>
            <w:noWrap/>
            <w:vAlign w:val="center"/>
          </w:tcPr>
          <w:p w14:paraId="02601AD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center"/>
              <w:textAlignment w:val="center"/>
              <w:rPr>
                <w:rFonts w:hint="default" w:ascii="宋体" w:hAnsi="宋体" w:eastAsia="宋体" w:cs="宋体"/>
                <w:sz w:val="24"/>
                <w:szCs w:val="24"/>
                <w:lang w:val="en-US" w:eastAsia="zh-CN"/>
              </w:rPr>
            </w:pPr>
            <w:r>
              <w:rPr>
                <w:rFonts w:hint="eastAsia" w:ascii="宋体" w:hAnsi="宋体" w:eastAsia="宋体" w:cs="宋体"/>
                <w:color w:val="auto"/>
                <w:sz w:val="24"/>
                <w:szCs w:val="24"/>
                <w:highlight w:val="none"/>
              </w:rPr>
              <w:t>项目服务方案</w:t>
            </w:r>
          </w:p>
        </w:tc>
        <w:tc>
          <w:tcPr>
            <w:tcW w:w="6728" w:type="dxa"/>
            <w:tcBorders>
              <w:top w:val="nil"/>
              <w:left w:val="nil"/>
              <w:bottom w:val="single" w:color="auto" w:sz="4" w:space="0"/>
              <w:right w:val="single" w:color="000000" w:sz="4" w:space="0"/>
            </w:tcBorders>
            <w:vAlign w:val="center"/>
          </w:tcPr>
          <w:p w14:paraId="601BBB73">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left"/>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一、根据供应商提供的项目服务方案进行评审，包括但不限于以下4个方面：</w:t>
            </w:r>
          </w:p>
          <w:p w14:paraId="0A97F99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left"/>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（1）项目服务标准。</w:t>
            </w:r>
          </w:p>
          <w:p w14:paraId="07D3CF8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left"/>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（2）项目实施的各个阶段详细计划。</w:t>
            </w:r>
          </w:p>
          <w:p w14:paraId="307FFD4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left"/>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（3）项目实施过程中的管理及保障措施。</w:t>
            </w:r>
          </w:p>
          <w:p w14:paraId="496AA69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left"/>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（4）项目质量管理</w:t>
            </w:r>
          </w:p>
          <w:p w14:paraId="57ED8685">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left"/>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二、评审标准：</w:t>
            </w:r>
          </w:p>
          <w:p w14:paraId="5D1506C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left"/>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（1）完整性：方案完整，况切合本项目实际情况；</w:t>
            </w:r>
          </w:p>
          <w:p w14:paraId="02CE492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left"/>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（2）合理性：符合项目具体情况，提出方案及实施措施合理、恰当。</w:t>
            </w:r>
          </w:p>
          <w:p w14:paraId="1BD95FD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left"/>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对上述4项评审内容进行打分，每项评审内容完全满足2项评审标准的，得1分；仅满足1项的，得0.5分；其他情况不得分。最高得4分。</w:t>
            </w:r>
          </w:p>
        </w:tc>
        <w:tc>
          <w:tcPr>
            <w:tcW w:w="964" w:type="dxa"/>
            <w:tcBorders>
              <w:top w:val="nil"/>
              <w:left w:val="nil"/>
              <w:bottom w:val="single" w:color="auto" w:sz="4" w:space="0"/>
              <w:right w:val="single" w:color="000000" w:sz="4" w:space="0"/>
            </w:tcBorders>
            <w:vAlign w:val="center"/>
          </w:tcPr>
          <w:p w14:paraId="332BD44F">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center"/>
              <w:textAlignment w:val="center"/>
              <w:rPr>
                <w:rFonts w:hint="eastAsia" w:eastAsia="宋体"/>
                <w:sz w:val="24"/>
                <w:szCs w:val="24"/>
                <w:lang w:val="en-US" w:eastAsia="zh-CN"/>
              </w:rPr>
            </w:pPr>
            <w:r>
              <w:rPr>
                <w:rFonts w:hint="eastAsia" w:ascii="宋体" w:hAnsi="宋体" w:cs="宋体"/>
                <w:color w:val="auto"/>
                <w:sz w:val="24"/>
                <w:szCs w:val="24"/>
                <w:highlight w:val="none"/>
                <w:lang w:val="en-US" w:eastAsia="zh-CN"/>
              </w:rPr>
              <w:t>4</w:t>
            </w:r>
          </w:p>
        </w:tc>
      </w:tr>
      <w:tr w14:paraId="33227452">
        <w:tblPrEx>
          <w:tblCellMar>
            <w:top w:w="0" w:type="dxa"/>
            <w:left w:w="108" w:type="dxa"/>
            <w:bottom w:w="0" w:type="dxa"/>
            <w:right w:w="108" w:type="dxa"/>
          </w:tblCellMar>
        </w:tblPrEx>
        <w:trPr>
          <w:trHeight w:val="880" w:hRule="atLeast"/>
          <w:jc w:val="center"/>
        </w:trPr>
        <w:tc>
          <w:tcPr>
            <w:tcW w:w="1350" w:type="dxa"/>
            <w:vMerge w:val="continue"/>
            <w:tcBorders>
              <w:left w:val="single" w:color="auto" w:sz="4" w:space="0"/>
              <w:right w:val="single" w:color="auto" w:sz="4" w:space="0"/>
            </w:tcBorders>
            <w:vAlign w:val="center"/>
          </w:tcPr>
          <w:p w14:paraId="0AC072BA">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color w:val="000000" w:themeColor="text1"/>
                <w:sz w:val="24"/>
                <w:szCs w:val="24"/>
                <w14:textFill>
                  <w14:solidFill>
                    <w14:schemeClr w14:val="tx1"/>
                  </w14:solidFill>
                </w14:textFill>
              </w:rPr>
            </w:pPr>
          </w:p>
        </w:tc>
        <w:tc>
          <w:tcPr>
            <w:tcW w:w="975" w:type="dxa"/>
            <w:tcBorders>
              <w:top w:val="nil"/>
              <w:left w:val="nil"/>
              <w:bottom w:val="single" w:color="auto" w:sz="4" w:space="0"/>
              <w:right w:val="single" w:color="auto" w:sz="4" w:space="0"/>
            </w:tcBorders>
            <w:vAlign w:val="center"/>
          </w:tcPr>
          <w:p w14:paraId="300DCE0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center"/>
              <w:textAlignment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auto"/>
                <w:sz w:val="24"/>
                <w:szCs w:val="24"/>
                <w:highlight w:val="none"/>
              </w:rPr>
              <w:t>项目培训方案</w:t>
            </w:r>
          </w:p>
        </w:tc>
        <w:tc>
          <w:tcPr>
            <w:tcW w:w="6728" w:type="dxa"/>
            <w:tcBorders>
              <w:top w:val="nil"/>
              <w:left w:val="nil"/>
              <w:bottom w:val="single" w:color="auto" w:sz="4" w:space="0"/>
              <w:right w:val="single" w:color="000000" w:sz="4" w:space="0"/>
            </w:tcBorders>
            <w:vAlign w:val="center"/>
          </w:tcPr>
          <w:p w14:paraId="5C4AB1AA">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firstLine="0" w:firstLineChars="0"/>
              <w:jc w:val="left"/>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一、根据供应商提供的项目培训方案进行评审，包括但不限于以下4个方面：</w:t>
            </w:r>
          </w:p>
          <w:p w14:paraId="0A8AFD6C">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firstLine="0" w:firstLineChars="0"/>
              <w:jc w:val="left"/>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（1）培训时间计划</w:t>
            </w:r>
          </w:p>
          <w:p w14:paraId="1EAF9544">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firstLine="0" w:firstLineChars="0"/>
              <w:jc w:val="left"/>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（2）培训课程</w:t>
            </w:r>
          </w:p>
          <w:p w14:paraId="3288025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firstLine="0" w:firstLineChars="0"/>
              <w:jc w:val="left"/>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（3）培训人员安排</w:t>
            </w:r>
          </w:p>
          <w:p w14:paraId="14CBAF2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firstLine="0" w:firstLineChars="0"/>
              <w:jc w:val="left"/>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（4）培训成果验收</w:t>
            </w:r>
          </w:p>
          <w:p w14:paraId="41EA6F93">
            <w:pPr>
              <w:ind w:left="0" w:leftChars="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二、评审标准：</w:t>
            </w:r>
          </w:p>
          <w:p w14:paraId="136A0602">
            <w:pPr>
              <w:ind w:left="0" w:leftChars="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（1）完整性：方案完整，况切合本项目实际情况；</w:t>
            </w:r>
          </w:p>
          <w:p w14:paraId="01C9253C">
            <w:pPr>
              <w:ind w:left="0" w:leftChars="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（2）合理性：符合项目具体情况，提出方案及实施措施合理、恰当。</w:t>
            </w:r>
          </w:p>
          <w:p w14:paraId="55CC303A">
            <w:pPr>
              <w:pStyle w:val="8"/>
              <w:ind w:left="0" w:leftChars="0" w:firstLine="0" w:firstLineChars="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auto"/>
                <w:kern w:val="2"/>
                <w:sz w:val="24"/>
                <w:szCs w:val="24"/>
                <w:highlight w:val="none"/>
                <w:lang w:val="en-US" w:eastAsia="zh-CN" w:bidi="ar-SA"/>
              </w:rPr>
              <w:t>对上述4项评审内容进行打分，每项评审内容完全满足2项评审标准的，得1分；仅满足1项的，得0.5分；其他情况不得分。最高得4分。</w:t>
            </w:r>
          </w:p>
        </w:tc>
        <w:tc>
          <w:tcPr>
            <w:tcW w:w="964" w:type="dxa"/>
            <w:tcBorders>
              <w:top w:val="nil"/>
              <w:left w:val="nil"/>
              <w:bottom w:val="single" w:color="auto" w:sz="4" w:space="0"/>
              <w:right w:val="single" w:color="000000" w:sz="4" w:space="0"/>
            </w:tcBorders>
            <w:vAlign w:val="center"/>
          </w:tcPr>
          <w:p w14:paraId="68F7EC1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center"/>
              <w:textAlignment w:val="center"/>
              <w:rPr>
                <w:rFonts w:hint="eastAsia" w:eastAsia="宋体"/>
                <w:sz w:val="24"/>
                <w:szCs w:val="24"/>
                <w:lang w:val="en-US" w:eastAsia="zh-CN"/>
              </w:rPr>
            </w:pPr>
            <w:r>
              <w:rPr>
                <w:rFonts w:hint="eastAsia" w:ascii="宋体" w:hAnsi="宋体" w:cs="宋体"/>
                <w:color w:val="auto"/>
                <w:sz w:val="24"/>
                <w:szCs w:val="24"/>
                <w:highlight w:val="none"/>
                <w:lang w:val="en-US" w:eastAsia="zh-CN"/>
              </w:rPr>
              <w:t>4</w:t>
            </w:r>
          </w:p>
        </w:tc>
      </w:tr>
      <w:tr w14:paraId="39467A1E">
        <w:tblPrEx>
          <w:tblCellMar>
            <w:top w:w="0" w:type="dxa"/>
            <w:left w:w="108" w:type="dxa"/>
            <w:bottom w:w="0" w:type="dxa"/>
            <w:right w:w="108" w:type="dxa"/>
          </w:tblCellMar>
        </w:tblPrEx>
        <w:trPr>
          <w:trHeight w:val="1212" w:hRule="atLeast"/>
          <w:jc w:val="center"/>
        </w:trPr>
        <w:tc>
          <w:tcPr>
            <w:tcW w:w="1350" w:type="dxa"/>
            <w:vMerge w:val="continue"/>
            <w:tcBorders>
              <w:left w:val="single" w:color="auto" w:sz="4" w:space="0"/>
              <w:right w:val="single" w:color="auto" w:sz="4" w:space="0"/>
            </w:tcBorders>
            <w:vAlign w:val="center"/>
          </w:tcPr>
          <w:p w14:paraId="5117A042">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color w:val="000000" w:themeColor="text1"/>
                <w:sz w:val="24"/>
                <w:szCs w:val="24"/>
                <w14:textFill>
                  <w14:solidFill>
                    <w14:schemeClr w14:val="tx1"/>
                  </w14:solidFill>
                </w14:textFill>
              </w:rPr>
            </w:pPr>
          </w:p>
        </w:tc>
        <w:tc>
          <w:tcPr>
            <w:tcW w:w="975" w:type="dxa"/>
            <w:tcBorders>
              <w:top w:val="nil"/>
              <w:left w:val="nil"/>
              <w:bottom w:val="single" w:color="auto" w:sz="4" w:space="0"/>
              <w:right w:val="single" w:color="auto" w:sz="4" w:space="0"/>
            </w:tcBorders>
            <w:vAlign w:val="center"/>
          </w:tcPr>
          <w:p w14:paraId="78DF29D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center"/>
              <w:textAlignment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auto"/>
                <w:sz w:val="24"/>
                <w:szCs w:val="24"/>
                <w:highlight w:val="none"/>
              </w:rPr>
              <w:t>售后及运维方案</w:t>
            </w:r>
          </w:p>
        </w:tc>
        <w:tc>
          <w:tcPr>
            <w:tcW w:w="6728" w:type="dxa"/>
            <w:tcBorders>
              <w:top w:val="nil"/>
              <w:left w:val="nil"/>
              <w:bottom w:val="single" w:color="auto" w:sz="4" w:space="0"/>
              <w:right w:val="single" w:color="000000" w:sz="4" w:space="0"/>
            </w:tcBorders>
            <w:vAlign w:val="center"/>
          </w:tcPr>
          <w:p w14:paraId="5435356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firstLine="0" w:firstLineChars="0"/>
              <w:jc w:val="left"/>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一、根据供应商提供的售后及运维方案进行评审，包括但不限于以下2个方面：</w:t>
            </w:r>
          </w:p>
          <w:p w14:paraId="03B0717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firstLine="0" w:firstLineChars="0"/>
              <w:jc w:val="left"/>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（1）售后服务体系、售后响应时间。</w:t>
            </w:r>
          </w:p>
          <w:p w14:paraId="428923A2">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firstLine="0" w:firstLineChars="0"/>
              <w:jc w:val="left"/>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（2）运维服务方案。</w:t>
            </w:r>
          </w:p>
          <w:p w14:paraId="4A08B92C">
            <w:pPr>
              <w:ind w:left="0" w:leftChars="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二、评审标准：</w:t>
            </w:r>
          </w:p>
          <w:p w14:paraId="590AC159">
            <w:pPr>
              <w:ind w:left="0" w:leftChars="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（1）完整性：方案完整，况切合本项目实际情况；</w:t>
            </w:r>
          </w:p>
          <w:p w14:paraId="619C5CD7">
            <w:pPr>
              <w:ind w:left="0" w:leftChars="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（2）合理性：符合项目具体情况，提出方案及实施措施合理、恰当。</w:t>
            </w:r>
          </w:p>
          <w:p w14:paraId="0FD44E6A">
            <w:pPr>
              <w:pStyle w:val="8"/>
              <w:ind w:left="0" w:leftChars="0"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对上述</w:t>
            </w:r>
            <w:r>
              <w:rPr>
                <w:rFonts w:hint="default" w:ascii="宋体" w:hAnsi="宋体" w:eastAsia="宋体" w:cs="宋体"/>
                <w:color w:val="auto"/>
                <w:kern w:val="2"/>
                <w:sz w:val="24"/>
                <w:szCs w:val="24"/>
                <w:highlight w:val="none"/>
                <w:lang w:val="en-US" w:eastAsia="zh-CN" w:bidi="ar-SA"/>
              </w:rPr>
              <w:t>2</w:t>
            </w:r>
            <w:r>
              <w:rPr>
                <w:rFonts w:hint="eastAsia" w:ascii="宋体" w:hAnsi="宋体" w:eastAsia="宋体" w:cs="宋体"/>
                <w:color w:val="auto"/>
                <w:kern w:val="2"/>
                <w:sz w:val="24"/>
                <w:szCs w:val="24"/>
                <w:highlight w:val="none"/>
                <w:lang w:val="en-US" w:eastAsia="zh-CN" w:bidi="ar-SA"/>
              </w:rPr>
              <w:t>项评审内容进行打分，每项评审内容完全满足2项评审标准的，得1分；仅满足1项的，得0.5分；其他情况不得分。最高得</w:t>
            </w:r>
            <w:r>
              <w:rPr>
                <w:rFonts w:hint="default" w:ascii="宋体" w:hAnsi="宋体" w:eastAsia="宋体" w:cs="宋体"/>
                <w:color w:val="auto"/>
                <w:kern w:val="2"/>
                <w:sz w:val="24"/>
                <w:szCs w:val="24"/>
                <w:highlight w:val="none"/>
                <w:lang w:val="en-US" w:eastAsia="zh-CN" w:bidi="ar-SA"/>
              </w:rPr>
              <w:t>2</w:t>
            </w:r>
            <w:r>
              <w:rPr>
                <w:rFonts w:hint="eastAsia" w:ascii="宋体" w:hAnsi="宋体" w:eastAsia="宋体" w:cs="宋体"/>
                <w:color w:val="auto"/>
                <w:kern w:val="2"/>
                <w:sz w:val="24"/>
                <w:szCs w:val="24"/>
                <w:highlight w:val="none"/>
                <w:lang w:val="en-US" w:eastAsia="zh-CN" w:bidi="ar-SA"/>
              </w:rPr>
              <w:t>分。</w:t>
            </w:r>
          </w:p>
        </w:tc>
        <w:tc>
          <w:tcPr>
            <w:tcW w:w="964" w:type="dxa"/>
            <w:tcBorders>
              <w:top w:val="nil"/>
              <w:left w:val="nil"/>
              <w:bottom w:val="single" w:color="auto" w:sz="4" w:space="0"/>
              <w:right w:val="single" w:color="000000" w:sz="4" w:space="0"/>
            </w:tcBorders>
            <w:vAlign w:val="center"/>
          </w:tcPr>
          <w:p w14:paraId="03AE57CE">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center"/>
              <w:textAlignment w:val="center"/>
              <w:rPr>
                <w:rFonts w:hint="eastAsia" w:eastAsia="宋体"/>
                <w:sz w:val="24"/>
                <w:szCs w:val="24"/>
                <w:lang w:val="en-US" w:eastAsia="zh-CN"/>
              </w:rPr>
            </w:pPr>
            <w:r>
              <w:rPr>
                <w:rFonts w:hint="eastAsia" w:ascii="宋体" w:hAnsi="宋体" w:cs="宋体"/>
                <w:color w:val="auto"/>
                <w:sz w:val="24"/>
                <w:szCs w:val="24"/>
                <w:highlight w:val="none"/>
                <w:lang w:val="en-US" w:eastAsia="zh-CN"/>
              </w:rPr>
              <w:t>2</w:t>
            </w:r>
          </w:p>
        </w:tc>
      </w:tr>
      <w:tr w14:paraId="4FECA712">
        <w:tblPrEx>
          <w:tblCellMar>
            <w:top w:w="0" w:type="dxa"/>
            <w:left w:w="108" w:type="dxa"/>
            <w:bottom w:w="0" w:type="dxa"/>
            <w:right w:w="108" w:type="dxa"/>
          </w:tblCellMar>
        </w:tblPrEx>
        <w:trPr>
          <w:trHeight w:val="849" w:hRule="atLeast"/>
          <w:jc w:val="center"/>
        </w:trPr>
        <w:tc>
          <w:tcPr>
            <w:tcW w:w="1350" w:type="dxa"/>
            <w:vMerge w:val="continue"/>
            <w:tcBorders>
              <w:left w:val="single" w:color="auto" w:sz="4" w:space="0"/>
              <w:bottom w:val="single" w:color="auto" w:sz="4" w:space="0"/>
              <w:right w:val="single" w:color="auto" w:sz="4" w:space="0"/>
            </w:tcBorders>
            <w:vAlign w:val="center"/>
          </w:tcPr>
          <w:p w14:paraId="742DA759">
            <w:pPr>
              <w:keepNext w:val="0"/>
              <w:keepLines w:val="0"/>
              <w:widowControl/>
              <w:suppressLineNumbers w:val="0"/>
              <w:spacing w:before="0" w:beforeAutospacing="0" w:after="0" w:afterAutospacing="0"/>
              <w:ind w:left="0" w:leftChars="0" w:right="0" w:firstLine="0" w:firstLineChars="0"/>
              <w:jc w:val="center"/>
              <w:rPr>
                <w:rFonts w:hint="eastAsia" w:ascii="宋体" w:hAnsi="宋体" w:eastAsia="宋体" w:cs="宋体"/>
                <w:color w:val="000000" w:themeColor="text1"/>
                <w:sz w:val="24"/>
                <w:szCs w:val="24"/>
                <w14:textFill>
                  <w14:solidFill>
                    <w14:schemeClr w14:val="tx1"/>
                  </w14:solidFill>
                </w14:textFill>
              </w:rPr>
            </w:pPr>
          </w:p>
        </w:tc>
        <w:tc>
          <w:tcPr>
            <w:tcW w:w="975" w:type="dxa"/>
            <w:tcBorders>
              <w:top w:val="nil"/>
              <w:left w:val="nil"/>
              <w:bottom w:val="single" w:color="auto" w:sz="4" w:space="0"/>
              <w:right w:val="single" w:color="auto" w:sz="4" w:space="0"/>
            </w:tcBorders>
            <w:vAlign w:val="center"/>
          </w:tcPr>
          <w:p w14:paraId="413760C1">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center"/>
              <w:textAlignment w:val="center"/>
              <w:rPr>
                <w:rFonts w:hint="default"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kern w:val="0"/>
                <w:sz w:val="24"/>
                <w:szCs w:val="24"/>
              </w:rPr>
              <w:t>项目应急方案</w:t>
            </w:r>
          </w:p>
        </w:tc>
        <w:tc>
          <w:tcPr>
            <w:tcW w:w="6728" w:type="dxa"/>
            <w:tcBorders>
              <w:top w:val="nil"/>
              <w:left w:val="nil"/>
              <w:bottom w:val="single" w:color="auto" w:sz="4" w:space="0"/>
              <w:right w:val="single" w:color="000000" w:sz="4" w:space="0"/>
            </w:tcBorders>
            <w:vAlign w:val="center"/>
          </w:tcPr>
          <w:p w14:paraId="38E780AD">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firstLine="0" w:firstLineChars="0"/>
              <w:jc w:val="left"/>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根据供应商提供的项目应急方案进行评审，包括但不限于以下2个方面：</w:t>
            </w:r>
          </w:p>
          <w:p w14:paraId="21AEF8CA">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firstLine="0" w:firstLineChars="0"/>
              <w:jc w:val="left"/>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（1）突发状况应急保障措施。</w:t>
            </w:r>
          </w:p>
          <w:p w14:paraId="629EEF2B">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firstLine="0" w:firstLineChars="0"/>
              <w:jc w:val="left"/>
              <w:textAlignment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（2）系统故障预警实施方案。</w:t>
            </w:r>
          </w:p>
          <w:p w14:paraId="643A33D3">
            <w:pPr>
              <w:ind w:left="0" w:leftChars="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二、评审标准：</w:t>
            </w:r>
          </w:p>
          <w:p w14:paraId="0DC5ED31">
            <w:pPr>
              <w:ind w:left="0" w:leftChars="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（1）完整性：方案完整，况切合本项目实际情况；</w:t>
            </w:r>
          </w:p>
          <w:p w14:paraId="2D4652DE">
            <w:pPr>
              <w:ind w:left="0" w:leftChars="0" w:firstLine="0" w:firstLine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（2）合理性：符合项目具体情况，提出方案及实施措施合理、恰当。</w:t>
            </w:r>
          </w:p>
          <w:p w14:paraId="68C8862D">
            <w:pPr>
              <w:pStyle w:val="8"/>
              <w:ind w:left="0" w:leftChars="0" w:firstLine="0" w:firstLine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对上述2项评审内容进行打分，每项评审内容完全满足2项评审标准的，得1分；仅满足1项的，得0.5分；其他情况不得分。最高得2分。</w:t>
            </w:r>
          </w:p>
        </w:tc>
        <w:tc>
          <w:tcPr>
            <w:tcW w:w="964" w:type="dxa"/>
            <w:tcBorders>
              <w:top w:val="nil"/>
              <w:left w:val="nil"/>
              <w:bottom w:val="single" w:color="auto" w:sz="4" w:space="0"/>
              <w:right w:val="single" w:color="000000" w:sz="4" w:space="0"/>
            </w:tcBorders>
            <w:vAlign w:val="center"/>
          </w:tcPr>
          <w:p w14:paraId="2EF141B8">
            <w:pPr>
              <w:keepNext w:val="0"/>
              <w:keepLines w:val="0"/>
              <w:pageBreakBefore w:val="0"/>
              <w:widowControl w:val="0"/>
              <w:numPr>
                <w:ilvl w:val="0"/>
                <w:numId w:val="0"/>
              </w:numPr>
              <w:kinsoku/>
              <w:wordWrap/>
              <w:overflowPunct/>
              <w:topLinePunct w:val="0"/>
              <w:autoSpaceDE w:val="0"/>
              <w:autoSpaceDN w:val="0"/>
              <w:bidi w:val="0"/>
              <w:adjustRightInd w:val="0"/>
              <w:snapToGrid w:val="0"/>
              <w:spacing w:line="264" w:lineRule="auto"/>
              <w:ind w:left="0" w:leftChars="0" w:firstLine="0" w:firstLineChars="0"/>
              <w:jc w:val="center"/>
              <w:textAlignment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r>
    </w:tbl>
    <w:p w14:paraId="0E01E812">
      <w:pPr>
        <w:rPr>
          <w:rFonts w:hint="eastAsia" w:ascii="Cambria" w:hAnsi="Cambria" w:eastAsia="宋体" w:cs="Times New Roman"/>
          <w:b/>
          <w:kern w:val="2"/>
          <w:sz w:val="30"/>
          <w:szCs w:val="30"/>
          <w:lang w:val="en-US" w:eastAsia="zh-CN" w:bidi="ar-SA"/>
        </w:rPr>
      </w:pPr>
    </w:p>
    <w:p w14:paraId="111CA6C0">
      <w:pPr>
        <w:rPr>
          <w:rFonts w:hint="eastAsia" w:ascii="Cambria" w:hAnsi="Cambria" w:eastAsia="宋体" w:cs="Times New Roman"/>
          <w:b/>
          <w:kern w:val="2"/>
          <w:sz w:val="30"/>
          <w:szCs w:val="30"/>
          <w:lang w:val="en-US" w:eastAsia="zh-CN" w:bidi="ar-SA"/>
        </w:rPr>
      </w:pPr>
    </w:p>
    <w:p w14:paraId="0EEAF4DD">
      <w:pPr>
        <w:rPr>
          <w:rFonts w:hint="eastAsia" w:ascii="Cambria" w:hAnsi="Cambria" w:eastAsia="宋体" w:cs="Times New Roman"/>
          <w:b/>
          <w:kern w:val="2"/>
          <w:sz w:val="30"/>
          <w:szCs w:val="30"/>
          <w:lang w:val="en-US" w:eastAsia="zh-CN" w:bidi="ar-SA"/>
        </w:rPr>
      </w:pPr>
    </w:p>
    <w:p w14:paraId="7E148B8E">
      <w:pPr>
        <w:rPr>
          <w:rFonts w:hint="eastAsia"/>
          <w:lang w:val="en-US" w:eastAsia="zh-CN"/>
        </w:rPr>
      </w:pPr>
      <w:bookmarkStart w:id="18" w:name="_Toc3027"/>
      <w:r>
        <w:rPr>
          <w:rFonts w:hint="eastAsia"/>
          <w:lang w:val="en-US" w:eastAsia="zh-CN"/>
        </w:rPr>
        <w:br w:type="page"/>
      </w:r>
    </w:p>
    <w:p w14:paraId="191DAF95">
      <w:pPr>
        <w:pStyle w:val="3"/>
        <w:ind w:firstLine="0" w:firstLineChars="0"/>
        <w:jc w:val="center"/>
        <w:rPr>
          <w:rFonts w:hint="default"/>
          <w:lang w:val="en-US" w:eastAsia="zh-CN"/>
        </w:rPr>
      </w:pPr>
      <w:r>
        <w:rPr>
          <w:rFonts w:hint="eastAsia"/>
          <w:lang w:val="en-US" w:eastAsia="zh-CN"/>
        </w:rPr>
        <w:t>第四部分政府采购合同模版</w:t>
      </w:r>
      <w:bookmarkEnd w:id="18"/>
    </w:p>
    <w:p w14:paraId="661D7414">
      <w:pPr>
        <w:spacing w:after="62" w:line="440" w:lineRule="exact"/>
        <w:ind w:firstLine="480"/>
        <w:rPr>
          <w:rFonts w:hint="eastAsia" w:ascii="宋体" w:hAnsi="宋体" w:eastAsia="宋体" w:cs="宋体"/>
          <w:color w:val="0D0D0D"/>
          <w:position w:val="6"/>
          <w:szCs w:val="24"/>
        </w:rPr>
      </w:pPr>
      <w:r>
        <w:rPr>
          <w:rFonts w:hint="eastAsia" w:ascii="宋体" w:hAnsi="宋体" w:eastAsia="宋体" w:cs="宋体"/>
          <w:bCs/>
          <w:szCs w:val="24"/>
        </w:rPr>
        <w:t>（根据</w:t>
      </w:r>
      <w:r>
        <w:rPr>
          <w:rFonts w:hint="eastAsia" w:ascii="宋体" w:hAnsi="宋体" w:eastAsia="宋体" w:cs="宋体"/>
        </w:rPr>
        <w:t>《政府采购需求管理办法》</w:t>
      </w:r>
      <w:r>
        <w:rPr>
          <w:rFonts w:hint="eastAsia" w:ascii="宋体" w:hAnsi="宋体" w:eastAsia="宋体" w:cs="宋体"/>
          <w:bCs/>
          <w:szCs w:val="24"/>
        </w:rPr>
        <w:t>和《中华人民共和国民法典》相关规定，采购人和成交供应商之间的权利和义务，应当按照平等、自愿的原则以合同方式约定。此合同书仅作为签订正式合同时的参考，正式合同书应包括本参考格式之内容。）</w:t>
      </w:r>
    </w:p>
    <w:p w14:paraId="59199572">
      <w:pPr>
        <w:jc w:val="center"/>
        <w:rPr>
          <w:rFonts w:hint="eastAsia" w:ascii="黑体" w:hAnsi="黑体" w:eastAsia="黑体"/>
          <w:b/>
          <w:snapToGrid w:val="0"/>
          <w:sz w:val="69"/>
          <w:szCs w:val="21"/>
          <w:lang w:eastAsia="zh-CN"/>
        </w:rPr>
      </w:pPr>
    </w:p>
    <w:p w14:paraId="744F4450">
      <w:pPr>
        <w:ind w:left="0" w:leftChars="0" w:firstLine="0" w:firstLineChars="0"/>
        <w:jc w:val="center"/>
        <w:rPr>
          <w:rFonts w:hint="eastAsia" w:ascii="黑体" w:hAnsi="黑体" w:eastAsia="黑体"/>
          <w:b/>
          <w:snapToGrid w:val="0"/>
          <w:sz w:val="69"/>
          <w:szCs w:val="21"/>
        </w:rPr>
      </w:pPr>
      <w:r>
        <w:rPr>
          <w:rFonts w:hint="eastAsia" w:ascii="黑体" w:hAnsi="黑体" w:eastAsia="黑体"/>
          <w:b/>
          <w:snapToGrid w:val="0"/>
          <w:sz w:val="69"/>
          <w:szCs w:val="21"/>
        </w:rPr>
        <w:t>武汉市东西湖职业技术学校</w:t>
      </w:r>
    </w:p>
    <w:p w14:paraId="764345B6">
      <w:pPr>
        <w:ind w:left="0" w:leftChars="0" w:firstLine="0" w:firstLineChars="0"/>
        <w:jc w:val="center"/>
        <w:rPr>
          <w:rFonts w:hint="eastAsia" w:ascii="黑体" w:hAnsi="黑体" w:eastAsia="黑体"/>
          <w:b/>
          <w:snapToGrid w:val="0"/>
          <w:sz w:val="69"/>
          <w:szCs w:val="21"/>
        </w:rPr>
      </w:pPr>
      <w:r>
        <w:rPr>
          <w:rFonts w:hint="eastAsia" w:ascii="黑体" w:hAnsi="黑体" w:eastAsia="黑体"/>
          <w:b/>
          <w:snapToGrid w:val="0"/>
          <w:sz w:val="69"/>
          <w:szCs w:val="21"/>
          <w:lang w:eastAsia="zh-CN"/>
        </w:rPr>
        <w:t>货物类</w:t>
      </w:r>
      <w:r>
        <w:rPr>
          <w:rFonts w:hint="eastAsia" w:ascii="黑体" w:hAnsi="黑体" w:eastAsia="黑体"/>
          <w:b/>
          <w:snapToGrid w:val="0"/>
          <w:sz w:val="69"/>
          <w:szCs w:val="21"/>
        </w:rPr>
        <w:t>采购项目</w:t>
      </w:r>
    </w:p>
    <w:p w14:paraId="4AB797EE">
      <w:pPr>
        <w:rPr>
          <w:rFonts w:hint="eastAsia" w:ascii="宋体" w:hAnsi="宋体"/>
          <w:b/>
          <w:snapToGrid w:val="0"/>
          <w:sz w:val="30"/>
          <w:szCs w:val="30"/>
        </w:rPr>
      </w:pPr>
    </w:p>
    <w:p w14:paraId="1F06D048">
      <w:pPr>
        <w:rPr>
          <w:rFonts w:hint="eastAsia" w:ascii="宋体" w:hAnsi="宋体"/>
          <w:b/>
          <w:snapToGrid w:val="0"/>
          <w:sz w:val="30"/>
          <w:szCs w:val="30"/>
        </w:rPr>
      </w:pPr>
    </w:p>
    <w:p w14:paraId="65D4F9D8">
      <w:pPr>
        <w:jc w:val="center"/>
        <w:rPr>
          <w:rFonts w:hint="eastAsia" w:ascii="宋体" w:hAnsi="宋体"/>
          <w:b/>
          <w:snapToGrid w:val="0"/>
          <w:sz w:val="69"/>
          <w:szCs w:val="21"/>
        </w:rPr>
      </w:pPr>
      <w:r>
        <w:rPr>
          <w:rFonts w:hint="eastAsia" w:ascii="宋体" w:hAnsi="宋体"/>
          <w:b/>
          <w:snapToGrid w:val="0"/>
          <w:sz w:val="69"/>
          <w:szCs w:val="21"/>
        </w:rPr>
        <w:t>合</w:t>
      </w:r>
    </w:p>
    <w:p w14:paraId="76476375">
      <w:pPr>
        <w:jc w:val="center"/>
        <w:rPr>
          <w:rFonts w:hint="eastAsia" w:ascii="宋体" w:hAnsi="宋体"/>
          <w:b/>
          <w:snapToGrid w:val="0"/>
          <w:sz w:val="69"/>
          <w:szCs w:val="21"/>
        </w:rPr>
      </w:pPr>
      <w:r>
        <w:rPr>
          <w:rFonts w:hint="eastAsia" w:ascii="宋体" w:hAnsi="宋体"/>
          <w:b/>
          <w:snapToGrid w:val="0"/>
          <w:sz w:val="69"/>
          <w:szCs w:val="21"/>
        </w:rPr>
        <w:t>同</w:t>
      </w:r>
    </w:p>
    <w:p w14:paraId="64C11800">
      <w:pPr>
        <w:jc w:val="center"/>
        <w:rPr>
          <w:rFonts w:hint="eastAsia" w:ascii="宋体" w:hAnsi="宋体"/>
          <w:b/>
          <w:snapToGrid w:val="0"/>
          <w:sz w:val="69"/>
          <w:szCs w:val="21"/>
        </w:rPr>
      </w:pPr>
      <w:r>
        <w:rPr>
          <w:rFonts w:hint="eastAsia" w:ascii="宋体" w:hAnsi="宋体"/>
          <w:b/>
          <w:snapToGrid w:val="0"/>
          <w:sz w:val="69"/>
          <w:szCs w:val="21"/>
        </w:rPr>
        <w:t>书</w:t>
      </w:r>
    </w:p>
    <w:p w14:paraId="63DA2AEA">
      <w:pPr>
        <w:jc w:val="center"/>
        <w:rPr>
          <w:rFonts w:hint="eastAsia" w:ascii="宋体" w:hAnsi="宋体"/>
          <w:snapToGrid w:val="0"/>
          <w:sz w:val="69"/>
          <w:szCs w:val="21"/>
        </w:rPr>
      </w:pPr>
    </w:p>
    <w:p w14:paraId="66998804">
      <w:pPr>
        <w:jc w:val="center"/>
        <w:rPr>
          <w:rFonts w:hint="eastAsia" w:ascii="宋体" w:hAnsi="宋体"/>
          <w:sz w:val="84"/>
          <w:szCs w:val="84"/>
        </w:rPr>
      </w:pPr>
    </w:p>
    <w:p w14:paraId="329AAC2B">
      <w:pPr>
        <w:tabs>
          <w:tab w:val="left" w:pos="1035"/>
        </w:tabs>
        <w:ind w:firstLine="1958" w:firstLineChars="576"/>
        <w:jc w:val="left"/>
        <w:rPr>
          <w:rFonts w:hint="eastAsia" w:ascii="宋体" w:hAnsi="宋体"/>
          <w:sz w:val="34"/>
          <w:u w:val="single"/>
        </w:rPr>
      </w:pPr>
      <w:r>
        <w:rPr>
          <w:rFonts w:hint="eastAsia" w:ascii="宋体" w:hAnsi="宋体"/>
          <w:sz w:val="34"/>
        </w:rPr>
        <w:t>甲方：</w:t>
      </w:r>
      <w:r>
        <w:rPr>
          <w:rFonts w:hint="eastAsia" w:ascii="宋体" w:hAnsi="宋体"/>
          <w:sz w:val="34"/>
          <w:u w:val="single"/>
        </w:rPr>
        <w:t>武汉市东西湖职业技术学校</w:t>
      </w:r>
    </w:p>
    <w:p w14:paraId="1ED23BA0">
      <w:pPr>
        <w:tabs>
          <w:tab w:val="left" w:pos="1035"/>
        </w:tabs>
        <w:ind w:firstLine="1958" w:firstLineChars="576"/>
        <w:jc w:val="left"/>
        <w:rPr>
          <w:rFonts w:hint="default" w:ascii="宋体" w:hAnsi="宋体" w:eastAsia="宋体"/>
          <w:sz w:val="34"/>
          <w:u w:val="single"/>
          <w:lang w:val="en-US" w:eastAsia="zh-CN"/>
        </w:rPr>
      </w:pPr>
      <w:r>
        <w:rPr>
          <w:rFonts w:hint="eastAsia" w:ascii="宋体" w:hAnsi="宋体"/>
          <w:sz w:val="34"/>
        </w:rPr>
        <w:t>乙方：</w:t>
      </w:r>
    </w:p>
    <w:p w14:paraId="45BC8E0B">
      <w:pPr>
        <w:tabs>
          <w:tab w:val="left" w:pos="1035"/>
        </w:tabs>
        <w:jc w:val="center"/>
        <w:rPr>
          <w:rFonts w:hint="eastAsia" w:ascii="宋体" w:hAnsi="宋体"/>
          <w:sz w:val="48"/>
        </w:rPr>
      </w:pPr>
    </w:p>
    <w:p w14:paraId="31F47A58">
      <w:pPr>
        <w:tabs>
          <w:tab w:val="left" w:pos="1035"/>
        </w:tabs>
        <w:jc w:val="center"/>
        <w:rPr>
          <w:rFonts w:hint="eastAsia" w:ascii="宋体" w:hAnsi="宋体"/>
          <w:sz w:val="36"/>
          <w:szCs w:val="36"/>
        </w:rPr>
      </w:pPr>
      <w:r>
        <w:rPr>
          <w:rFonts w:hint="eastAsia" w:ascii="宋体" w:hAnsi="宋体"/>
          <w:sz w:val="36"/>
          <w:szCs w:val="36"/>
        </w:rPr>
        <w:t>202</w:t>
      </w:r>
      <w:r>
        <w:rPr>
          <w:rFonts w:hint="eastAsia" w:ascii="宋体" w:hAnsi="宋体"/>
          <w:sz w:val="36"/>
          <w:szCs w:val="36"/>
          <w:lang w:val="en-US" w:eastAsia="zh-CN"/>
        </w:rPr>
        <w:t>6</w:t>
      </w:r>
      <w:r>
        <w:rPr>
          <w:rFonts w:hint="eastAsia" w:ascii="宋体" w:hAnsi="宋体"/>
          <w:sz w:val="36"/>
          <w:szCs w:val="36"/>
        </w:rPr>
        <w:t>年月</w:t>
      </w:r>
    </w:p>
    <w:p w14:paraId="24D77475">
      <w:pPr>
        <w:spacing w:line="480" w:lineRule="auto"/>
        <w:jc w:val="center"/>
        <w:rPr>
          <w:rFonts w:hint="eastAsia" w:ascii="黑体" w:hAnsi="黑体" w:eastAsia="黑体" w:cs="Arial"/>
          <w:b/>
          <w:bCs/>
          <w:sz w:val="32"/>
          <w:szCs w:val="44"/>
          <w:u w:val="single"/>
        </w:rPr>
      </w:pPr>
    </w:p>
    <w:p w14:paraId="72D69012">
      <w:pPr>
        <w:spacing w:line="480" w:lineRule="auto"/>
        <w:jc w:val="center"/>
        <w:rPr>
          <w:rFonts w:ascii="黑体" w:hAnsi="黑体" w:eastAsia="黑体" w:cs="Arial"/>
          <w:b/>
          <w:bCs/>
          <w:sz w:val="44"/>
          <w:szCs w:val="44"/>
        </w:rPr>
      </w:pPr>
      <w:r>
        <w:rPr>
          <w:rFonts w:hint="eastAsia" w:ascii="黑体" w:hAnsi="黑体" w:eastAsia="黑体" w:cs="Arial"/>
          <w:b/>
          <w:bCs/>
          <w:sz w:val="32"/>
          <w:szCs w:val="44"/>
          <w:u w:val="single"/>
        </w:rPr>
        <w:t>武汉市东西湖职业技术学校采购</w:t>
      </w:r>
      <w:r>
        <w:rPr>
          <w:rFonts w:hint="eastAsia" w:ascii="黑体" w:hAnsi="黑体" w:eastAsia="黑体" w:cs="Arial"/>
          <w:b/>
          <w:bCs/>
          <w:sz w:val="32"/>
          <w:szCs w:val="44"/>
        </w:rPr>
        <w:t>项目</w:t>
      </w:r>
    </w:p>
    <w:p w14:paraId="37BFFFBC">
      <w:pPr>
        <w:spacing w:line="480" w:lineRule="auto"/>
        <w:jc w:val="center"/>
        <w:rPr>
          <w:rFonts w:hint="eastAsia" w:ascii="黑体" w:hAnsi="黑体" w:eastAsia="黑体" w:cs="Arial"/>
          <w:b/>
          <w:bCs/>
          <w:sz w:val="44"/>
          <w:szCs w:val="44"/>
        </w:rPr>
      </w:pPr>
      <w:r>
        <w:rPr>
          <w:rFonts w:hint="eastAsia" w:ascii="黑体" w:hAnsi="黑体" w:eastAsia="黑体" w:cs="Arial"/>
          <w:b/>
          <w:bCs/>
          <w:sz w:val="44"/>
          <w:szCs w:val="44"/>
        </w:rPr>
        <w:t>采购合同</w:t>
      </w:r>
    </w:p>
    <w:p w14:paraId="7E1C3E7F">
      <w:pPr>
        <w:spacing w:line="480" w:lineRule="auto"/>
        <w:ind w:right="1037"/>
        <w:jc w:val="center"/>
        <w:rPr>
          <w:rFonts w:hint="eastAsia" w:eastAsia="仿宋"/>
          <w:szCs w:val="28"/>
          <w:lang w:eastAsia="zh-CN"/>
        </w:rPr>
      </w:pPr>
      <w:r>
        <w:rPr>
          <w:rFonts w:hint="eastAsia" w:eastAsia="仿宋"/>
          <w:szCs w:val="28"/>
        </w:rPr>
        <w:t>合同编号：DXHZX--</w:t>
      </w:r>
      <w:r>
        <w:rPr>
          <w:rFonts w:hint="eastAsia" w:eastAsia="仿宋"/>
          <w:szCs w:val="28"/>
          <w:lang w:val="en-US" w:eastAsia="zh-CN"/>
        </w:rPr>
        <w:t>SB</w:t>
      </w:r>
      <w:r>
        <w:rPr>
          <w:rFonts w:hint="eastAsia" w:eastAsia="仿宋"/>
          <w:szCs w:val="28"/>
        </w:rPr>
        <w:t>-202</w:t>
      </w:r>
      <w:r>
        <w:rPr>
          <w:rFonts w:hint="eastAsia" w:eastAsia="仿宋"/>
          <w:szCs w:val="28"/>
          <w:lang w:val="en-US" w:eastAsia="zh-CN"/>
        </w:rPr>
        <w:t>6</w:t>
      </w:r>
      <w:r>
        <w:rPr>
          <w:rFonts w:hint="eastAsia" w:eastAsia="仿宋"/>
          <w:szCs w:val="28"/>
        </w:rPr>
        <w:t>-</w:t>
      </w:r>
    </w:p>
    <w:p w14:paraId="2B6A49F7">
      <w:pPr>
        <w:spacing w:line="360" w:lineRule="auto"/>
        <w:ind w:firstLine="480" w:firstLineChars="200"/>
        <w:jc w:val="left"/>
        <w:rPr>
          <w:rFonts w:ascii="宋体" w:hAnsi="宋体"/>
          <w:color w:val="000000"/>
          <w:sz w:val="24"/>
        </w:rPr>
      </w:pPr>
      <w:r>
        <w:rPr>
          <w:rFonts w:hint="eastAsia" w:ascii="宋体" w:hAnsi="宋体"/>
          <w:sz w:val="24"/>
        </w:rPr>
        <w:t>根据《中华人民共和国政府采</w:t>
      </w:r>
      <w:r>
        <w:rPr>
          <w:rFonts w:hint="eastAsia" w:ascii="宋体" w:hAnsi="宋体"/>
          <w:color w:val="000000"/>
          <w:sz w:val="24"/>
        </w:rPr>
        <w:t>购法》、《中华人民共和国</w:t>
      </w:r>
      <w:r>
        <w:rPr>
          <w:rFonts w:hint="eastAsia" w:ascii="宋体" w:hAnsi="宋体"/>
          <w:color w:val="000000"/>
          <w:sz w:val="24"/>
          <w:lang w:eastAsia="zh-CN"/>
        </w:rPr>
        <w:t>民法典</w:t>
      </w:r>
      <w:r>
        <w:rPr>
          <w:rFonts w:hint="eastAsia" w:ascii="宋体" w:hAnsi="宋体"/>
          <w:color w:val="000000"/>
          <w:sz w:val="24"/>
        </w:rPr>
        <w:t>》之规定，经甲乙双方充分协商，本着公平、公正、公开的原则，特签订合同如下：</w:t>
      </w:r>
    </w:p>
    <w:p w14:paraId="550E5D23">
      <w:pPr>
        <w:spacing w:line="360" w:lineRule="auto"/>
        <w:ind w:left="315" w:leftChars="150" w:firstLine="1"/>
        <w:rPr>
          <w:rFonts w:eastAsia="仿宋"/>
          <w:b/>
          <w:bCs/>
          <w:color w:val="000000"/>
          <w:sz w:val="24"/>
        </w:rPr>
      </w:pPr>
      <w:r>
        <w:rPr>
          <w:rFonts w:hint="eastAsia" w:eastAsia="仿宋"/>
          <w:b/>
          <w:color w:val="000000"/>
          <w:sz w:val="24"/>
        </w:rPr>
        <w:t>甲方：武汉市东西湖职业技术学校</w:t>
      </w:r>
      <w:r>
        <w:rPr>
          <w:rFonts w:hint="eastAsia" w:eastAsia="仿宋"/>
          <w:b/>
          <w:bCs/>
          <w:color w:val="000000"/>
          <w:sz w:val="24"/>
        </w:rPr>
        <w:t>签订时间：</w:t>
      </w:r>
      <w:r>
        <w:rPr>
          <w:rFonts w:hint="eastAsia" w:eastAsia="仿宋"/>
          <w:b/>
          <w:bCs/>
          <w:color w:val="000000"/>
          <w:sz w:val="24"/>
          <w:lang w:val="en-US" w:eastAsia="zh-CN"/>
        </w:rPr>
        <w:t>2026</w:t>
      </w:r>
      <w:r>
        <w:rPr>
          <w:rFonts w:hint="eastAsia" w:eastAsia="仿宋"/>
          <w:b/>
          <w:bCs/>
          <w:color w:val="000000"/>
          <w:sz w:val="24"/>
        </w:rPr>
        <w:t>年月日</w:t>
      </w:r>
    </w:p>
    <w:p w14:paraId="290CCE47">
      <w:pPr>
        <w:spacing w:line="360" w:lineRule="auto"/>
        <w:ind w:left="315" w:leftChars="150" w:firstLine="1"/>
        <w:rPr>
          <w:rFonts w:hint="eastAsia" w:eastAsia="仿宋"/>
          <w:b/>
          <w:bCs/>
          <w:color w:val="000000"/>
          <w:sz w:val="24"/>
          <w:lang w:eastAsia="zh-CN"/>
        </w:rPr>
      </w:pPr>
      <w:r>
        <w:rPr>
          <w:rFonts w:hint="eastAsia" w:eastAsia="仿宋"/>
          <w:b/>
          <w:bCs/>
          <w:color w:val="000000"/>
          <w:sz w:val="24"/>
        </w:rPr>
        <w:t>乙方：签订地点：</w:t>
      </w:r>
      <w:r>
        <w:rPr>
          <w:rFonts w:hint="eastAsia" w:eastAsia="仿宋"/>
          <w:b/>
          <w:bCs/>
          <w:color w:val="000000"/>
          <w:sz w:val="24"/>
          <w:lang w:eastAsia="zh-CN"/>
        </w:rPr>
        <w:t>武汉市东西湖职业技术学校</w:t>
      </w:r>
    </w:p>
    <w:p w14:paraId="1C3298FA">
      <w:pPr>
        <w:spacing w:line="360" w:lineRule="auto"/>
        <w:ind w:firstLine="360" w:firstLineChars="150"/>
        <w:rPr>
          <w:rFonts w:hint="eastAsia" w:ascii="宋体" w:hAnsi="宋体" w:eastAsia="宋体"/>
          <w:sz w:val="24"/>
          <w:lang w:eastAsia="zh-CN"/>
        </w:rPr>
      </w:pPr>
      <w:r>
        <w:rPr>
          <w:rFonts w:hint="eastAsia" w:ascii="宋体" w:hAnsi="宋体"/>
          <w:sz w:val="24"/>
        </w:rPr>
        <w:t>甲、乙双方根据武汉市东西湖职业技术学校</w:t>
      </w:r>
      <w:r>
        <w:rPr>
          <w:rFonts w:hint="eastAsia" w:ascii="宋体" w:hAnsi="宋体"/>
          <w:sz w:val="24"/>
        </w:rPr>
        <w:sym w:font="Wingdings 2" w:char="00A3"/>
      </w:r>
      <w:r>
        <w:rPr>
          <w:rFonts w:hint="eastAsia" w:ascii="宋体" w:hAnsi="宋体"/>
          <w:sz w:val="24"/>
        </w:rPr>
        <w:t>公开招标</w:t>
      </w:r>
      <w:r>
        <w:rPr>
          <w:rFonts w:hint="eastAsia" w:ascii="宋体" w:hAnsi="宋体"/>
          <w:sz w:val="24"/>
        </w:rPr>
        <w:sym w:font="Wingdings 2" w:char="00A3"/>
      </w:r>
      <w:r>
        <w:rPr>
          <w:rFonts w:hint="eastAsia" w:ascii="宋体" w:hAnsi="宋体"/>
          <w:sz w:val="24"/>
        </w:rPr>
        <w:t>竞争性谈判</w:t>
      </w:r>
      <w:r>
        <w:rPr>
          <w:rFonts w:hint="eastAsia" w:ascii="宋体" w:hAnsi="宋体"/>
          <w:sz w:val="24"/>
        </w:rPr>
        <w:sym w:font="Wingdings 2" w:char="00A3"/>
      </w:r>
      <w:r>
        <w:rPr>
          <w:rFonts w:hint="eastAsia" w:ascii="宋体" w:hAnsi="宋体"/>
          <w:sz w:val="24"/>
        </w:rPr>
        <w:t>竞争性磋商</w:t>
      </w:r>
      <w:r>
        <w:rPr>
          <w:rFonts w:hint="eastAsia" w:ascii="宋体" w:hAnsi="宋体"/>
          <w:sz w:val="24"/>
        </w:rPr>
        <w:sym w:font="Wingdings 2" w:char="00A3"/>
      </w:r>
      <w:r>
        <w:rPr>
          <w:rFonts w:hint="eastAsia" w:ascii="宋体" w:hAnsi="宋体"/>
          <w:sz w:val="24"/>
        </w:rPr>
        <w:t>校内</w:t>
      </w:r>
      <w:r>
        <w:rPr>
          <w:rFonts w:hint="eastAsia" w:ascii="宋体" w:hAnsi="宋体"/>
          <w:sz w:val="24"/>
          <w:lang w:eastAsia="zh-CN"/>
        </w:rPr>
        <w:t>自主招标</w:t>
      </w:r>
      <w:r>
        <w:rPr>
          <w:rFonts w:hint="eastAsia" w:ascii="宋体" w:hAnsi="宋体"/>
          <w:sz w:val="24"/>
        </w:rPr>
        <w:sym w:font="Wingdings 2" w:char="00A3"/>
      </w:r>
      <w:r>
        <w:rPr>
          <w:rFonts w:hint="eastAsia" w:ascii="宋体" w:hAnsi="宋体"/>
          <w:sz w:val="24"/>
        </w:rPr>
        <w:t>校内询价采购项目【招标采购文件编号：政府采购管理部门备案编号：】招标结果，</w:t>
      </w:r>
      <w:r>
        <w:rPr>
          <w:rFonts w:hint="eastAsia" w:ascii="宋体" w:hAnsi="宋体"/>
          <w:color w:val="000000"/>
          <w:sz w:val="24"/>
        </w:rPr>
        <w:t>甲方同意接受乙方为本项目采购所做的投标文件，乙方必须完全按中标通知书和本合同条款履行义</w:t>
      </w:r>
      <w:r>
        <w:rPr>
          <w:rFonts w:hint="eastAsia" w:ascii="宋体" w:hAnsi="宋体"/>
          <w:sz w:val="24"/>
        </w:rPr>
        <w:t>务。甲、乙双方同意签署本合同。</w:t>
      </w:r>
    </w:p>
    <w:p w14:paraId="4E3F6D1E">
      <w:pPr>
        <w:spacing w:line="360" w:lineRule="auto"/>
        <w:ind w:firstLine="360" w:firstLineChars="150"/>
        <w:rPr>
          <w:rFonts w:ascii="宋体" w:hAnsi="宋体"/>
          <w:sz w:val="24"/>
        </w:rPr>
      </w:pPr>
    </w:p>
    <w:p w14:paraId="12F2DBC3">
      <w:pPr>
        <w:spacing w:line="360" w:lineRule="auto"/>
        <w:rPr>
          <w:rFonts w:hint="eastAsia" w:ascii="黑体" w:hAnsi="黑体" w:eastAsia="黑体" w:cs="黑体"/>
          <w:b/>
          <w:szCs w:val="28"/>
        </w:rPr>
      </w:pPr>
      <w:r>
        <w:rPr>
          <w:rFonts w:hint="eastAsia" w:ascii="黑体" w:hAnsi="黑体" w:eastAsia="黑体" w:cs="黑体"/>
          <w:b/>
          <w:szCs w:val="28"/>
        </w:rPr>
        <w:t>第一条、货物名称、型号、规格、配置、技术参数、数量及合同价款</w:t>
      </w:r>
    </w:p>
    <w:tbl>
      <w:tblPr>
        <w:tblStyle w:val="21"/>
        <w:tblW w:w="9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109"/>
        <w:gridCol w:w="2045"/>
        <w:gridCol w:w="555"/>
        <w:gridCol w:w="688"/>
        <w:gridCol w:w="1082"/>
        <w:gridCol w:w="52"/>
        <w:gridCol w:w="1043"/>
        <w:gridCol w:w="1113"/>
      </w:tblGrid>
      <w:tr w14:paraId="246A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75" w:type="dxa"/>
            <w:shd w:val="clear" w:color="000000" w:fill="FFFFFF"/>
            <w:noWrap w:val="0"/>
            <w:vAlign w:val="center"/>
          </w:tcPr>
          <w:p w14:paraId="4CEC86D9">
            <w:pPr>
              <w:spacing w:line="0" w:lineRule="atLeast"/>
              <w:ind w:left="-42" w:leftChars="-20" w:right="-42" w:rightChars="-20"/>
              <w:jc w:val="center"/>
              <w:rPr>
                <w:rFonts w:ascii="宋体" w:hAnsi="宋体" w:cs="宋体"/>
                <w:b/>
                <w:bCs/>
                <w:color w:val="000000"/>
                <w:sz w:val="21"/>
                <w:szCs w:val="20"/>
              </w:rPr>
            </w:pPr>
            <w:r>
              <w:rPr>
                <w:rFonts w:hint="eastAsia" w:ascii="宋体" w:hAnsi="宋体" w:cs="宋体"/>
                <w:b/>
                <w:bCs/>
                <w:color w:val="000000"/>
                <w:sz w:val="21"/>
                <w:szCs w:val="20"/>
              </w:rPr>
              <w:t>序号</w:t>
            </w:r>
          </w:p>
        </w:tc>
        <w:tc>
          <w:tcPr>
            <w:tcW w:w="2109" w:type="dxa"/>
            <w:shd w:val="clear" w:color="000000" w:fill="FFFFFF"/>
            <w:noWrap w:val="0"/>
            <w:vAlign w:val="center"/>
          </w:tcPr>
          <w:p w14:paraId="71104373">
            <w:pPr>
              <w:spacing w:line="0" w:lineRule="atLeast"/>
              <w:ind w:left="-42" w:leftChars="-20" w:right="-42" w:rightChars="-20"/>
              <w:jc w:val="center"/>
              <w:rPr>
                <w:rFonts w:ascii="宋体" w:hAnsi="宋体" w:cs="宋体"/>
                <w:b/>
                <w:bCs/>
                <w:color w:val="000000"/>
                <w:sz w:val="21"/>
                <w:szCs w:val="20"/>
              </w:rPr>
            </w:pPr>
            <w:r>
              <w:rPr>
                <w:rFonts w:hint="eastAsia" w:ascii="宋体" w:hAnsi="宋体" w:cs="宋体"/>
                <w:b/>
                <w:bCs/>
                <w:color w:val="000000"/>
                <w:sz w:val="21"/>
                <w:szCs w:val="20"/>
              </w:rPr>
              <w:t>品名</w:t>
            </w:r>
          </w:p>
        </w:tc>
        <w:tc>
          <w:tcPr>
            <w:tcW w:w="2045" w:type="dxa"/>
            <w:shd w:val="clear" w:color="000000" w:fill="FFFFFF"/>
            <w:noWrap w:val="0"/>
            <w:vAlign w:val="center"/>
          </w:tcPr>
          <w:p w14:paraId="5754DB89">
            <w:pPr>
              <w:spacing w:line="0" w:lineRule="atLeast"/>
              <w:ind w:left="-42" w:leftChars="-20" w:right="-42" w:rightChars="-20"/>
              <w:jc w:val="center"/>
              <w:rPr>
                <w:rFonts w:ascii="宋体" w:hAnsi="宋体" w:cs="宋体"/>
                <w:b/>
                <w:bCs/>
                <w:color w:val="000000"/>
                <w:sz w:val="21"/>
                <w:szCs w:val="20"/>
              </w:rPr>
            </w:pPr>
            <w:r>
              <w:rPr>
                <w:rFonts w:hint="eastAsia" w:ascii="宋体" w:hAnsi="宋体" w:cs="宋体"/>
                <w:b/>
                <w:bCs/>
                <w:color w:val="000000"/>
                <w:sz w:val="21"/>
                <w:szCs w:val="20"/>
              </w:rPr>
              <w:t>规格型号</w:t>
            </w:r>
          </w:p>
        </w:tc>
        <w:tc>
          <w:tcPr>
            <w:tcW w:w="555" w:type="dxa"/>
            <w:shd w:val="clear" w:color="000000" w:fill="FFFFFF"/>
            <w:noWrap w:val="0"/>
            <w:vAlign w:val="center"/>
          </w:tcPr>
          <w:p w14:paraId="368FAE6F">
            <w:pPr>
              <w:spacing w:line="0" w:lineRule="atLeast"/>
              <w:ind w:left="-42" w:leftChars="-20" w:right="-42" w:rightChars="-20"/>
              <w:jc w:val="center"/>
              <w:rPr>
                <w:rFonts w:ascii="宋体" w:hAnsi="宋体" w:cs="宋体"/>
                <w:b/>
                <w:bCs/>
                <w:color w:val="000000"/>
                <w:sz w:val="21"/>
                <w:szCs w:val="20"/>
              </w:rPr>
            </w:pPr>
            <w:r>
              <w:rPr>
                <w:rFonts w:hint="eastAsia" w:ascii="宋体" w:hAnsi="宋体" w:cs="宋体"/>
                <w:b/>
                <w:bCs/>
                <w:color w:val="000000"/>
                <w:sz w:val="21"/>
                <w:szCs w:val="20"/>
              </w:rPr>
              <w:t>单位</w:t>
            </w:r>
          </w:p>
        </w:tc>
        <w:tc>
          <w:tcPr>
            <w:tcW w:w="688" w:type="dxa"/>
            <w:shd w:val="clear" w:color="000000" w:fill="FFFFFF"/>
            <w:noWrap w:val="0"/>
            <w:vAlign w:val="center"/>
          </w:tcPr>
          <w:p w14:paraId="22D72178">
            <w:pPr>
              <w:spacing w:line="0" w:lineRule="atLeast"/>
              <w:ind w:left="-42" w:leftChars="-20" w:right="-42" w:rightChars="-20"/>
              <w:jc w:val="center"/>
              <w:rPr>
                <w:rFonts w:ascii="宋体" w:hAnsi="宋体" w:cs="宋体"/>
                <w:b/>
                <w:bCs/>
                <w:color w:val="000000"/>
                <w:sz w:val="21"/>
                <w:szCs w:val="20"/>
              </w:rPr>
            </w:pPr>
            <w:r>
              <w:rPr>
                <w:rFonts w:hint="eastAsia" w:ascii="宋体" w:hAnsi="宋体" w:cs="宋体"/>
                <w:b/>
                <w:bCs/>
                <w:color w:val="000000"/>
                <w:sz w:val="21"/>
                <w:szCs w:val="20"/>
              </w:rPr>
              <w:t>数量</w:t>
            </w:r>
          </w:p>
        </w:tc>
        <w:tc>
          <w:tcPr>
            <w:tcW w:w="1134" w:type="dxa"/>
            <w:gridSpan w:val="2"/>
            <w:shd w:val="clear" w:color="000000" w:fill="FFFFFF"/>
            <w:noWrap w:val="0"/>
            <w:vAlign w:val="center"/>
          </w:tcPr>
          <w:p w14:paraId="1DA4C6A2">
            <w:pPr>
              <w:spacing w:line="0" w:lineRule="atLeast"/>
              <w:ind w:left="-42" w:leftChars="-20" w:right="-42" w:rightChars="-20"/>
              <w:jc w:val="center"/>
              <w:rPr>
                <w:rFonts w:ascii="宋体" w:hAnsi="宋体" w:cs="宋体"/>
                <w:b/>
                <w:bCs/>
                <w:color w:val="000000"/>
                <w:sz w:val="21"/>
                <w:szCs w:val="20"/>
              </w:rPr>
            </w:pPr>
            <w:r>
              <w:rPr>
                <w:rFonts w:hint="eastAsia" w:ascii="宋体" w:hAnsi="宋体" w:cs="宋体"/>
                <w:b/>
                <w:bCs/>
                <w:color w:val="000000"/>
                <w:sz w:val="21"/>
                <w:szCs w:val="20"/>
              </w:rPr>
              <w:t>单价（元）</w:t>
            </w:r>
          </w:p>
        </w:tc>
        <w:tc>
          <w:tcPr>
            <w:tcW w:w="1043" w:type="dxa"/>
            <w:shd w:val="clear" w:color="000000" w:fill="FFFFFF"/>
            <w:noWrap w:val="0"/>
            <w:vAlign w:val="center"/>
          </w:tcPr>
          <w:p w14:paraId="2E418EE2">
            <w:pPr>
              <w:spacing w:line="0" w:lineRule="atLeast"/>
              <w:ind w:left="-42" w:leftChars="-20" w:right="-42" w:rightChars="-20"/>
              <w:jc w:val="center"/>
              <w:rPr>
                <w:rFonts w:hint="eastAsia" w:ascii="宋体" w:hAnsi="宋体" w:eastAsia="宋体" w:cs="宋体"/>
                <w:b/>
                <w:bCs/>
                <w:color w:val="000000"/>
                <w:sz w:val="21"/>
                <w:szCs w:val="20"/>
                <w:lang w:eastAsia="zh-CN"/>
              </w:rPr>
            </w:pPr>
          </w:p>
        </w:tc>
        <w:tc>
          <w:tcPr>
            <w:tcW w:w="1113" w:type="dxa"/>
            <w:shd w:val="clear" w:color="000000" w:fill="FFFFFF"/>
            <w:noWrap w:val="0"/>
            <w:vAlign w:val="center"/>
          </w:tcPr>
          <w:p w14:paraId="1809CEAC">
            <w:pPr>
              <w:spacing w:line="0" w:lineRule="atLeast"/>
              <w:ind w:left="-42" w:leftChars="-20" w:right="-42" w:rightChars="-20"/>
              <w:jc w:val="center"/>
              <w:rPr>
                <w:rFonts w:ascii="宋体" w:hAnsi="宋体" w:cs="宋体"/>
                <w:b/>
                <w:bCs/>
                <w:color w:val="000000"/>
                <w:sz w:val="21"/>
                <w:szCs w:val="20"/>
              </w:rPr>
            </w:pPr>
            <w:r>
              <w:rPr>
                <w:rFonts w:hint="eastAsia" w:ascii="宋体" w:hAnsi="宋体" w:cs="宋体"/>
                <w:b/>
                <w:bCs/>
                <w:color w:val="000000"/>
                <w:sz w:val="21"/>
                <w:szCs w:val="20"/>
              </w:rPr>
              <w:t>备注</w:t>
            </w:r>
          </w:p>
        </w:tc>
      </w:tr>
      <w:tr w14:paraId="16D22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5" w:type="dxa"/>
            <w:shd w:val="clear" w:color="000000" w:fill="FFFFFF"/>
            <w:noWrap w:val="0"/>
            <w:vAlign w:val="center"/>
          </w:tcPr>
          <w:p w14:paraId="1F21D496">
            <w:pPr>
              <w:spacing w:line="0" w:lineRule="atLeast"/>
              <w:ind w:left="-42" w:leftChars="-20" w:right="-42" w:rightChars="-20"/>
              <w:jc w:val="center"/>
              <w:rPr>
                <w:rFonts w:hint="eastAsia" w:ascii="宋体" w:hAnsi="宋体" w:cs="宋体"/>
                <w:color w:val="000000"/>
                <w:sz w:val="21"/>
                <w:szCs w:val="21"/>
              </w:rPr>
            </w:pPr>
            <w:r>
              <w:rPr>
                <w:rFonts w:hint="eastAsia" w:ascii="宋体" w:hAnsi="宋体" w:cs="宋体"/>
                <w:color w:val="000000"/>
                <w:sz w:val="21"/>
                <w:szCs w:val="21"/>
              </w:rPr>
              <w:t>1</w:t>
            </w:r>
          </w:p>
        </w:tc>
        <w:tc>
          <w:tcPr>
            <w:tcW w:w="2109" w:type="dxa"/>
            <w:shd w:val="clear" w:color="000000" w:fill="FFFFFF"/>
            <w:noWrap w:val="0"/>
            <w:vAlign w:val="center"/>
          </w:tcPr>
          <w:p w14:paraId="56E02F8E">
            <w:pPr>
              <w:spacing w:line="0" w:lineRule="atLeast"/>
              <w:ind w:right="-42" w:rightChars="-20"/>
              <w:jc w:val="center"/>
              <w:rPr>
                <w:rFonts w:ascii="宋体" w:hAnsi="宋体" w:cs="宋体"/>
                <w:color w:val="000000"/>
                <w:sz w:val="21"/>
                <w:szCs w:val="21"/>
              </w:rPr>
            </w:pPr>
          </w:p>
        </w:tc>
        <w:tc>
          <w:tcPr>
            <w:tcW w:w="2045" w:type="dxa"/>
            <w:shd w:val="clear" w:color="000000" w:fill="FFFFFF"/>
            <w:noWrap w:val="0"/>
            <w:vAlign w:val="center"/>
          </w:tcPr>
          <w:p w14:paraId="604DA101">
            <w:pPr>
              <w:spacing w:line="0" w:lineRule="atLeast"/>
              <w:ind w:left="-42" w:leftChars="-20" w:right="-42" w:rightChars="-20"/>
              <w:jc w:val="center"/>
              <w:rPr>
                <w:rFonts w:hint="eastAsia" w:ascii="宋体" w:hAnsi="宋体" w:cs="宋体"/>
                <w:color w:val="000000"/>
                <w:sz w:val="21"/>
                <w:szCs w:val="21"/>
              </w:rPr>
            </w:pPr>
          </w:p>
        </w:tc>
        <w:tc>
          <w:tcPr>
            <w:tcW w:w="555" w:type="dxa"/>
            <w:shd w:val="clear" w:color="000000" w:fill="FFFFFF"/>
            <w:noWrap w:val="0"/>
            <w:vAlign w:val="center"/>
          </w:tcPr>
          <w:p w14:paraId="1E1EACFD">
            <w:pPr>
              <w:spacing w:line="0" w:lineRule="atLeast"/>
              <w:ind w:left="-42" w:leftChars="-20" w:right="-42" w:rightChars="-20"/>
              <w:jc w:val="center"/>
              <w:rPr>
                <w:rFonts w:hint="eastAsia" w:ascii="宋体" w:hAnsi="宋体" w:cs="宋体"/>
                <w:color w:val="000000"/>
                <w:sz w:val="21"/>
                <w:szCs w:val="21"/>
              </w:rPr>
            </w:pPr>
          </w:p>
        </w:tc>
        <w:tc>
          <w:tcPr>
            <w:tcW w:w="688" w:type="dxa"/>
            <w:shd w:val="clear" w:color="000000" w:fill="FFFFFF"/>
            <w:noWrap w:val="0"/>
            <w:vAlign w:val="center"/>
          </w:tcPr>
          <w:p w14:paraId="4F1C3BDF">
            <w:pPr>
              <w:spacing w:line="0" w:lineRule="atLeast"/>
              <w:ind w:left="-42" w:leftChars="-20" w:right="-42" w:rightChars="-20"/>
              <w:jc w:val="center"/>
              <w:rPr>
                <w:rFonts w:ascii="宋体" w:hAnsi="宋体" w:cs="宋体"/>
                <w:color w:val="000000"/>
                <w:sz w:val="21"/>
                <w:szCs w:val="21"/>
              </w:rPr>
            </w:pPr>
          </w:p>
        </w:tc>
        <w:tc>
          <w:tcPr>
            <w:tcW w:w="1082" w:type="dxa"/>
            <w:shd w:val="clear" w:color="000000" w:fill="FFFFFF"/>
            <w:noWrap w:val="0"/>
            <w:vAlign w:val="center"/>
          </w:tcPr>
          <w:p w14:paraId="0CAFC5A1">
            <w:pPr>
              <w:spacing w:line="0" w:lineRule="atLeast"/>
              <w:ind w:left="-42" w:leftChars="-20" w:right="-42" w:rightChars="-20"/>
              <w:jc w:val="center"/>
              <w:textAlignment w:val="center"/>
              <w:rPr>
                <w:rFonts w:ascii="宋体" w:hAnsi="宋体" w:cs="宋体"/>
                <w:color w:val="000000"/>
                <w:sz w:val="21"/>
                <w:szCs w:val="21"/>
              </w:rPr>
            </w:pPr>
          </w:p>
        </w:tc>
        <w:tc>
          <w:tcPr>
            <w:tcW w:w="1095" w:type="dxa"/>
            <w:gridSpan w:val="2"/>
            <w:shd w:val="clear" w:color="000000" w:fill="FFFFFF"/>
            <w:noWrap w:val="0"/>
            <w:vAlign w:val="center"/>
          </w:tcPr>
          <w:p w14:paraId="360048F0">
            <w:pPr>
              <w:spacing w:line="0" w:lineRule="atLeast"/>
              <w:ind w:left="-42" w:leftChars="-20" w:right="-42" w:rightChars="-20"/>
              <w:jc w:val="center"/>
              <w:textAlignment w:val="center"/>
              <w:rPr>
                <w:rFonts w:ascii="宋体" w:hAnsi="宋体" w:cs="宋体"/>
                <w:color w:val="000000"/>
                <w:sz w:val="21"/>
                <w:szCs w:val="21"/>
              </w:rPr>
            </w:pPr>
          </w:p>
        </w:tc>
        <w:tc>
          <w:tcPr>
            <w:tcW w:w="1113" w:type="dxa"/>
            <w:shd w:val="clear" w:color="000000" w:fill="FFFFFF"/>
            <w:noWrap w:val="0"/>
            <w:vAlign w:val="center"/>
          </w:tcPr>
          <w:p w14:paraId="0244A01A">
            <w:pPr>
              <w:spacing w:line="0" w:lineRule="atLeast"/>
              <w:ind w:left="-42" w:leftChars="-20" w:right="-42" w:rightChars="-20"/>
              <w:jc w:val="center"/>
              <w:rPr>
                <w:rFonts w:hint="eastAsia" w:ascii="宋体" w:hAnsi="宋体" w:cs="宋体"/>
                <w:color w:val="000000"/>
                <w:sz w:val="21"/>
                <w:szCs w:val="21"/>
              </w:rPr>
            </w:pPr>
          </w:p>
        </w:tc>
      </w:tr>
      <w:tr w14:paraId="432E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9362" w:type="dxa"/>
            <w:gridSpan w:val="9"/>
            <w:shd w:val="clear" w:color="000000" w:fill="FFFFFF"/>
            <w:noWrap w:val="0"/>
            <w:vAlign w:val="center"/>
          </w:tcPr>
          <w:p w14:paraId="694D2C09">
            <w:pPr>
              <w:spacing w:line="0" w:lineRule="atLeast"/>
              <w:ind w:left="-42" w:leftChars="-20" w:right="-42" w:rightChars="-20"/>
              <w:rPr>
                <w:rFonts w:hint="default" w:ascii="宋体" w:hAnsi="宋体" w:cs="宋体"/>
                <w:b/>
                <w:color w:val="000000"/>
                <w:sz w:val="21"/>
                <w:szCs w:val="21"/>
                <w:lang w:val="en-US"/>
              </w:rPr>
            </w:pPr>
            <w:r>
              <w:rPr>
                <w:rFonts w:hint="default" w:ascii="宋体" w:hAnsi="宋体" w:cs="宋体"/>
                <w:b/>
                <w:bCs/>
                <w:color w:val="000000"/>
                <w:sz w:val="24"/>
                <w:lang w:val="en-US"/>
              </w:rPr>
              <w:t>合计：￥</w:t>
            </w:r>
            <w:r>
              <w:rPr>
                <w:rFonts w:hint="default" w:ascii="宋体" w:hAnsi="宋体" w:cs="宋体"/>
                <w:b/>
                <w:bCs/>
                <w:color w:val="000000"/>
                <w:sz w:val="24"/>
                <w:u w:val="single"/>
                <w:lang w:val="en-US"/>
              </w:rPr>
              <w:t>元</w:t>
            </w:r>
            <w:r>
              <w:rPr>
                <w:rFonts w:hint="default" w:ascii="宋体" w:hAnsi="宋体" w:cs="宋体"/>
                <w:b/>
                <w:bCs/>
                <w:color w:val="000000"/>
                <w:sz w:val="24"/>
                <w:lang w:val="en-US"/>
              </w:rPr>
              <w:t>，人民币大写：元整</w:t>
            </w:r>
          </w:p>
        </w:tc>
      </w:tr>
    </w:tbl>
    <w:p w14:paraId="4E861869">
      <w:pPr>
        <w:spacing w:line="360" w:lineRule="auto"/>
        <w:rPr>
          <w:rFonts w:hint="eastAsia" w:ascii="宋体" w:hAnsi="宋体"/>
          <w:sz w:val="24"/>
        </w:rPr>
      </w:pPr>
      <w:r>
        <w:rPr>
          <w:rFonts w:hint="eastAsia" w:ascii="宋体" w:hAnsi="宋体"/>
          <w:sz w:val="24"/>
        </w:rPr>
        <w:t>此价格为合同执行不变价，不因国家政策变化而变化，该价款包括了货物及与之配套的设计、制造、正版软件、检验、包装、运输、保险、税费以及安装、组织验收、培训、技术服务(包括技术资料、图纸提供等)、质保期服务等全部价款，除此之外，甲方不再向乙方支付其他任何费用。</w:t>
      </w:r>
    </w:p>
    <w:p w14:paraId="132FD171">
      <w:pPr>
        <w:spacing w:line="360" w:lineRule="auto"/>
        <w:rPr>
          <w:rFonts w:hint="eastAsia" w:ascii="宋体" w:hAnsi="宋体"/>
          <w:sz w:val="24"/>
        </w:rPr>
      </w:pPr>
    </w:p>
    <w:p w14:paraId="3A8E1C24">
      <w:pPr>
        <w:spacing w:line="360" w:lineRule="auto"/>
        <w:ind w:firstLine="480"/>
        <w:rPr>
          <w:rFonts w:hint="eastAsia" w:ascii="宋体" w:hAnsi="宋体"/>
          <w:sz w:val="24"/>
        </w:rPr>
      </w:pPr>
      <w:r>
        <w:rPr>
          <w:rFonts w:hint="eastAsia" w:ascii="宋体" w:hAnsi="宋体"/>
          <w:sz w:val="24"/>
        </w:rPr>
        <w:t>乙方所供货物的技术参数严格按照武汉市东西湖职业技术学校</w:t>
      </w:r>
      <w:r>
        <w:rPr>
          <w:rFonts w:hint="eastAsia" w:ascii="宋体" w:hAnsi="宋体"/>
          <w:sz w:val="24"/>
        </w:rPr>
        <w:sym w:font="Wingdings 2" w:char="00A3"/>
      </w:r>
      <w:r>
        <w:rPr>
          <w:rFonts w:hint="eastAsia" w:ascii="宋体" w:hAnsi="宋体"/>
          <w:sz w:val="24"/>
        </w:rPr>
        <w:t>公开招标</w:t>
      </w:r>
      <w:r>
        <w:rPr>
          <w:rFonts w:hint="eastAsia" w:ascii="宋体" w:hAnsi="宋体"/>
          <w:sz w:val="24"/>
        </w:rPr>
        <w:sym w:font="Wingdings 2" w:char="00A3"/>
      </w:r>
      <w:r>
        <w:rPr>
          <w:rFonts w:hint="eastAsia" w:ascii="宋体" w:hAnsi="宋体"/>
          <w:sz w:val="24"/>
        </w:rPr>
        <w:t>竞争性谈判</w:t>
      </w:r>
      <w:r>
        <w:rPr>
          <w:rFonts w:hint="eastAsia" w:ascii="宋体" w:hAnsi="宋体"/>
          <w:sz w:val="24"/>
        </w:rPr>
        <w:sym w:font="Wingdings 2" w:char="00A3"/>
      </w:r>
      <w:r>
        <w:rPr>
          <w:rFonts w:hint="eastAsia" w:ascii="宋体" w:hAnsi="宋体"/>
          <w:sz w:val="24"/>
        </w:rPr>
        <w:t>竞争性磋商</w:t>
      </w:r>
      <w:r>
        <w:rPr>
          <w:rFonts w:hint="eastAsia" w:ascii="宋体" w:hAnsi="宋体"/>
          <w:sz w:val="24"/>
        </w:rPr>
        <w:sym w:font="Wingdings 2" w:char="00A3"/>
      </w:r>
      <w:r>
        <w:rPr>
          <w:rFonts w:hint="eastAsia" w:ascii="宋体" w:hAnsi="宋体"/>
          <w:sz w:val="24"/>
        </w:rPr>
        <w:t>校内</w:t>
      </w:r>
      <w:r>
        <w:rPr>
          <w:rFonts w:hint="eastAsia" w:ascii="宋体" w:hAnsi="宋体"/>
          <w:sz w:val="24"/>
          <w:lang w:eastAsia="zh-CN"/>
        </w:rPr>
        <w:t>自主招标</w:t>
      </w:r>
      <w:r>
        <w:rPr>
          <w:rFonts w:hint="eastAsia" w:ascii="宋体" w:hAnsi="宋体"/>
          <w:sz w:val="24"/>
        </w:rPr>
        <w:sym w:font="Wingdings 2" w:char="00A3"/>
      </w:r>
      <w:r>
        <w:rPr>
          <w:rFonts w:hint="eastAsia" w:ascii="宋体" w:hAnsi="宋体"/>
          <w:sz w:val="24"/>
        </w:rPr>
        <w:t>校内询价采购项目采购项目【招标采购文件编号：，政府采购管理部门备案编号：】招标结果执行。</w:t>
      </w:r>
    </w:p>
    <w:p w14:paraId="4007281E">
      <w:pPr>
        <w:spacing w:line="360" w:lineRule="auto"/>
        <w:ind w:firstLine="480"/>
        <w:rPr>
          <w:rFonts w:hint="eastAsia" w:ascii="宋体" w:hAnsi="宋体"/>
          <w:sz w:val="24"/>
        </w:rPr>
      </w:pPr>
    </w:p>
    <w:p w14:paraId="3E44B47F">
      <w:pPr>
        <w:rPr>
          <w:rFonts w:hint="eastAsia" w:ascii="黑体" w:hAnsi="黑体" w:eastAsia="黑体" w:cs="黑体"/>
          <w:b/>
          <w:szCs w:val="28"/>
        </w:rPr>
      </w:pPr>
      <w:r>
        <w:rPr>
          <w:rFonts w:hint="eastAsia" w:ascii="黑体" w:hAnsi="黑体" w:eastAsia="黑体" w:cs="黑体"/>
          <w:b/>
          <w:szCs w:val="28"/>
        </w:rPr>
        <w:t>第二条、</w:t>
      </w:r>
      <w:r>
        <w:rPr>
          <w:rFonts w:hint="eastAsia" w:ascii="黑体" w:hAnsi="黑体" w:eastAsia="黑体" w:cs="黑体"/>
          <w:b/>
          <w:szCs w:val="28"/>
          <w:lang w:eastAsia="zh-CN"/>
        </w:rPr>
        <w:t>货物</w:t>
      </w:r>
      <w:r>
        <w:rPr>
          <w:rFonts w:hint="eastAsia" w:ascii="黑体" w:hAnsi="黑体" w:eastAsia="黑体" w:cs="黑体"/>
          <w:b/>
          <w:szCs w:val="28"/>
        </w:rPr>
        <w:t>质量要求及供方对质量负责的条件：</w:t>
      </w:r>
    </w:p>
    <w:p w14:paraId="0397F965">
      <w:pPr>
        <w:topLinePunct/>
        <w:spacing w:line="312" w:lineRule="auto"/>
        <w:ind w:firstLine="480" w:firstLineChars="200"/>
        <w:rPr>
          <w:rFonts w:hint="eastAsia" w:ascii="宋体" w:hAnsi="宋体"/>
          <w:sz w:val="24"/>
        </w:rPr>
      </w:pPr>
      <w:r>
        <w:rPr>
          <w:rFonts w:hint="eastAsia" w:ascii="宋体" w:hAnsi="宋体"/>
          <w:sz w:val="24"/>
        </w:rPr>
        <w:t>1.</w:t>
      </w:r>
      <w:r>
        <w:rPr>
          <w:rFonts w:hint="eastAsia" w:ascii="宋体" w:hAnsi="宋体"/>
          <w:sz w:val="24"/>
          <w:lang w:eastAsia="zh-CN"/>
        </w:rPr>
        <w:t>乙方</w:t>
      </w:r>
      <w:r>
        <w:rPr>
          <w:rFonts w:hint="eastAsia" w:ascii="宋体" w:hAnsi="宋体"/>
          <w:sz w:val="24"/>
        </w:rPr>
        <w:t>出售的</w:t>
      </w:r>
      <w:r>
        <w:rPr>
          <w:rFonts w:hint="eastAsia" w:ascii="宋体" w:hAnsi="宋体"/>
          <w:sz w:val="24"/>
          <w:lang w:eastAsia="zh-CN"/>
        </w:rPr>
        <w:t>货物</w:t>
      </w:r>
      <w:r>
        <w:rPr>
          <w:rFonts w:hint="eastAsia" w:ascii="宋体" w:hAnsi="宋体"/>
          <w:sz w:val="24"/>
        </w:rPr>
        <w:t>必须符合中华人民共和国国家安全环保标准、产品质量标准以及该产品的出厂标准；还应符合国家和湖北省、</w:t>
      </w:r>
      <w:r>
        <w:rPr>
          <w:rFonts w:hint="eastAsia" w:ascii="宋体" w:hAnsi="宋体"/>
          <w:sz w:val="24"/>
          <w:lang w:val="en-US" w:eastAsia="zh-CN"/>
        </w:rPr>
        <w:t>武汉市、</w:t>
      </w:r>
      <w:r>
        <w:rPr>
          <w:rFonts w:hint="eastAsia" w:ascii="宋体" w:hAnsi="宋体"/>
          <w:sz w:val="24"/>
        </w:rPr>
        <w:t>东西湖区的有关规定。如果</w:t>
      </w:r>
      <w:r>
        <w:rPr>
          <w:rFonts w:hint="eastAsia" w:ascii="宋体" w:hAnsi="宋体"/>
          <w:sz w:val="24"/>
          <w:lang w:eastAsia="zh-CN"/>
        </w:rPr>
        <w:t>甲</w:t>
      </w:r>
      <w:r>
        <w:rPr>
          <w:rFonts w:hint="eastAsia" w:ascii="宋体" w:hAnsi="宋体"/>
          <w:sz w:val="24"/>
        </w:rPr>
        <w:t>方</w:t>
      </w:r>
      <w:r>
        <w:rPr>
          <w:rFonts w:hint="eastAsia" w:ascii="宋体" w:hAnsi="宋体"/>
          <w:sz w:val="24"/>
          <w:lang w:val="en-US" w:eastAsia="zh-CN"/>
        </w:rPr>
        <w:t>专门</w:t>
      </w:r>
      <w:r>
        <w:rPr>
          <w:rFonts w:hint="eastAsia" w:ascii="宋体" w:hAnsi="宋体"/>
          <w:sz w:val="24"/>
        </w:rPr>
        <w:t>选择</w:t>
      </w:r>
      <w:r>
        <w:rPr>
          <w:rFonts w:hint="eastAsia" w:ascii="宋体" w:hAnsi="宋体"/>
          <w:sz w:val="24"/>
          <w:lang w:val="en-US" w:eastAsia="zh-CN"/>
        </w:rPr>
        <w:t>了相关</w:t>
      </w:r>
      <w:r>
        <w:rPr>
          <w:rFonts w:hint="eastAsia" w:ascii="宋体" w:hAnsi="宋体"/>
          <w:sz w:val="24"/>
        </w:rPr>
        <w:t>质量标准</w:t>
      </w:r>
      <w:r>
        <w:rPr>
          <w:rFonts w:hint="eastAsia" w:ascii="宋体" w:hAnsi="宋体"/>
          <w:sz w:val="24"/>
          <w:lang w:eastAsia="zh-CN"/>
        </w:rPr>
        <w:t>，</w:t>
      </w:r>
      <w:r>
        <w:rPr>
          <w:rFonts w:hint="eastAsia" w:ascii="宋体" w:hAnsi="宋体"/>
          <w:sz w:val="24"/>
          <w:lang w:val="en-US" w:eastAsia="zh-CN"/>
        </w:rPr>
        <w:t>则应优先达到甲方要求的标准</w:t>
      </w:r>
      <w:r>
        <w:rPr>
          <w:rFonts w:hint="eastAsia" w:ascii="宋体" w:hAnsi="宋体"/>
          <w:sz w:val="24"/>
        </w:rPr>
        <w:t>。</w:t>
      </w:r>
    </w:p>
    <w:p w14:paraId="1C35FF27">
      <w:pPr>
        <w:topLinePunct/>
        <w:spacing w:line="312" w:lineRule="auto"/>
        <w:ind w:firstLine="480" w:firstLineChars="200"/>
        <w:rPr>
          <w:rFonts w:hint="eastAsia" w:ascii="宋体" w:hAnsi="宋体"/>
          <w:sz w:val="24"/>
        </w:rPr>
      </w:pPr>
      <w:r>
        <w:rPr>
          <w:rFonts w:hint="eastAsia" w:ascii="宋体" w:hAnsi="宋体"/>
          <w:sz w:val="24"/>
        </w:rPr>
        <w:t>2.供方提供的</w:t>
      </w:r>
      <w:r>
        <w:rPr>
          <w:rFonts w:hint="eastAsia" w:ascii="宋体" w:hAnsi="宋体"/>
          <w:sz w:val="24"/>
          <w:lang w:eastAsia="zh-CN"/>
        </w:rPr>
        <w:t>货物</w:t>
      </w:r>
      <w:r>
        <w:rPr>
          <w:rFonts w:hint="eastAsia" w:ascii="宋体" w:hAnsi="宋体"/>
          <w:sz w:val="24"/>
        </w:rPr>
        <w:t>必须是全新的原装</w:t>
      </w:r>
      <w:r>
        <w:rPr>
          <w:rFonts w:hint="eastAsia" w:ascii="宋体" w:hAnsi="宋体"/>
          <w:sz w:val="24"/>
          <w:lang w:eastAsia="zh-CN"/>
        </w:rPr>
        <w:t>货物</w:t>
      </w:r>
      <w:r>
        <w:rPr>
          <w:rFonts w:hint="eastAsia" w:ascii="宋体" w:hAnsi="宋体"/>
          <w:sz w:val="24"/>
        </w:rPr>
        <w:t>，表面无划伤、无碰撞。合同范围内全部</w:t>
      </w:r>
      <w:r>
        <w:rPr>
          <w:rFonts w:hint="eastAsia" w:ascii="宋体" w:hAnsi="宋体"/>
          <w:sz w:val="24"/>
          <w:lang w:eastAsia="zh-CN"/>
        </w:rPr>
        <w:t>货物</w:t>
      </w:r>
      <w:r>
        <w:rPr>
          <w:rFonts w:hint="eastAsia" w:ascii="宋体" w:hAnsi="宋体"/>
          <w:sz w:val="24"/>
        </w:rPr>
        <w:t>的包装与标志、质量应符合原厂家的标准规定。如发生</w:t>
      </w:r>
      <w:r>
        <w:rPr>
          <w:rFonts w:hint="eastAsia" w:ascii="宋体" w:hAnsi="宋体"/>
          <w:sz w:val="24"/>
          <w:lang w:eastAsia="zh-CN"/>
        </w:rPr>
        <w:t>货物</w:t>
      </w:r>
      <w:r>
        <w:rPr>
          <w:rFonts w:hint="eastAsia" w:ascii="宋体" w:hAnsi="宋体"/>
          <w:sz w:val="24"/>
        </w:rPr>
        <w:t>错发、缺件等由乙方负责在7个工作日内按照合同规定的</w:t>
      </w:r>
      <w:r>
        <w:rPr>
          <w:rFonts w:hint="eastAsia" w:ascii="宋体" w:hAnsi="宋体"/>
          <w:sz w:val="24"/>
          <w:lang w:eastAsia="zh-CN"/>
        </w:rPr>
        <w:t>货物</w:t>
      </w:r>
      <w:r>
        <w:rPr>
          <w:rFonts w:hint="eastAsia" w:ascii="宋体" w:hAnsi="宋体"/>
          <w:sz w:val="24"/>
        </w:rPr>
        <w:t>型号、规格</w:t>
      </w:r>
      <w:r>
        <w:rPr>
          <w:rFonts w:hint="eastAsia" w:ascii="宋体" w:hAnsi="宋体"/>
          <w:sz w:val="24"/>
          <w:lang w:eastAsia="zh-CN"/>
        </w:rPr>
        <w:t>、</w:t>
      </w:r>
      <w:r>
        <w:rPr>
          <w:rFonts w:hint="eastAsia" w:ascii="宋体" w:hAnsi="宋体"/>
          <w:sz w:val="24"/>
          <w:lang w:val="en-US" w:eastAsia="zh-CN"/>
        </w:rPr>
        <w:t>数量</w:t>
      </w:r>
      <w:r>
        <w:rPr>
          <w:rFonts w:hint="eastAsia" w:ascii="宋体" w:hAnsi="宋体"/>
          <w:sz w:val="24"/>
        </w:rPr>
        <w:t>无偿解决；</w:t>
      </w:r>
    </w:p>
    <w:p w14:paraId="01E939B2">
      <w:pPr>
        <w:topLinePunct/>
        <w:spacing w:line="312" w:lineRule="auto"/>
        <w:ind w:firstLine="480" w:firstLineChars="200"/>
        <w:rPr>
          <w:rFonts w:hint="eastAsia" w:ascii="宋体" w:hAnsi="宋体"/>
          <w:sz w:val="24"/>
        </w:rPr>
      </w:pPr>
      <w:r>
        <w:rPr>
          <w:rFonts w:hint="eastAsia" w:ascii="宋体" w:hAnsi="宋体"/>
          <w:sz w:val="24"/>
        </w:rPr>
        <w:t>3.以甲方签署的</w:t>
      </w:r>
      <w:r>
        <w:rPr>
          <w:rFonts w:hint="eastAsia" w:ascii="宋体" w:hAnsi="宋体"/>
          <w:sz w:val="24"/>
          <w:lang w:eastAsia="zh-CN"/>
        </w:rPr>
        <w:t>货物</w:t>
      </w:r>
      <w:r>
        <w:rPr>
          <w:rFonts w:hint="eastAsia" w:ascii="宋体" w:hAnsi="宋体"/>
          <w:sz w:val="24"/>
        </w:rPr>
        <w:t>验收单的日期为</w:t>
      </w:r>
      <w:r>
        <w:rPr>
          <w:rFonts w:hint="eastAsia" w:ascii="宋体" w:hAnsi="宋体"/>
          <w:sz w:val="24"/>
          <w:lang w:eastAsia="zh-CN"/>
        </w:rPr>
        <w:t>货物</w:t>
      </w:r>
      <w:r>
        <w:rPr>
          <w:rFonts w:hint="eastAsia" w:ascii="宋体" w:hAnsi="宋体"/>
          <w:sz w:val="24"/>
        </w:rPr>
        <w:t>交货日期；</w:t>
      </w:r>
    </w:p>
    <w:p w14:paraId="0B35F8A4">
      <w:pPr>
        <w:topLinePunct/>
        <w:spacing w:line="312" w:lineRule="auto"/>
        <w:ind w:firstLine="480" w:firstLineChars="200"/>
        <w:rPr>
          <w:rFonts w:hint="eastAsia" w:ascii="宋体" w:hAnsi="宋体"/>
          <w:sz w:val="24"/>
        </w:rPr>
      </w:pPr>
      <w:r>
        <w:rPr>
          <w:rFonts w:hint="eastAsia" w:ascii="宋体" w:hAnsi="宋体"/>
          <w:sz w:val="24"/>
        </w:rPr>
        <w:t>4.乙方根据甲方要求免费安装、调试完成所有施工内容，费用乙方承担</w:t>
      </w:r>
      <w:r>
        <w:rPr>
          <w:rFonts w:hint="eastAsia" w:ascii="宋体" w:hAnsi="宋体"/>
          <w:sz w:val="24"/>
          <w:lang w:eastAsia="zh-CN"/>
        </w:rPr>
        <w:t>；</w:t>
      </w:r>
    </w:p>
    <w:p w14:paraId="7170B2DC">
      <w:pPr>
        <w:spacing w:line="312" w:lineRule="auto"/>
        <w:ind w:firstLine="480" w:firstLineChars="200"/>
        <w:rPr>
          <w:rFonts w:hint="default" w:eastAsia="宋体"/>
          <w:lang w:val="en-US" w:eastAsia="zh-CN"/>
        </w:rPr>
      </w:pPr>
      <w:r>
        <w:rPr>
          <w:rFonts w:hint="eastAsia" w:hAnsi="宋体"/>
          <w:sz w:val="24"/>
          <w:lang w:val="en-US" w:eastAsia="zh-CN"/>
        </w:rPr>
        <w:t>5</w:t>
      </w:r>
      <w:r>
        <w:rPr>
          <w:rFonts w:hint="eastAsia" w:ascii="宋体" w:hAnsi="宋体"/>
          <w:sz w:val="24"/>
        </w:rPr>
        <w:t>.</w:t>
      </w:r>
      <w:r>
        <w:rPr>
          <w:rFonts w:hint="eastAsia" w:hAnsi="宋体"/>
          <w:sz w:val="24"/>
          <w:lang w:val="en-US" w:eastAsia="zh-CN"/>
        </w:rPr>
        <w:t>乙方提供的全部设备及附带的软件、技术服务等不得侵犯他人的知识产权。</w:t>
      </w:r>
      <w:r>
        <w:rPr>
          <w:rFonts w:hint="eastAsia" w:ascii="宋体" w:hAnsi="宋体" w:eastAsia="宋体" w:cs="宋体"/>
          <w:color w:val="000000"/>
          <w:sz w:val="24"/>
          <w:lang w:eastAsia="zh-CN"/>
        </w:rPr>
        <w:t>乙方保证，甲方在使用该货物或者货物的任何一部分时，免受第三方提出的侵犯其专利权、商标权或其他知识产权的起诉</w:t>
      </w:r>
      <w:r>
        <w:rPr>
          <w:rFonts w:hint="eastAsia" w:ascii="宋体" w:hAnsi="宋体" w:cs="宋体"/>
          <w:color w:val="000000"/>
          <w:sz w:val="24"/>
          <w:lang w:eastAsia="zh-CN"/>
        </w:rPr>
        <w:t>，</w:t>
      </w:r>
      <w:r>
        <w:rPr>
          <w:rFonts w:hint="eastAsia" w:hAnsi="宋体"/>
          <w:sz w:val="24"/>
          <w:lang w:val="en-US" w:eastAsia="zh-CN"/>
        </w:rPr>
        <w:t>因乙方侵权造成的法律责任全部由乙方自行承担。</w:t>
      </w:r>
    </w:p>
    <w:p w14:paraId="0CF03AFE">
      <w:pPr>
        <w:topLinePunct/>
        <w:spacing w:line="312" w:lineRule="auto"/>
        <w:ind w:left="3" w:firstLine="516" w:firstLineChars="215"/>
        <w:rPr>
          <w:rFonts w:hint="eastAsia" w:ascii="宋体" w:hAnsi="宋体"/>
          <w:sz w:val="24"/>
        </w:rPr>
      </w:pPr>
      <w:r>
        <w:rPr>
          <w:rFonts w:hint="eastAsia" w:ascii="宋体" w:hAnsi="宋体"/>
          <w:sz w:val="24"/>
          <w:lang w:val="en-US" w:eastAsia="zh-CN"/>
        </w:rPr>
        <w:t>6</w:t>
      </w:r>
      <w:r>
        <w:rPr>
          <w:rFonts w:hint="eastAsia" w:ascii="宋体" w:hAnsi="宋体"/>
          <w:sz w:val="24"/>
        </w:rPr>
        <w:t>.乙所提供的货物，涉及定制开发的软件在交付时应包括源代码，且在质保期内甲方有相关平台对接需求时须无条件免费配合。</w:t>
      </w:r>
    </w:p>
    <w:p w14:paraId="6E24FD9B">
      <w:pPr>
        <w:topLinePunct/>
        <w:spacing w:line="312" w:lineRule="auto"/>
        <w:ind w:left="3" w:firstLine="516" w:firstLineChars="215"/>
        <w:rPr>
          <w:rFonts w:hint="eastAsia" w:ascii="宋体" w:hAnsi="宋体"/>
          <w:sz w:val="24"/>
        </w:rPr>
      </w:pPr>
      <w:r>
        <w:rPr>
          <w:rFonts w:hint="eastAsia" w:ascii="宋体" w:hAnsi="宋体"/>
          <w:sz w:val="24"/>
          <w:lang w:val="en-US" w:eastAsia="zh-CN"/>
        </w:rPr>
        <w:t>7.</w:t>
      </w:r>
      <w:r>
        <w:rPr>
          <w:rFonts w:hint="eastAsia" w:ascii="宋体" w:hAnsi="宋体"/>
          <w:sz w:val="24"/>
        </w:rPr>
        <w:t>乙所提供的货物涉及的软件部分，涉及安全问题时，无论是否在质保期内，乙方必须免费无条件修复。</w:t>
      </w:r>
    </w:p>
    <w:p w14:paraId="00B693C1">
      <w:pPr>
        <w:spacing w:line="312" w:lineRule="auto"/>
        <w:rPr>
          <w:rFonts w:hint="eastAsia" w:ascii="黑体" w:hAnsi="黑体" w:eastAsia="黑体" w:cs="黑体"/>
          <w:b/>
          <w:szCs w:val="28"/>
        </w:rPr>
      </w:pPr>
      <w:r>
        <w:rPr>
          <w:rFonts w:hint="eastAsia" w:ascii="黑体" w:hAnsi="黑体" w:eastAsia="黑体" w:cs="黑体"/>
          <w:b/>
          <w:szCs w:val="28"/>
        </w:rPr>
        <w:t>第三条、合同的范围、交货时间、地点及方式，货物验收</w:t>
      </w:r>
    </w:p>
    <w:p w14:paraId="78BC954E">
      <w:pPr>
        <w:spacing w:line="312" w:lineRule="auto"/>
        <w:ind w:firstLine="480" w:firstLineChars="200"/>
        <w:rPr>
          <w:rFonts w:hint="eastAsia" w:ascii="宋体" w:hAnsi="宋体"/>
          <w:sz w:val="24"/>
        </w:rPr>
      </w:pPr>
      <w:r>
        <w:rPr>
          <w:rFonts w:hint="eastAsia" w:ascii="宋体" w:hAnsi="宋体"/>
          <w:sz w:val="24"/>
        </w:rPr>
        <w:t>1.合同的范围：仅指武汉市东西湖职业技术学校</w:t>
      </w:r>
      <w:r>
        <w:rPr>
          <w:rFonts w:hint="eastAsia" w:ascii="宋体" w:hAnsi="宋体"/>
          <w:sz w:val="24"/>
        </w:rPr>
        <w:sym w:font="Wingdings 2" w:char="00A3"/>
      </w:r>
      <w:r>
        <w:rPr>
          <w:rFonts w:hint="eastAsia" w:ascii="宋体" w:hAnsi="宋体"/>
          <w:sz w:val="24"/>
        </w:rPr>
        <w:t>公开招标</w:t>
      </w:r>
      <w:r>
        <w:rPr>
          <w:rFonts w:hint="eastAsia" w:ascii="宋体" w:hAnsi="宋体"/>
          <w:sz w:val="24"/>
        </w:rPr>
        <w:sym w:font="Wingdings 2" w:char="00A3"/>
      </w:r>
      <w:r>
        <w:rPr>
          <w:rFonts w:hint="eastAsia" w:ascii="宋体" w:hAnsi="宋体"/>
          <w:sz w:val="24"/>
        </w:rPr>
        <w:t>竞争性谈判</w:t>
      </w:r>
      <w:r>
        <w:rPr>
          <w:rFonts w:hint="eastAsia" w:ascii="宋体" w:hAnsi="宋体"/>
          <w:sz w:val="24"/>
        </w:rPr>
        <w:sym w:font="Wingdings 2" w:char="00A3"/>
      </w:r>
      <w:r>
        <w:rPr>
          <w:rFonts w:hint="eastAsia" w:ascii="宋体" w:hAnsi="宋体"/>
          <w:sz w:val="24"/>
        </w:rPr>
        <w:t>竞争性磋商</w:t>
      </w:r>
      <w:r>
        <w:rPr>
          <w:rFonts w:hint="eastAsia" w:ascii="宋体" w:hAnsi="宋体"/>
          <w:sz w:val="24"/>
        </w:rPr>
        <w:sym w:font="Wingdings 2" w:char="00A3"/>
      </w:r>
      <w:r>
        <w:rPr>
          <w:rFonts w:hint="eastAsia" w:ascii="宋体" w:hAnsi="宋体"/>
          <w:sz w:val="24"/>
        </w:rPr>
        <w:t>校内</w:t>
      </w:r>
      <w:r>
        <w:rPr>
          <w:rFonts w:hint="eastAsia" w:ascii="宋体" w:hAnsi="宋体"/>
          <w:sz w:val="24"/>
          <w:lang w:eastAsia="zh-CN"/>
        </w:rPr>
        <w:t>自主招标</w:t>
      </w:r>
      <w:r>
        <w:rPr>
          <w:rFonts w:hint="eastAsia" w:ascii="宋体" w:hAnsi="宋体"/>
          <w:sz w:val="24"/>
        </w:rPr>
        <w:sym w:font="Wingdings 2" w:char="00A3"/>
      </w:r>
      <w:r>
        <w:rPr>
          <w:rFonts w:hint="eastAsia" w:ascii="宋体" w:hAnsi="宋体"/>
          <w:sz w:val="24"/>
        </w:rPr>
        <w:t>校内询价采购项目【招标采购文件编号：，政府采购管理部门备案编号：】招标结果。</w:t>
      </w:r>
    </w:p>
    <w:p w14:paraId="05888BD7">
      <w:pPr>
        <w:spacing w:line="312" w:lineRule="auto"/>
        <w:ind w:firstLine="480" w:firstLineChars="200"/>
        <w:rPr>
          <w:rFonts w:hint="eastAsia" w:ascii="宋体" w:hAnsi="宋体"/>
          <w:sz w:val="24"/>
        </w:rPr>
      </w:pPr>
      <w:r>
        <w:rPr>
          <w:rFonts w:hint="eastAsia" w:ascii="宋体" w:hAnsi="宋体"/>
          <w:sz w:val="24"/>
        </w:rPr>
        <w:t>2.交</w:t>
      </w:r>
      <w:r>
        <w:rPr>
          <w:rFonts w:hint="eastAsia" w:ascii="宋体" w:hAnsi="宋体"/>
          <w:sz w:val="24"/>
          <w:lang w:val="en-US" w:eastAsia="zh-CN"/>
        </w:rPr>
        <w:t>付</w:t>
      </w:r>
      <w:r>
        <w:rPr>
          <w:rFonts w:hint="eastAsia" w:ascii="宋体" w:hAnsi="宋体"/>
          <w:sz w:val="24"/>
        </w:rPr>
        <w:t>时间：本合同生效后个</w:t>
      </w:r>
      <w:r>
        <w:rPr>
          <w:rFonts w:hint="eastAsia" w:ascii="宋体" w:hAnsi="宋体"/>
          <w:sz w:val="24"/>
        </w:rPr>
        <w:sym w:font="Wingdings 2" w:char="00A3"/>
      </w:r>
      <w:r>
        <w:rPr>
          <w:rFonts w:hint="eastAsia" w:ascii="宋体" w:hAnsi="宋体"/>
          <w:sz w:val="24"/>
          <w:lang w:eastAsia="zh-CN"/>
        </w:rPr>
        <w:t>日历</w:t>
      </w:r>
      <w:r>
        <w:rPr>
          <w:rFonts w:hint="eastAsia" w:ascii="宋体" w:hAnsi="宋体"/>
          <w:sz w:val="24"/>
        </w:rPr>
        <w:t>日</w:t>
      </w:r>
      <w:r>
        <w:rPr>
          <w:rFonts w:hint="eastAsia" w:ascii="宋体" w:hAnsi="宋体"/>
          <w:sz w:val="24"/>
        </w:rPr>
        <w:sym w:font="Wingdings 2" w:char="00A3"/>
      </w:r>
      <w:r>
        <w:rPr>
          <w:rFonts w:hint="eastAsia" w:ascii="宋体" w:hAnsi="宋体"/>
          <w:sz w:val="24"/>
          <w:lang w:eastAsia="zh-CN"/>
        </w:rPr>
        <w:t>工作日</w:t>
      </w:r>
      <w:r>
        <w:rPr>
          <w:rFonts w:hint="eastAsia" w:ascii="宋体" w:hAnsi="宋体"/>
          <w:sz w:val="24"/>
        </w:rPr>
        <w:t>内交付全部货物。</w:t>
      </w:r>
    </w:p>
    <w:p w14:paraId="0C7E2891">
      <w:pPr>
        <w:spacing w:line="312" w:lineRule="auto"/>
        <w:ind w:firstLine="480" w:firstLineChars="200"/>
        <w:rPr>
          <w:rFonts w:hint="eastAsia" w:ascii="宋体" w:hAnsi="宋体"/>
          <w:sz w:val="24"/>
        </w:rPr>
      </w:pPr>
      <w:r>
        <w:rPr>
          <w:rFonts w:hint="eastAsia" w:ascii="宋体" w:hAnsi="宋体"/>
          <w:sz w:val="24"/>
        </w:rPr>
        <w:t>3.交</w:t>
      </w:r>
      <w:r>
        <w:rPr>
          <w:rFonts w:hint="eastAsia" w:ascii="宋体" w:hAnsi="宋体"/>
          <w:sz w:val="24"/>
          <w:lang w:val="en-US" w:eastAsia="zh-CN"/>
        </w:rPr>
        <w:t>付</w:t>
      </w:r>
      <w:r>
        <w:rPr>
          <w:rFonts w:hint="eastAsia" w:ascii="宋体" w:hAnsi="宋体"/>
          <w:sz w:val="24"/>
        </w:rPr>
        <w:t>地点：甲方指定地点。</w:t>
      </w:r>
    </w:p>
    <w:p w14:paraId="6C6A8543">
      <w:pPr>
        <w:spacing w:line="312" w:lineRule="auto"/>
        <w:ind w:firstLine="480" w:firstLineChars="200"/>
        <w:rPr>
          <w:rFonts w:hint="eastAsia" w:ascii="宋体" w:hAnsi="宋体"/>
          <w:sz w:val="24"/>
        </w:rPr>
      </w:pPr>
      <w:r>
        <w:rPr>
          <w:rFonts w:hint="eastAsia" w:ascii="宋体" w:hAnsi="宋体"/>
          <w:sz w:val="24"/>
        </w:rPr>
        <w:t>4.交</w:t>
      </w:r>
      <w:r>
        <w:rPr>
          <w:rFonts w:hint="eastAsia" w:ascii="宋体" w:hAnsi="宋体"/>
          <w:sz w:val="24"/>
          <w:lang w:val="en-US" w:eastAsia="zh-CN"/>
        </w:rPr>
        <w:t>付</w:t>
      </w:r>
      <w:r>
        <w:rPr>
          <w:rFonts w:hint="eastAsia" w:ascii="宋体" w:hAnsi="宋体"/>
          <w:sz w:val="24"/>
        </w:rPr>
        <w:t>方式：乙方免费送至甲方指定地点并安装调试</w:t>
      </w:r>
      <w:r>
        <w:rPr>
          <w:rFonts w:hint="eastAsia" w:ascii="宋体" w:hAnsi="宋体"/>
          <w:sz w:val="24"/>
          <w:lang w:val="en-US" w:eastAsia="zh-CN"/>
        </w:rPr>
        <w:t>完成无误</w:t>
      </w:r>
      <w:r>
        <w:rPr>
          <w:rFonts w:hint="eastAsia" w:ascii="宋体" w:hAnsi="宋体"/>
          <w:sz w:val="24"/>
        </w:rPr>
        <w:t>。</w:t>
      </w:r>
    </w:p>
    <w:p w14:paraId="16678C24">
      <w:pPr>
        <w:spacing w:line="312" w:lineRule="auto"/>
        <w:ind w:firstLine="480" w:firstLineChars="200"/>
        <w:rPr>
          <w:rFonts w:hint="eastAsia" w:ascii="宋体" w:hAnsi="宋体"/>
          <w:sz w:val="24"/>
        </w:rPr>
      </w:pPr>
      <w:r>
        <w:rPr>
          <w:rFonts w:hint="eastAsia" w:ascii="宋体" w:hAnsi="宋体"/>
          <w:sz w:val="24"/>
        </w:rPr>
        <w:t>5.货物验收：</w:t>
      </w:r>
    </w:p>
    <w:p w14:paraId="25218F62">
      <w:pPr>
        <w:spacing w:line="312" w:lineRule="auto"/>
        <w:ind w:firstLine="480" w:firstLineChars="200"/>
        <w:rPr>
          <w:rFonts w:hint="eastAsia" w:ascii="宋体" w:hAnsi="宋体"/>
          <w:sz w:val="24"/>
        </w:rPr>
      </w:pPr>
      <w:r>
        <w:rPr>
          <w:rFonts w:hint="eastAsia" w:ascii="宋体" w:hAnsi="宋体"/>
          <w:sz w:val="24"/>
        </w:rPr>
        <w:t>（1）乙方交</w:t>
      </w:r>
      <w:r>
        <w:rPr>
          <w:rFonts w:hint="eastAsia" w:ascii="宋体" w:hAnsi="宋体"/>
          <w:sz w:val="24"/>
          <w:lang w:val="en-US" w:eastAsia="zh-CN"/>
        </w:rPr>
        <w:t>付</w:t>
      </w:r>
      <w:r>
        <w:rPr>
          <w:rFonts w:hint="eastAsia" w:ascii="宋体" w:hAnsi="宋体"/>
          <w:sz w:val="24"/>
        </w:rPr>
        <w:t>前应对</w:t>
      </w:r>
      <w:r>
        <w:rPr>
          <w:rFonts w:hint="eastAsia" w:ascii="宋体" w:hAnsi="宋体"/>
          <w:sz w:val="24"/>
          <w:lang w:val="en-US" w:eastAsia="zh-CN"/>
        </w:rPr>
        <w:t>货物</w:t>
      </w:r>
      <w:r>
        <w:rPr>
          <w:rFonts w:hint="eastAsia" w:ascii="宋体" w:hAnsi="宋体"/>
          <w:sz w:val="24"/>
        </w:rPr>
        <w:t>作出全面检查和产品资料的整理，作为甲方收货验收和使用的技术条件的依据</w:t>
      </w:r>
      <w:r>
        <w:rPr>
          <w:rFonts w:hint="eastAsia" w:ascii="宋体" w:hAnsi="宋体"/>
          <w:sz w:val="24"/>
          <w:lang w:val="en-US" w:eastAsia="zh-CN"/>
        </w:rPr>
        <w:t>之一</w:t>
      </w:r>
      <w:r>
        <w:rPr>
          <w:rFonts w:hint="eastAsia" w:ascii="宋体" w:hAnsi="宋体"/>
          <w:sz w:val="24"/>
        </w:rPr>
        <w:t>。</w:t>
      </w:r>
    </w:p>
    <w:p w14:paraId="3F38D372">
      <w:pPr>
        <w:spacing w:line="312" w:lineRule="auto"/>
        <w:ind w:firstLine="480" w:firstLineChars="200"/>
        <w:rPr>
          <w:rFonts w:hint="eastAsia" w:ascii="宋体" w:hAnsi="宋体"/>
          <w:sz w:val="24"/>
        </w:rPr>
      </w:pPr>
      <w:r>
        <w:rPr>
          <w:rFonts w:hint="eastAsia" w:ascii="宋体" w:hAnsi="宋体"/>
          <w:sz w:val="24"/>
        </w:rPr>
        <w:t>（2）甲方应认真组织验收，在验收时发现质量问题或是</w:t>
      </w:r>
      <w:r>
        <w:rPr>
          <w:rFonts w:hint="eastAsia" w:ascii="宋体" w:hAnsi="宋体"/>
          <w:sz w:val="24"/>
          <w:lang w:val="en-US" w:eastAsia="zh-CN"/>
        </w:rPr>
        <w:t>数量、</w:t>
      </w:r>
      <w:r>
        <w:rPr>
          <w:rFonts w:hint="eastAsia" w:ascii="宋体" w:hAnsi="宋体"/>
          <w:sz w:val="24"/>
        </w:rPr>
        <w:t>相关技术规格与招标文件和投标文件不符的，应及时向乙方提出并要求乙方解决，同时向采购代理机构反映。</w:t>
      </w:r>
    </w:p>
    <w:p w14:paraId="2C7814F0">
      <w:pPr>
        <w:spacing w:line="312" w:lineRule="auto"/>
        <w:ind w:firstLine="480" w:firstLineChars="200"/>
        <w:rPr>
          <w:rFonts w:hint="eastAsia" w:ascii="宋体" w:hAnsi="宋体"/>
          <w:sz w:val="24"/>
        </w:rPr>
      </w:pPr>
      <w:r>
        <w:rPr>
          <w:rFonts w:hint="eastAsia" w:ascii="宋体" w:hAnsi="宋体"/>
          <w:sz w:val="24"/>
        </w:rPr>
        <w:t>（3）验收：</w:t>
      </w:r>
    </w:p>
    <w:p w14:paraId="77F5872C">
      <w:pPr>
        <w:tabs>
          <w:tab w:val="left" w:pos="360"/>
        </w:tabs>
        <w:spacing w:line="312" w:lineRule="auto"/>
        <w:ind w:firstLine="480" w:firstLineChars="200"/>
        <w:rPr>
          <w:rFonts w:hint="eastAsia" w:ascii="宋体" w:hAnsi="宋体"/>
          <w:sz w:val="24"/>
        </w:rPr>
      </w:pPr>
      <w:r>
        <w:rPr>
          <w:rFonts w:hint="eastAsia" w:ascii="宋体" w:hAnsi="宋体"/>
          <w:sz w:val="24"/>
        </w:rPr>
        <w:t>甲方严格按照招标文件所规定的技术要求进行验收。货物</w:t>
      </w:r>
      <w:r>
        <w:rPr>
          <w:rFonts w:hint="eastAsia" w:ascii="宋体" w:hAnsi="宋体"/>
          <w:sz w:val="24"/>
          <w:lang w:val="en-US" w:eastAsia="zh-CN"/>
        </w:rPr>
        <w:t>交付后</w:t>
      </w:r>
      <w:r>
        <w:rPr>
          <w:rFonts w:hint="eastAsia" w:ascii="宋体" w:hAnsi="宋体"/>
          <w:sz w:val="24"/>
        </w:rPr>
        <w:t>试运行期间，乙方都要指定专门技术人员全程跟踪服务，解决出现的所有问题，对提出问题的解决时间最长不得超过三个工作日。全部货物现场开封，</w:t>
      </w:r>
      <w:r>
        <w:rPr>
          <w:rFonts w:hint="eastAsia" w:ascii="宋体" w:hAnsi="宋体"/>
          <w:sz w:val="24"/>
          <w:lang w:eastAsia="zh-CN"/>
        </w:rPr>
        <w:t>货物</w:t>
      </w:r>
      <w:r>
        <w:rPr>
          <w:rFonts w:hint="eastAsia" w:ascii="宋体" w:hAnsi="宋体"/>
          <w:sz w:val="24"/>
        </w:rPr>
        <w:t>在现场安装过程中，如发生与</w:t>
      </w:r>
      <w:r>
        <w:rPr>
          <w:rFonts w:hint="eastAsia" w:ascii="宋体" w:hAnsi="宋体"/>
          <w:sz w:val="24"/>
          <w:lang w:val="en-US" w:eastAsia="zh-CN"/>
        </w:rPr>
        <w:t>约定</w:t>
      </w:r>
      <w:r>
        <w:rPr>
          <w:rFonts w:hint="eastAsia" w:ascii="宋体" w:hAnsi="宋体"/>
          <w:sz w:val="24"/>
        </w:rPr>
        <w:t>不符的</w:t>
      </w:r>
      <w:r>
        <w:rPr>
          <w:rFonts w:hint="eastAsia" w:ascii="宋体" w:hAnsi="宋体"/>
          <w:sz w:val="24"/>
          <w:lang w:eastAsia="zh-CN"/>
        </w:rPr>
        <w:t>货物</w:t>
      </w:r>
      <w:r>
        <w:rPr>
          <w:rFonts w:hint="eastAsia" w:ascii="宋体" w:hAnsi="宋体"/>
          <w:sz w:val="24"/>
        </w:rPr>
        <w:t>，甲方提出异议，乙方应无条件更换</w:t>
      </w:r>
      <w:r>
        <w:rPr>
          <w:rFonts w:hint="eastAsia" w:ascii="宋体" w:hAnsi="宋体"/>
          <w:sz w:val="24"/>
          <w:lang w:val="en-US" w:eastAsia="zh-CN"/>
        </w:rPr>
        <w:t>或补发</w:t>
      </w:r>
      <w:r>
        <w:rPr>
          <w:rFonts w:hint="eastAsia" w:ascii="宋体" w:hAnsi="宋体"/>
          <w:sz w:val="24"/>
        </w:rPr>
        <w:t>。</w:t>
      </w:r>
      <w:r>
        <w:rPr>
          <w:rFonts w:hint="eastAsia" w:ascii="宋体" w:hAnsi="宋体"/>
          <w:sz w:val="24"/>
          <w:lang w:eastAsia="zh-CN"/>
        </w:rPr>
        <w:t>货物</w:t>
      </w:r>
      <w:r>
        <w:rPr>
          <w:rFonts w:hint="eastAsia" w:ascii="宋体" w:hAnsi="宋体"/>
          <w:sz w:val="24"/>
        </w:rPr>
        <w:t>到达甲方地点后完成安装调试，经甲方及聘请的专家签字认可后即为验收合格。</w:t>
      </w:r>
    </w:p>
    <w:p w14:paraId="7F9A11B1">
      <w:pPr>
        <w:tabs>
          <w:tab w:val="left" w:pos="360"/>
        </w:tabs>
        <w:spacing w:line="312" w:lineRule="auto"/>
        <w:ind w:firstLine="480" w:firstLineChars="200"/>
        <w:rPr>
          <w:rFonts w:hint="eastAsia" w:ascii="宋体" w:hAnsi="宋体"/>
          <w:sz w:val="24"/>
        </w:rPr>
      </w:pPr>
    </w:p>
    <w:p w14:paraId="3D1371F7">
      <w:pPr>
        <w:spacing w:line="312" w:lineRule="auto"/>
        <w:rPr>
          <w:rFonts w:hint="eastAsia" w:ascii="黑体" w:hAnsi="黑体" w:eastAsia="黑体" w:cs="黑体"/>
          <w:b/>
          <w:szCs w:val="28"/>
        </w:rPr>
      </w:pPr>
      <w:r>
        <w:rPr>
          <w:rFonts w:hint="eastAsia" w:ascii="黑体" w:hAnsi="黑体" w:eastAsia="黑体" w:cs="黑体"/>
          <w:b/>
          <w:szCs w:val="28"/>
        </w:rPr>
        <w:t>第四条、技术支持与服务</w:t>
      </w:r>
    </w:p>
    <w:p w14:paraId="75D20BA0">
      <w:pPr>
        <w:spacing w:line="312" w:lineRule="auto"/>
        <w:ind w:firstLine="480" w:firstLineChars="200"/>
        <w:rPr>
          <w:rFonts w:hint="eastAsia" w:ascii="宋体" w:hAnsi="宋体" w:cs="宋体"/>
          <w:sz w:val="24"/>
        </w:rPr>
      </w:pPr>
      <w:r>
        <w:rPr>
          <w:rFonts w:hint="eastAsia" w:ascii="宋体" w:hAnsi="宋体"/>
          <w:sz w:val="24"/>
        </w:rPr>
        <w:t>1.乙方应安排</w:t>
      </w:r>
      <w:r>
        <w:rPr>
          <w:rFonts w:hint="eastAsia" w:ascii="宋体" w:hAnsi="宋体" w:cs="宋体"/>
          <w:sz w:val="24"/>
        </w:rPr>
        <w:t>具备丰富经验的售后工程师根据甲方的具体使用情况，提供技术支持服务，包括：</w:t>
      </w:r>
      <w:r>
        <w:rPr>
          <w:rFonts w:hint="eastAsia" w:ascii="宋体" w:hAnsi="宋体"/>
          <w:sz w:val="24"/>
        </w:rPr>
        <w:t>（1）</w:t>
      </w:r>
      <w:r>
        <w:rPr>
          <w:rFonts w:hint="eastAsia" w:ascii="宋体" w:hAnsi="宋体" w:cs="宋体"/>
          <w:sz w:val="24"/>
        </w:rPr>
        <w:t>电话传真咨询顾问服务；</w:t>
      </w:r>
      <w:r>
        <w:rPr>
          <w:rFonts w:hint="eastAsia" w:ascii="宋体" w:hAnsi="宋体"/>
          <w:sz w:val="24"/>
        </w:rPr>
        <w:t>（2）</w:t>
      </w:r>
      <w:r>
        <w:rPr>
          <w:rFonts w:hint="eastAsia" w:ascii="宋体" w:hAnsi="宋体" w:cs="宋体"/>
          <w:sz w:val="24"/>
        </w:rPr>
        <w:t>电子邮件、咨询服务；</w:t>
      </w:r>
      <w:r>
        <w:rPr>
          <w:rFonts w:hint="eastAsia" w:ascii="宋体" w:hAnsi="宋体"/>
          <w:sz w:val="24"/>
        </w:rPr>
        <w:t>（3）</w:t>
      </w:r>
      <w:r>
        <w:rPr>
          <w:rFonts w:hint="eastAsia" w:ascii="宋体" w:hAnsi="宋体" w:cs="宋体"/>
          <w:sz w:val="24"/>
        </w:rPr>
        <w:t>远程支持服务；</w:t>
      </w:r>
      <w:r>
        <w:rPr>
          <w:rFonts w:hint="eastAsia" w:ascii="宋体" w:hAnsi="宋体"/>
          <w:sz w:val="24"/>
        </w:rPr>
        <w:t>（4）</w:t>
      </w:r>
      <w:r>
        <w:rPr>
          <w:rFonts w:hint="eastAsia" w:ascii="宋体" w:hAnsi="宋体" w:cs="宋体"/>
          <w:sz w:val="24"/>
        </w:rPr>
        <w:t>现场服务。乙方有完善的服务体系，有能力提供持续的、本地化售后服务。</w:t>
      </w:r>
    </w:p>
    <w:p w14:paraId="116E3025">
      <w:pPr>
        <w:topLinePunct/>
        <w:spacing w:line="312" w:lineRule="auto"/>
        <w:ind w:right="248" w:rightChars="118" w:firstLine="435"/>
        <w:rPr>
          <w:rFonts w:hint="eastAsia" w:ascii="宋体" w:hAnsi="宋体" w:cs="宋体"/>
          <w:sz w:val="24"/>
        </w:rPr>
      </w:pPr>
      <w:r>
        <w:rPr>
          <w:rFonts w:hint="eastAsia" w:ascii="宋体" w:hAnsi="宋体" w:cs="宋体"/>
          <w:sz w:val="24"/>
        </w:rPr>
        <w:t>本合同所指的货物发生故障，</w:t>
      </w:r>
      <w:r>
        <w:rPr>
          <w:rFonts w:hint="eastAsia" w:ascii="宋体" w:hAnsi="宋体" w:cs="宋体"/>
          <w:sz w:val="24"/>
          <w:lang w:eastAsia="zh-CN"/>
        </w:rPr>
        <w:t>乙方</w:t>
      </w:r>
      <w:r>
        <w:rPr>
          <w:rFonts w:hint="eastAsia" w:ascii="宋体" w:hAnsi="宋体" w:cs="宋体"/>
          <w:sz w:val="24"/>
        </w:rPr>
        <w:t>保证小时内排除故障，恢复产品原有的功能。</w:t>
      </w:r>
    </w:p>
    <w:p w14:paraId="24235732">
      <w:pPr>
        <w:spacing w:line="312" w:lineRule="auto"/>
        <w:ind w:firstLine="480" w:firstLineChars="200"/>
        <w:rPr>
          <w:rFonts w:hint="eastAsia" w:ascii="宋体" w:hAnsi="宋体" w:cs="宋体"/>
          <w:sz w:val="24"/>
        </w:rPr>
      </w:pPr>
      <w:r>
        <w:rPr>
          <w:rFonts w:hint="eastAsia" w:ascii="宋体" w:hAnsi="宋体" w:cs="宋体"/>
          <w:sz w:val="24"/>
        </w:rPr>
        <w:t>2.质量保证、售后服务及故障处理</w:t>
      </w:r>
    </w:p>
    <w:p w14:paraId="71E42577">
      <w:pPr>
        <w:spacing w:line="312" w:lineRule="auto"/>
        <w:ind w:firstLine="480" w:firstLineChars="200"/>
        <w:rPr>
          <w:rFonts w:hint="eastAsia" w:ascii="宋体" w:hAnsi="宋体" w:cs="宋体"/>
          <w:sz w:val="24"/>
        </w:rPr>
      </w:pPr>
      <w:r>
        <w:rPr>
          <w:rFonts w:hint="eastAsia" w:ascii="宋体" w:hAnsi="宋体" w:cs="宋体"/>
          <w:sz w:val="24"/>
        </w:rPr>
        <w:t>（1）乙方应按招标文件规定的货物性能、技术要求、质量标准向甲方提供未经使用的全新产品，按厂家承诺实行“三包”。</w:t>
      </w:r>
    </w:p>
    <w:p w14:paraId="0898234A">
      <w:pPr>
        <w:spacing w:line="312" w:lineRule="auto"/>
        <w:ind w:firstLine="480" w:firstLineChars="200"/>
        <w:rPr>
          <w:rFonts w:hint="eastAsia" w:ascii="宋体" w:hAnsi="宋体" w:cs="宋体"/>
          <w:sz w:val="24"/>
        </w:rPr>
      </w:pPr>
      <w:r>
        <w:rPr>
          <w:rFonts w:hint="eastAsia" w:ascii="宋体" w:hAnsi="宋体" w:cs="宋体"/>
          <w:sz w:val="24"/>
        </w:rPr>
        <w:t>（2）乙方提供本货物的质量保证期为自验收合格之日起年。在质保期内发现因货物本身的质量问题，乙方应负责免费更换或免费修理或更换零部件</w:t>
      </w:r>
      <w:r>
        <w:rPr>
          <w:rFonts w:hint="eastAsia" w:ascii="宋体" w:hAnsi="宋体" w:cs="宋体"/>
          <w:sz w:val="24"/>
          <w:lang w:eastAsia="zh-CN"/>
        </w:rPr>
        <w:t>，</w:t>
      </w:r>
      <w:r>
        <w:rPr>
          <w:rFonts w:hint="eastAsia" w:ascii="宋体" w:hAnsi="宋体" w:cs="宋体"/>
          <w:sz w:val="24"/>
          <w:lang w:val="en-US" w:eastAsia="zh-CN"/>
        </w:rPr>
        <w:t>并解决因软件或技术服务原因造成的各项问题</w:t>
      </w:r>
      <w:r>
        <w:rPr>
          <w:rFonts w:hint="eastAsia" w:ascii="宋体" w:hAnsi="宋体" w:cs="宋体"/>
          <w:sz w:val="24"/>
        </w:rPr>
        <w:t>。对达不到技术要求者，根据实际情况，</w:t>
      </w:r>
      <w:r>
        <w:rPr>
          <w:rFonts w:hint="eastAsia" w:ascii="宋体" w:hAnsi="宋体" w:cs="宋体"/>
          <w:sz w:val="24"/>
          <w:lang w:val="en-US" w:eastAsia="zh-CN"/>
        </w:rPr>
        <w:t>甲方</w:t>
      </w:r>
      <w:r>
        <w:rPr>
          <w:rFonts w:hint="eastAsia" w:ascii="宋体" w:hAnsi="宋体" w:cs="宋体"/>
          <w:sz w:val="24"/>
        </w:rPr>
        <w:t>可</w:t>
      </w:r>
      <w:r>
        <w:rPr>
          <w:rFonts w:hint="eastAsia" w:ascii="宋体" w:hAnsi="宋体" w:cs="宋体"/>
          <w:sz w:val="24"/>
          <w:lang w:val="en-US" w:eastAsia="zh-CN"/>
        </w:rPr>
        <w:t>选择</w:t>
      </w:r>
      <w:r>
        <w:rPr>
          <w:rFonts w:hint="eastAsia" w:ascii="宋体" w:hAnsi="宋体" w:cs="宋体"/>
          <w:sz w:val="24"/>
        </w:rPr>
        <w:t>按以下办法处理：</w:t>
      </w:r>
    </w:p>
    <w:p w14:paraId="20EC8B79">
      <w:pPr>
        <w:spacing w:line="312" w:lineRule="auto"/>
        <w:ind w:firstLine="480" w:firstLineChars="200"/>
        <w:rPr>
          <w:rFonts w:hint="eastAsia" w:ascii="宋体" w:hAnsi="宋体" w:cs="宋体"/>
          <w:sz w:val="24"/>
        </w:rPr>
      </w:pPr>
      <w:r>
        <w:rPr>
          <w:rFonts w:hint="eastAsia" w:ascii="宋体" w:hAnsi="宋体" w:cs="宋体"/>
          <w:sz w:val="24"/>
        </w:rPr>
        <w:t>①更换：由乙方承担所发生的全部费用。</w:t>
      </w:r>
    </w:p>
    <w:p w14:paraId="71018EBE">
      <w:pPr>
        <w:spacing w:line="312" w:lineRule="auto"/>
        <w:ind w:firstLine="480" w:firstLineChars="200"/>
        <w:rPr>
          <w:rFonts w:hint="eastAsia" w:ascii="宋体" w:hAnsi="宋体" w:cs="宋体"/>
          <w:sz w:val="24"/>
        </w:rPr>
      </w:pPr>
      <w:r>
        <w:rPr>
          <w:rFonts w:hint="eastAsia" w:ascii="宋体" w:hAnsi="宋体" w:cs="宋体"/>
          <w:sz w:val="24"/>
        </w:rPr>
        <w:t>②贬值处理：由甲方、乙方双方合议定价。</w:t>
      </w:r>
    </w:p>
    <w:p w14:paraId="193E4201">
      <w:pPr>
        <w:spacing w:line="312" w:lineRule="auto"/>
        <w:ind w:firstLine="480" w:firstLineChars="200"/>
        <w:rPr>
          <w:rFonts w:hint="eastAsia" w:ascii="宋体" w:hAnsi="宋体" w:cs="宋体"/>
          <w:sz w:val="24"/>
        </w:rPr>
      </w:pPr>
      <w:r>
        <w:rPr>
          <w:rFonts w:hint="eastAsia" w:ascii="宋体" w:hAnsi="宋体" w:cs="宋体"/>
          <w:sz w:val="24"/>
        </w:rPr>
        <w:t>③退货处理：乙方应退还甲方支付的该退货部分的货款，同时应承担该货物的直接费用（运输、保险、检验、货款利息及银行手续费等）。</w:t>
      </w:r>
    </w:p>
    <w:p w14:paraId="760ED8FF">
      <w:pPr>
        <w:numPr>
          <w:ilvl w:val="0"/>
          <w:numId w:val="9"/>
        </w:numPr>
        <w:spacing w:line="312" w:lineRule="auto"/>
        <w:ind w:firstLine="480" w:firstLineChars="200"/>
        <w:rPr>
          <w:rFonts w:hint="eastAsia" w:ascii="宋体" w:hAnsi="宋体" w:cs="宋体"/>
          <w:sz w:val="24"/>
        </w:rPr>
      </w:pPr>
      <w:r>
        <w:rPr>
          <w:rFonts w:hint="eastAsia" w:ascii="宋体" w:hAnsi="宋体" w:cs="宋体"/>
          <w:sz w:val="24"/>
        </w:rPr>
        <w:t>质保期内，乙方应对货物出现的质量及安全问题负责处理解决并承担一切费用。</w:t>
      </w:r>
    </w:p>
    <w:p w14:paraId="58489AB5">
      <w:pPr>
        <w:numPr>
          <w:ilvl w:val="0"/>
          <w:numId w:val="9"/>
        </w:numPr>
        <w:spacing w:line="312" w:lineRule="auto"/>
        <w:ind w:firstLine="480" w:firstLineChars="200"/>
        <w:rPr>
          <w:rFonts w:hint="eastAsia" w:ascii="宋体" w:hAnsi="宋体" w:cs="宋体"/>
          <w:sz w:val="24"/>
        </w:rPr>
      </w:pPr>
      <w:r>
        <w:rPr>
          <w:rFonts w:hint="eastAsia" w:ascii="宋体" w:hAnsi="宋体" w:cs="宋体"/>
          <w:sz w:val="24"/>
        </w:rPr>
        <w:t>乙方须在质保期</w:t>
      </w:r>
      <w:r>
        <w:rPr>
          <w:rFonts w:hint="eastAsia" w:ascii="宋体" w:hAnsi="宋体" w:cs="宋体"/>
          <w:sz w:val="24"/>
          <w:lang w:eastAsia="zh-CN"/>
        </w:rPr>
        <w:t>内应</w:t>
      </w:r>
      <w:r>
        <w:rPr>
          <w:rFonts w:hint="eastAsia" w:ascii="宋体" w:hAnsi="宋体" w:cs="宋体"/>
          <w:sz w:val="24"/>
        </w:rPr>
        <w:t>提供全部货物的</w:t>
      </w:r>
      <w:r>
        <w:rPr>
          <w:rFonts w:hint="eastAsia" w:ascii="宋体" w:hAnsi="宋体" w:cs="宋体"/>
          <w:sz w:val="24"/>
          <w:lang w:eastAsia="zh-CN"/>
        </w:rPr>
        <w:t>免费</w:t>
      </w:r>
      <w:r>
        <w:rPr>
          <w:rFonts w:hint="eastAsia" w:ascii="宋体" w:hAnsi="宋体" w:cs="宋体"/>
          <w:sz w:val="24"/>
        </w:rPr>
        <w:t>维护，因人为因素出现的故障（或不可抗力引起的故障）不在免费维护范围内</w:t>
      </w:r>
      <w:r>
        <w:rPr>
          <w:rFonts w:hint="eastAsia" w:ascii="宋体" w:hAnsi="宋体" w:cs="宋体"/>
          <w:sz w:val="24"/>
          <w:lang w:eastAsia="zh-CN"/>
        </w:rPr>
        <w:t>，如需要维护</w:t>
      </w:r>
      <w:r>
        <w:rPr>
          <w:rFonts w:hint="eastAsia" w:ascii="宋体" w:hAnsi="宋体" w:cs="宋体"/>
          <w:sz w:val="24"/>
        </w:rPr>
        <w:t>乙方只收货物维</w:t>
      </w:r>
      <w:r>
        <w:rPr>
          <w:rFonts w:hint="eastAsia" w:ascii="宋体" w:hAnsi="宋体" w:cs="宋体"/>
          <w:sz w:val="24"/>
          <w:lang w:val="en-US" w:eastAsia="zh-CN"/>
        </w:rPr>
        <w:t>修</w:t>
      </w:r>
      <w:r>
        <w:rPr>
          <w:rFonts w:hint="eastAsia" w:ascii="宋体" w:hAnsi="宋体" w:cs="宋体"/>
          <w:sz w:val="24"/>
        </w:rPr>
        <w:t>的材料费。</w:t>
      </w:r>
    </w:p>
    <w:p w14:paraId="5AE35EDE">
      <w:pPr>
        <w:numPr>
          <w:ilvl w:val="0"/>
          <w:numId w:val="9"/>
        </w:numPr>
        <w:spacing w:line="312" w:lineRule="auto"/>
        <w:ind w:firstLine="480" w:firstLineChars="200"/>
        <w:rPr>
          <w:rFonts w:hint="eastAsia" w:ascii="宋体" w:hAnsi="宋体" w:cs="宋体"/>
          <w:sz w:val="24"/>
        </w:rPr>
      </w:pPr>
      <w:r>
        <w:rPr>
          <w:rFonts w:hint="eastAsia" w:ascii="宋体" w:hAnsi="宋体" w:cs="宋体"/>
          <w:sz w:val="24"/>
        </w:rPr>
        <w:t>乙方应提供产品保修卡按产品规定保修期限及内容以及服务厂家的其它承诺条款实行保修，并提供终身维修服务卡。</w:t>
      </w:r>
    </w:p>
    <w:p w14:paraId="44BBCE79">
      <w:pPr>
        <w:numPr>
          <w:ilvl w:val="0"/>
          <w:numId w:val="9"/>
        </w:numPr>
        <w:topLinePunct/>
        <w:spacing w:line="312" w:lineRule="auto"/>
        <w:ind w:right="248" w:rightChars="118" w:firstLine="480"/>
        <w:rPr>
          <w:rFonts w:hint="eastAsia" w:ascii="宋体" w:hAnsi="宋体" w:cs="宋体"/>
          <w:sz w:val="24"/>
        </w:rPr>
      </w:pPr>
      <w:r>
        <w:rPr>
          <w:rFonts w:hint="eastAsia" w:ascii="宋体" w:hAnsi="宋体" w:cs="宋体"/>
          <w:sz w:val="24"/>
        </w:rPr>
        <w:t>本合同所指的货物自验收合格之日起，按照约定的保修期限进行保修；对于超过保修期的</w:t>
      </w:r>
      <w:r>
        <w:rPr>
          <w:rFonts w:hint="eastAsia" w:ascii="宋体" w:hAnsi="宋体" w:cs="宋体"/>
          <w:sz w:val="24"/>
          <w:lang w:eastAsia="zh-CN"/>
        </w:rPr>
        <w:t>货物</w:t>
      </w:r>
      <w:r>
        <w:rPr>
          <w:rFonts w:hint="eastAsia" w:ascii="宋体" w:hAnsi="宋体" w:cs="宋体"/>
          <w:sz w:val="24"/>
        </w:rPr>
        <w:t>，甲方有权自主选择除乙方之外的维修单位，如选择乙方负责维修，维修时乙方只能收部件成本费，免收人工费,免收维修费。</w:t>
      </w:r>
    </w:p>
    <w:p w14:paraId="3AA78736">
      <w:pPr>
        <w:spacing w:line="312" w:lineRule="auto"/>
        <w:ind w:firstLine="480" w:firstLineChars="200"/>
        <w:rPr>
          <w:rFonts w:hint="eastAsia" w:ascii="宋体" w:hAnsi="宋体" w:cs="宋体"/>
          <w:sz w:val="24"/>
        </w:rPr>
      </w:pPr>
      <w:r>
        <w:rPr>
          <w:rFonts w:hint="eastAsia" w:ascii="宋体" w:hAnsi="宋体" w:cs="宋体"/>
          <w:sz w:val="24"/>
          <w:lang w:val="en-US" w:eastAsia="zh-CN"/>
        </w:rPr>
        <w:t>3</w:t>
      </w:r>
      <w:r>
        <w:rPr>
          <w:rFonts w:hint="eastAsia" w:ascii="宋体" w:hAnsi="宋体" w:cs="宋体"/>
          <w:sz w:val="24"/>
        </w:rPr>
        <w:t>.乙方按照甲方的需要进行技术培训</w:t>
      </w:r>
    </w:p>
    <w:p w14:paraId="32CFA664">
      <w:pPr>
        <w:spacing w:line="312" w:lineRule="auto"/>
        <w:ind w:firstLine="480" w:firstLineChars="200"/>
        <w:rPr>
          <w:rFonts w:hint="eastAsia" w:ascii="宋体" w:hAnsi="宋体" w:cs="宋体"/>
          <w:sz w:val="24"/>
        </w:rPr>
      </w:pPr>
      <w:r>
        <w:rPr>
          <w:rFonts w:hint="eastAsia" w:ascii="宋体" w:hAnsi="宋体" w:cs="宋体"/>
          <w:sz w:val="24"/>
        </w:rPr>
        <w:t>乙方按照甲方的要求免费对本项目培训不少于名专业人员。</w:t>
      </w:r>
    </w:p>
    <w:p w14:paraId="57834001">
      <w:pPr>
        <w:spacing w:line="312" w:lineRule="auto"/>
        <w:ind w:firstLine="480" w:firstLineChars="200"/>
        <w:rPr>
          <w:rFonts w:hint="eastAsia" w:ascii="宋体" w:hAnsi="宋体" w:eastAsia="宋体" w:cs="宋体"/>
          <w:sz w:val="24"/>
        </w:rPr>
      </w:pPr>
      <w:r>
        <w:rPr>
          <w:rFonts w:hint="eastAsia" w:ascii="宋体" w:hAnsi="宋体" w:eastAsia="宋体" w:cs="宋体"/>
          <w:sz w:val="24"/>
        </w:rPr>
        <w:t>乙方负责系统安装和调试以及操作人员培训，并制定详细的培训计划，使操作人员能独立进行管理、操作、维护和故障处理等工作，做好相关记录及技术文档收集整理，待验收合格后移交给甲方。</w:t>
      </w:r>
    </w:p>
    <w:p w14:paraId="5F519E0C">
      <w:pPr>
        <w:spacing w:line="312" w:lineRule="auto"/>
        <w:ind w:firstLine="480" w:firstLineChars="200"/>
        <w:rPr>
          <w:rFonts w:hint="eastAsia" w:ascii="宋体" w:hAnsi="宋体" w:cs="宋体"/>
          <w:sz w:val="24"/>
        </w:rPr>
      </w:pPr>
      <w:r>
        <w:rPr>
          <w:rFonts w:hint="eastAsia" w:ascii="宋体" w:hAnsi="宋体" w:cs="宋体"/>
          <w:sz w:val="24"/>
          <w:lang w:val="en-US" w:eastAsia="zh-CN"/>
        </w:rPr>
        <w:t>4.</w:t>
      </w:r>
      <w:r>
        <w:rPr>
          <w:rFonts w:hint="eastAsia" w:ascii="宋体" w:hAnsi="宋体" w:cs="宋体"/>
          <w:sz w:val="24"/>
        </w:rPr>
        <w:t>知识产权</w:t>
      </w:r>
    </w:p>
    <w:p w14:paraId="4D10283C">
      <w:pPr>
        <w:spacing w:line="312" w:lineRule="auto"/>
        <w:ind w:firstLine="420" w:firstLineChars="200"/>
        <w:rPr>
          <w:rFonts w:hint="eastAsia"/>
        </w:rPr>
      </w:pPr>
      <w:r>
        <w:rPr>
          <w:rFonts w:hint="eastAsia"/>
        </w:rPr>
        <w:t>乙方为执行本合同而提供的技术资料或者其他相关资料、软件等由甲方永久免费使用。</w:t>
      </w:r>
    </w:p>
    <w:p w14:paraId="66FFC1A7">
      <w:pPr>
        <w:spacing w:line="312" w:lineRule="auto"/>
        <w:rPr>
          <w:rFonts w:hint="eastAsia" w:ascii="宋体" w:hAnsi="宋体" w:cs="宋体"/>
          <w:b/>
          <w:bCs/>
          <w:sz w:val="24"/>
          <w:u w:val="single"/>
        </w:rPr>
      </w:pPr>
      <w:r>
        <w:rPr>
          <w:rFonts w:hint="eastAsia" w:ascii="宋体" w:hAnsi="宋体" w:cs="宋体"/>
          <w:b/>
          <w:bCs/>
          <w:sz w:val="24"/>
          <w:u w:val="single"/>
        </w:rPr>
        <w:t>（以上条款以中标方投标文件约定为准，投标文件中未包含的以招标文件和双方约定为准）。</w:t>
      </w:r>
    </w:p>
    <w:p w14:paraId="1D419120">
      <w:pPr>
        <w:spacing w:line="312" w:lineRule="auto"/>
        <w:rPr>
          <w:rFonts w:hint="eastAsia" w:ascii="黑体" w:hAnsi="黑体" w:eastAsia="黑体" w:cs="黑体"/>
          <w:b/>
          <w:szCs w:val="28"/>
        </w:rPr>
      </w:pPr>
      <w:r>
        <w:rPr>
          <w:rFonts w:hint="eastAsia" w:ascii="黑体" w:hAnsi="黑体" w:eastAsia="黑体" w:cs="黑体"/>
          <w:b/>
          <w:szCs w:val="28"/>
        </w:rPr>
        <w:t>第五条违约行为及违约责任</w:t>
      </w:r>
    </w:p>
    <w:p w14:paraId="3B811D45">
      <w:pPr>
        <w:spacing w:line="312" w:lineRule="auto"/>
        <w:ind w:firstLine="480" w:firstLineChars="200"/>
        <w:rPr>
          <w:rFonts w:hint="eastAsia" w:ascii="宋体" w:hAnsi="宋体" w:eastAsia="宋体" w:cs="宋体"/>
          <w:sz w:val="24"/>
        </w:rPr>
      </w:pPr>
      <w:r>
        <w:rPr>
          <w:rFonts w:hint="eastAsia" w:ascii="宋体" w:hAnsi="宋体" w:eastAsia="宋体" w:cs="宋体"/>
          <w:sz w:val="24"/>
        </w:rPr>
        <w:t>1.乙方有下列行为将作为违约并承担违约责任：</w:t>
      </w:r>
    </w:p>
    <w:p w14:paraId="07D5145A">
      <w:pPr>
        <w:spacing w:line="312" w:lineRule="auto"/>
        <w:ind w:firstLine="480" w:firstLineChars="200"/>
        <w:rPr>
          <w:rFonts w:hint="default" w:ascii="宋体" w:hAnsi="宋体" w:eastAsia="宋体" w:cs="宋体"/>
          <w:sz w:val="24"/>
          <w:lang w:val="en-US" w:eastAsia="zh-CN"/>
        </w:rPr>
      </w:pPr>
      <w:r>
        <w:rPr>
          <w:rFonts w:hint="eastAsia" w:ascii="宋体" w:hAnsi="宋体" w:eastAsia="宋体" w:cs="宋体"/>
          <w:sz w:val="24"/>
        </w:rPr>
        <w:t>（1）</w:t>
      </w:r>
      <w:r>
        <w:rPr>
          <w:rFonts w:hint="eastAsia" w:ascii="宋体" w:hAnsi="宋体" w:cs="宋体"/>
          <w:sz w:val="24"/>
          <w:lang w:val="en-US" w:eastAsia="zh-CN"/>
        </w:rPr>
        <w:t>乙方</w:t>
      </w:r>
      <w:r>
        <w:rPr>
          <w:rFonts w:hint="eastAsia" w:ascii="宋体" w:hAnsi="宋体" w:eastAsia="宋体" w:cs="宋体"/>
          <w:sz w:val="24"/>
        </w:rPr>
        <w:t>逾期</w:t>
      </w:r>
      <w:r>
        <w:rPr>
          <w:rFonts w:hint="eastAsia" w:ascii="宋体" w:hAnsi="宋体" w:cs="宋体"/>
          <w:sz w:val="24"/>
          <w:lang w:val="en-US" w:eastAsia="zh-CN"/>
        </w:rPr>
        <w:t>交付的</w:t>
      </w:r>
      <w:r>
        <w:rPr>
          <w:rFonts w:hint="eastAsia" w:ascii="宋体" w:hAnsi="宋体" w:eastAsia="宋体" w:cs="宋体"/>
          <w:sz w:val="24"/>
        </w:rPr>
        <w:t>，应</w:t>
      </w:r>
      <w:r>
        <w:rPr>
          <w:rFonts w:hint="eastAsia" w:ascii="宋体" w:hAnsi="宋体" w:cs="宋体"/>
          <w:sz w:val="24"/>
          <w:lang w:val="en-US" w:eastAsia="zh-CN"/>
        </w:rPr>
        <w:t>每日</w:t>
      </w:r>
      <w:r>
        <w:rPr>
          <w:rFonts w:hint="eastAsia" w:ascii="宋体" w:hAnsi="宋体" w:eastAsia="宋体" w:cs="宋体"/>
          <w:sz w:val="24"/>
        </w:rPr>
        <w:t>按合同</w:t>
      </w:r>
      <w:r>
        <w:rPr>
          <w:rFonts w:hint="eastAsia" w:ascii="宋体" w:hAnsi="宋体" w:cs="宋体"/>
          <w:sz w:val="24"/>
          <w:lang w:val="en-US" w:eastAsia="zh-CN"/>
        </w:rPr>
        <w:t>金额的万分之五</w:t>
      </w:r>
      <w:r>
        <w:rPr>
          <w:rFonts w:hint="eastAsia" w:ascii="宋体" w:hAnsi="宋体" w:eastAsia="宋体" w:cs="宋体"/>
          <w:sz w:val="24"/>
        </w:rPr>
        <w:t>向甲方支付违约金，直至交</w:t>
      </w:r>
      <w:r>
        <w:rPr>
          <w:rFonts w:hint="eastAsia" w:ascii="宋体" w:hAnsi="宋体" w:cs="宋体"/>
          <w:sz w:val="24"/>
          <w:lang w:val="en-US" w:eastAsia="zh-CN"/>
        </w:rPr>
        <w:t>付</w:t>
      </w:r>
      <w:r>
        <w:rPr>
          <w:rFonts w:hint="eastAsia" w:ascii="宋体" w:hAnsi="宋体" w:eastAsia="宋体" w:cs="宋体"/>
          <w:sz w:val="24"/>
        </w:rPr>
        <w:t>为止。逾期超过约定日期30个</w:t>
      </w:r>
      <w:r>
        <w:rPr>
          <w:rFonts w:hint="eastAsia" w:ascii="宋体" w:hAnsi="宋体"/>
          <w:sz w:val="24"/>
        </w:rPr>
        <w:sym w:font="Wingdings 2" w:char="00A3"/>
      </w:r>
      <w:r>
        <w:rPr>
          <w:rFonts w:hint="eastAsia" w:ascii="宋体" w:hAnsi="宋体"/>
          <w:sz w:val="24"/>
          <w:lang w:eastAsia="zh-CN"/>
        </w:rPr>
        <w:t>日历</w:t>
      </w:r>
      <w:r>
        <w:rPr>
          <w:rFonts w:hint="eastAsia" w:ascii="宋体" w:hAnsi="宋体"/>
          <w:sz w:val="24"/>
        </w:rPr>
        <w:t>日</w:t>
      </w:r>
      <w:r>
        <w:rPr>
          <w:rFonts w:hint="eastAsia" w:ascii="宋体" w:hAnsi="宋体"/>
          <w:sz w:val="24"/>
        </w:rPr>
        <w:sym w:font="Wingdings 2" w:char="00A3"/>
      </w:r>
      <w:r>
        <w:rPr>
          <w:rFonts w:hint="eastAsia" w:ascii="宋体" w:hAnsi="宋体"/>
          <w:sz w:val="24"/>
          <w:lang w:eastAsia="zh-CN"/>
        </w:rPr>
        <w:t>工作日</w:t>
      </w:r>
      <w:r>
        <w:rPr>
          <w:rFonts w:hint="eastAsia" w:ascii="宋体" w:hAnsi="宋体" w:eastAsia="宋体" w:cs="宋体"/>
          <w:sz w:val="24"/>
        </w:rPr>
        <w:t>不能交付的，甲方可单方解除本合同</w:t>
      </w:r>
      <w:r>
        <w:rPr>
          <w:rFonts w:hint="eastAsia" w:ascii="宋体" w:hAnsi="宋体" w:cs="宋体"/>
          <w:sz w:val="24"/>
          <w:lang w:val="en-US" w:eastAsia="zh-CN"/>
        </w:rPr>
        <w:t>并</w:t>
      </w:r>
      <w:r>
        <w:rPr>
          <w:rFonts w:hint="eastAsia" w:ascii="宋体" w:hAnsi="宋体" w:eastAsia="宋体" w:cs="宋体"/>
          <w:sz w:val="24"/>
        </w:rPr>
        <w:t>要求乙方承担合同金额</w:t>
      </w:r>
      <w:r>
        <w:rPr>
          <w:rFonts w:hint="eastAsia" w:ascii="宋体" w:hAnsi="宋体" w:cs="宋体"/>
          <w:sz w:val="24"/>
          <w:lang w:val="en-US" w:eastAsia="zh-CN"/>
        </w:rPr>
        <w:t>2</w:t>
      </w:r>
      <w:r>
        <w:rPr>
          <w:rFonts w:hint="eastAsia" w:ascii="宋体" w:hAnsi="宋体" w:eastAsia="宋体" w:cs="宋体"/>
          <w:sz w:val="24"/>
        </w:rPr>
        <w:t>0%的违约金</w:t>
      </w:r>
      <w:r>
        <w:rPr>
          <w:rFonts w:hint="eastAsia" w:ascii="宋体" w:hAnsi="宋体" w:cs="宋体"/>
          <w:sz w:val="24"/>
          <w:lang w:eastAsia="zh-CN"/>
        </w:rPr>
        <w:t>（</w:t>
      </w:r>
      <w:r>
        <w:rPr>
          <w:rFonts w:hint="eastAsia" w:ascii="宋体" w:hAnsi="宋体" w:cs="宋体"/>
          <w:sz w:val="24"/>
          <w:lang w:val="en-US" w:eastAsia="zh-CN"/>
        </w:rPr>
        <w:t>可与前述逾期交付违约金累加</w:t>
      </w:r>
      <w:r>
        <w:rPr>
          <w:rFonts w:hint="eastAsia" w:ascii="宋体" w:hAnsi="宋体" w:cs="宋体"/>
          <w:sz w:val="24"/>
          <w:lang w:eastAsia="zh-CN"/>
        </w:rPr>
        <w:t>）。</w:t>
      </w:r>
      <w:r>
        <w:rPr>
          <w:rFonts w:hint="eastAsia" w:ascii="宋体" w:hAnsi="宋体" w:cs="宋体"/>
          <w:sz w:val="24"/>
          <w:lang w:val="en-US" w:eastAsia="zh-CN"/>
        </w:rPr>
        <w:t>约定的违约金不能弥补甲方的实际经济损失的，由乙方另行赔偿。</w:t>
      </w:r>
    </w:p>
    <w:p w14:paraId="490E8CC9">
      <w:pPr>
        <w:spacing w:line="312" w:lineRule="auto"/>
        <w:ind w:firstLine="480" w:firstLineChars="200"/>
        <w:rPr>
          <w:rFonts w:hint="eastAsia" w:ascii="宋体" w:hAnsi="宋体" w:eastAsia="宋体" w:cs="宋体"/>
          <w:sz w:val="24"/>
        </w:rPr>
      </w:pPr>
      <w:r>
        <w:rPr>
          <w:rFonts w:hint="eastAsia" w:ascii="宋体" w:hAnsi="宋体" w:eastAsia="宋体" w:cs="宋体"/>
          <w:sz w:val="24"/>
        </w:rPr>
        <w:t>（2）交付货物</w:t>
      </w:r>
      <w:r>
        <w:rPr>
          <w:rFonts w:hint="eastAsia" w:ascii="宋体" w:hAnsi="宋体" w:cs="宋体"/>
          <w:sz w:val="24"/>
          <w:lang w:eastAsia="zh-CN"/>
        </w:rPr>
        <w:t>（</w:t>
      </w:r>
      <w:r>
        <w:rPr>
          <w:rFonts w:hint="eastAsia" w:ascii="宋体" w:hAnsi="宋体" w:cs="宋体"/>
          <w:sz w:val="24"/>
          <w:lang w:val="en-US" w:eastAsia="zh-CN"/>
        </w:rPr>
        <w:t>含附带的软件、技术服务等</w:t>
      </w:r>
      <w:r>
        <w:rPr>
          <w:rFonts w:hint="eastAsia" w:ascii="宋体" w:hAnsi="宋体" w:cs="宋体"/>
          <w:sz w:val="24"/>
          <w:lang w:eastAsia="zh-CN"/>
        </w:rPr>
        <w:t>）</w:t>
      </w:r>
      <w:r>
        <w:rPr>
          <w:rFonts w:hint="eastAsia" w:ascii="宋体" w:hAnsi="宋体" w:eastAsia="宋体" w:cs="宋体"/>
          <w:sz w:val="24"/>
        </w:rPr>
        <w:t>的规格和技术参数、质量等跟乙方的投标文件中相关承诺存在着不符</w:t>
      </w:r>
      <w:r>
        <w:rPr>
          <w:rFonts w:hint="eastAsia" w:ascii="宋体" w:hAnsi="宋体" w:cs="宋体"/>
          <w:sz w:val="24"/>
          <w:lang w:val="en-US" w:eastAsia="zh-CN"/>
        </w:rPr>
        <w:t>的</w:t>
      </w:r>
      <w:r>
        <w:rPr>
          <w:rFonts w:hint="eastAsia" w:ascii="宋体" w:hAnsi="宋体" w:eastAsia="宋体" w:cs="宋体"/>
          <w:sz w:val="24"/>
        </w:rPr>
        <w:t>，由乙方负责更换、补发，因此造成逾期交付的由乙方承担违约责任。若乙方拒绝更换、补发，或乙方的行为已经严重影响合同履行而不能实现甲方的合同目的的，甲方有权解除合同并要求乙方承担合同金额</w:t>
      </w:r>
      <w:r>
        <w:rPr>
          <w:rFonts w:hint="eastAsia" w:ascii="宋体" w:hAnsi="宋体" w:cs="宋体"/>
          <w:sz w:val="24"/>
          <w:lang w:val="en-US" w:eastAsia="zh-CN"/>
        </w:rPr>
        <w:t>2</w:t>
      </w:r>
      <w:r>
        <w:rPr>
          <w:rFonts w:hint="eastAsia" w:ascii="宋体" w:hAnsi="宋体" w:eastAsia="宋体" w:cs="宋体"/>
          <w:sz w:val="24"/>
        </w:rPr>
        <w:t>0%的违约金，</w:t>
      </w:r>
      <w:r>
        <w:rPr>
          <w:rFonts w:hint="eastAsia" w:ascii="宋体" w:hAnsi="宋体" w:cs="宋体"/>
          <w:sz w:val="24"/>
          <w:lang w:val="en-US" w:eastAsia="zh-CN"/>
        </w:rPr>
        <w:t>约定的违约金不能弥补甲方的实际经济损失的，由乙方另行赔偿。</w:t>
      </w:r>
    </w:p>
    <w:p w14:paraId="2AA68228">
      <w:pPr>
        <w:spacing w:line="312" w:lineRule="auto"/>
        <w:ind w:firstLine="480" w:firstLineChars="200"/>
        <w:rPr>
          <w:rFonts w:hint="eastAsia" w:ascii="宋体" w:hAnsi="宋体" w:cs="宋体"/>
          <w:sz w:val="24"/>
        </w:rPr>
      </w:pPr>
      <w:r>
        <w:rPr>
          <w:rFonts w:hint="eastAsia" w:ascii="宋体" w:hAnsi="宋体" w:cs="宋体"/>
          <w:sz w:val="24"/>
        </w:rPr>
        <w:t>（3）本次招标</w:t>
      </w:r>
      <w:r>
        <w:rPr>
          <w:rFonts w:hint="eastAsia" w:ascii="宋体" w:hAnsi="宋体" w:cs="宋体"/>
          <w:sz w:val="24"/>
          <w:lang w:eastAsia="zh-CN"/>
        </w:rPr>
        <w:t>货物</w:t>
      </w:r>
      <w:r>
        <w:rPr>
          <w:rFonts w:hint="eastAsia" w:ascii="宋体" w:hAnsi="宋体" w:cs="宋体"/>
          <w:sz w:val="24"/>
        </w:rPr>
        <w:t>及各种配件、易损件的价格高于市场平均价的。</w:t>
      </w:r>
    </w:p>
    <w:p w14:paraId="65CB5373">
      <w:pPr>
        <w:spacing w:line="312" w:lineRule="auto"/>
        <w:ind w:firstLine="480" w:firstLineChars="200"/>
        <w:rPr>
          <w:rFonts w:hint="eastAsia" w:ascii="宋体" w:hAnsi="宋体" w:cs="宋体"/>
          <w:sz w:val="24"/>
        </w:rPr>
      </w:pPr>
      <w:r>
        <w:rPr>
          <w:rFonts w:hint="eastAsia" w:ascii="宋体" w:hAnsi="宋体" w:cs="宋体"/>
          <w:sz w:val="24"/>
        </w:rPr>
        <w:t>（4）不履行合同条款或只履行部分合同条款，或拒绝履行合同义务。</w:t>
      </w:r>
    </w:p>
    <w:p w14:paraId="7D8B847C">
      <w:pPr>
        <w:spacing w:line="312" w:lineRule="auto"/>
        <w:ind w:firstLine="480" w:firstLineChars="200"/>
        <w:rPr>
          <w:rFonts w:hint="eastAsia" w:ascii="宋体" w:hAnsi="宋体" w:cs="宋体"/>
          <w:color w:val="000000"/>
          <w:sz w:val="24"/>
        </w:rPr>
      </w:pPr>
      <w:r>
        <w:rPr>
          <w:rFonts w:hint="eastAsia" w:ascii="宋体" w:hAnsi="宋体" w:cs="宋体"/>
          <w:color w:val="000000"/>
          <w:sz w:val="24"/>
        </w:rPr>
        <w:t>（5）不履行售后服务承诺及相关的</w:t>
      </w:r>
      <w:r>
        <w:rPr>
          <w:rFonts w:hint="eastAsia" w:ascii="宋体" w:hAnsi="宋体" w:cs="宋体"/>
          <w:color w:val="000000"/>
          <w:sz w:val="24"/>
          <w:lang w:val="en-US" w:eastAsia="zh-CN"/>
        </w:rPr>
        <w:t>附</w:t>
      </w:r>
      <w:r>
        <w:rPr>
          <w:rFonts w:hint="eastAsia" w:ascii="宋体" w:hAnsi="宋体" w:cs="宋体"/>
          <w:color w:val="000000"/>
          <w:sz w:val="24"/>
        </w:rPr>
        <w:t>随服务。</w:t>
      </w:r>
    </w:p>
    <w:p w14:paraId="47FE32C4">
      <w:pPr>
        <w:spacing w:line="312" w:lineRule="auto"/>
        <w:ind w:firstLine="480" w:firstLineChars="200"/>
        <w:rPr>
          <w:rFonts w:hint="eastAsia" w:ascii="宋体" w:hAnsi="宋体" w:eastAsia="宋体" w:cs="宋体"/>
          <w:color w:val="000000"/>
          <w:sz w:val="24"/>
        </w:rPr>
      </w:pPr>
      <w:r>
        <w:rPr>
          <w:rFonts w:hint="eastAsia" w:ascii="宋体" w:hAnsi="宋体" w:eastAsia="宋体" w:cs="宋体"/>
          <w:color w:val="000000"/>
          <w:sz w:val="24"/>
        </w:rPr>
        <w:t>（6）没有按本合同的约定提供质量保证期服务的。</w:t>
      </w:r>
    </w:p>
    <w:p w14:paraId="25AB7BD1">
      <w:pPr>
        <w:spacing w:line="312" w:lineRule="auto"/>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rPr>
        <w:t>（7）提供的货物侵犯了第三方合法权益</w:t>
      </w:r>
      <w:r>
        <w:rPr>
          <w:rFonts w:hint="eastAsia" w:ascii="宋体" w:hAnsi="宋体" w:eastAsia="宋体" w:cs="宋体"/>
          <w:color w:val="000000"/>
          <w:sz w:val="24"/>
          <w:lang w:eastAsia="zh-CN"/>
        </w:rPr>
        <w:t>。</w:t>
      </w:r>
    </w:p>
    <w:p w14:paraId="0A3C9712">
      <w:pPr>
        <w:spacing w:line="312" w:lineRule="auto"/>
        <w:ind w:firstLine="480" w:firstLineChars="200"/>
        <w:rPr>
          <w:rFonts w:hint="eastAsia" w:ascii="宋体" w:hAnsi="宋体" w:eastAsia="宋体" w:cs="宋体"/>
          <w:color w:val="000000"/>
          <w:sz w:val="24"/>
          <w:lang w:eastAsia="zh-CN"/>
        </w:rPr>
      </w:pPr>
      <w:r>
        <w:rPr>
          <w:rFonts w:hint="eastAsia" w:ascii="宋体" w:hAnsi="宋体" w:eastAsia="宋体" w:cs="宋体"/>
          <w:color w:val="000000"/>
          <w:sz w:val="24"/>
          <w:lang w:eastAsia="zh-CN"/>
        </w:rPr>
        <w:t>（</w:t>
      </w:r>
      <w:r>
        <w:rPr>
          <w:rFonts w:hint="eastAsia" w:ascii="宋体" w:hAnsi="宋体" w:eastAsia="宋体" w:cs="宋体"/>
          <w:color w:val="000000"/>
          <w:sz w:val="24"/>
          <w:lang w:val="en-US" w:eastAsia="zh-CN"/>
        </w:rPr>
        <w:t>8</w:t>
      </w:r>
      <w:r>
        <w:rPr>
          <w:rFonts w:hint="eastAsia" w:ascii="宋体" w:hAnsi="宋体" w:eastAsia="宋体" w:cs="宋体"/>
          <w:color w:val="000000"/>
          <w:sz w:val="24"/>
          <w:lang w:eastAsia="zh-CN"/>
        </w:rPr>
        <w:t>）违反政府采购法和国家其他的相关法律法规。</w:t>
      </w:r>
    </w:p>
    <w:p w14:paraId="68A2B082">
      <w:pPr>
        <w:spacing w:line="312" w:lineRule="auto"/>
        <w:ind w:firstLine="482" w:firstLineChars="200"/>
        <w:rPr>
          <w:rFonts w:hint="eastAsia" w:ascii="宋体" w:hAnsi="宋体" w:eastAsia="宋体" w:cs="宋体"/>
          <w:b/>
          <w:bCs/>
          <w:color w:val="000000"/>
          <w:sz w:val="24"/>
          <w:lang w:eastAsia="zh-CN"/>
        </w:rPr>
      </w:pPr>
      <w:r>
        <w:rPr>
          <w:rFonts w:hint="eastAsia" w:ascii="宋体" w:hAnsi="宋体" w:eastAsia="宋体" w:cs="宋体"/>
          <w:b/>
          <w:bCs/>
          <w:color w:val="000000"/>
          <w:sz w:val="24"/>
          <w:lang w:eastAsia="zh-CN"/>
        </w:rPr>
        <w:t>违反本条款第（3）至（</w:t>
      </w:r>
      <w:r>
        <w:rPr>
          <w:rFonts w:hint="eastAsia" w:ascii="宋体" w:hAnsi="宋体" w:eastAsia="宋体" w:cs="宋体"/>
          <w:b/>
          <w:bCs/>
          <w:color w:val="000000"/>
          <w:sz w:val="24"/>
          <w:lang w:val="en-US" w:eastAsia="zh-CN"/>
        </w:rPr>
        <w:t>8</w:t>
      </w:r>
      <w:r>
        <w:rPr>
          <w:rFonts w:hint="eastAsia" w:ascii="宋体" w:hAnsi="宋体" w:eastAsia="宋体" w:cs="宋体"/>
          <w:b/>
          <w:bCs/>
          <w:color w:val="000000"/>
          <w:sz w:val="24"/>
          <w:lang w:eastAsia="zh-CN"/>
        </w:rPr>
        <w:t>）项时，甲方有权单方</w:t>
      </w:r>
      <w:r>
        <w:rPr>
          <w:rFonts w:hint="eastAsia" w:ascii="宋体" w:hAnsi="宋体" w:cs="宋体"/>
          <w:b/>
          <w:bCs/>
          <w:color w:val="000000"/>
          <w:sz w:val="24"/>
          <w:lang w:val="en-US" w:eastAsia="zh-CN"/>
        </w:rPr>
        <w:t>终</w:t>
      </w:r>
      <w:r>
        <w:rPr>
          <w:rFonts w:hint="eastAsia" w:ascii="宋体" w:hAnsi="宋体" w:eastAsia="宋体" w:cs="宋体"/>
          <w:b/>
          <w:bCs/>
          <w:color w:val="000000"/>
          <w:sz w:val="24"/>
          <w:lang w:eastAsia="zh-CN"/>
        </w:rPr>
        <w:t>止合同并要求乙方承担合同金额</w:t>
      </w:r>
      <w:r>
        <w:rPr>
          <w:rFonts w:hint="eastAsia" w:ascii="宋体" w:hAnsi="宋体" w:cs="宋体"/>
          <w:b/>
          <w:bCs/>
          <w:color w:val="000000"/>
          <w:sz w:val="24"/>
          <w:lang w:val="en-US" w:eastAsia="zh-CN"/>
        </w:rPr>
        <w:t>2</w:t>
      </w:r>
      <w:r>
        <w:rPr>
          <w:rFonts w:hint="eastAsia" w:ascii="宋体" w:hAnsi="宋体" w:eastAsia="宋体" w:cs="宋体"/>
          <w:b/>
          <w:bCs/>
          <w:color w:val="000000"/>
          <w:sz w:val="24"/>
          <w:lang w:eastAsia="zh-CN"/>
        </w:rPr>
        <w:t>0%的违约金</w:t>
      </w:r>
      <w:r>
        <w:rPr>
          <w:rFonts w:hint="eastAsia" w:ascii="宋体" w:hAnsi="宋体" w:cs="宋体"/>
          <w:b/>
          <w:bCs/>
          <w:color w:val="000000"/>
          <w:sz w:val="24"/>
          <w:lang w:eastAsia="zh-CN"/>
        </w:rPr>
        <w:t>。</w:t>
      </w:r>
      <w:r>
        <w:rPr>
          <w:rFonts w:hint="eastAsia" w:ascii="宋体" w:hAnsi="宋体" w:cs="宋体"/>
          <w:sz w:val="24"/>
          <w:lang w:val="en-US" w:eastAsia="zh-CN"/>
        </w:rPr>
        <w:t>约定的违约金不能弥补甲方的实际经济损失的，由乙方另行赔偿。</w:t>
      </w:r>
    </w:p>
    <w:p w14:paraId="64DD3169">
      <w:pPr>
        <w:spacing w:line="312" w:lineRule="auto"/>
        <w:ind w:firstLine="480" w:firstLineChars="200"/>
        <w:rPr>
          <w:rFonts w:hint="eastAsia" w:ascii="宋体" w:hAnsi="宋体" w:cs="宋体"/>
          <w:sz w:val="24"/>
        </w:rPr>
      </w:pPr>
      <w:r>
        <w:rPr>
          <w:rFonts w:hint="eastAsia" w:ascii="宋体" w:hAnsi="宋体" w:cs="宋体"/>
          <w:sz w:val="24"/>
        </w:rPr>
        <w:t>2.甲方有下列行为将作为违约并承担违约责任：</w:t>
      </w:r>
    </w:p>
    <w:p w14:paraId="260AE39E">
      <w:pPr>
        <w:spacing w:line="312" w:lineRule="auto"/>
        <w:ind w:firstLine="480" w:firstLineChars="200"/>
        <w:rPr>
          <w:rFonts w:hint="eastAsia" w:ascii="宋体" w:hAnsi="宋体" w:cs="宋体"/>
          <w:sz w:val="24"/>
        </w:rPr>
      </w:pPr>
      <w:r>
        <w:rPr>
          <w:rFonts w:hint="eastAsia" w:ascii="宋体" w:hAnsi="宋体" w:cs="宋体"/>
          <w:sz w:val="24"/>
        </w:rPr>
        <w:t>（1）无正当理由拒绝接受乙方交付的货物或</w:t>
      </w:r>
      <w:r>
        <w:rPr>
          <w:rFonts w:hint="eastAsia" w:ascii="宋体" w:hAnsi="宋体" w:cs="宋体"/>
          <w:sz w:val="24"/>
          <w:lang w:val="en-US" w:eastAsia="zh-CN"/>
        </w:rPr>
        <w:t>拖延</w:t>
      </w:r>
      <w:r>
        <w:rPr>
          <w:rFonts w:hint="eastAsia" w:ascii="宋体" w:hAnsi="宋体" w:cs="宋体"/>
          <w:sz w:val="24"/>
        </w:rPr>
        <w:t>验收。违反本条款时，甲方应按</w:t>
      </w:r>
      <w:r>
        <w:rPr>
          <w:rFonts w:hint="eastAsia" w:ascii="宋体" w:hAnsi="宋体" w:cs="宋体"/>
          <w:sz w:val="24"/>
          <w:lang w:val="en-US" w:eastAsia="zh-CN"/>
        </w:rPr>
        <w:t>应付金额</w:t>
      </w:r>
      <w:r>
        <w:rPr>
          <w:rFonts w:hint="eastAsia" w:ascii="宋体" w:hAnsi="宋体" w:cs="宋体"/>
          <w:sz w:val="24"/>
        </w:rPr>
        <w:t>的每日</w:t>
      </w:r>
      <w:r>
        <w:rPr>
          <w:rFonts w:hint="eastAsia" w:ascii="宋体" w:hAnsi="宋体" w:cs="宋体"/>
          <w:sz w:val="24"/>
          <w:lang w:val="en-US" w:eastAsia="zh-CN"/>
        </w:rPr>
        <w:t>万分之五</w:t>
      </w:r>
      <w:r>
        <w:rPr>
          <w:rFonts w:hint="eastAsia" w:ascii="宋体" w:hAnsi="宋体" w:cs="宋体"/>
          <w:sz w:val="24"/>
        </w:rPr>
        <w:t>向乙方支付违约金，但违约金的最高不超过货款的百分之五。</w:t>
      </w:r>
    </w:p>
    <w:p w14:paraId="77601292">
      <w:pPr>
        <w:spacing w:line="312" w:lineRule="auto"/>
        <w:ind w:firstLine="480" w:firstLineChars="200"/>
        <w:rPr>
          <w:rFonts w:hint="eastAsia" w:ascii="宋体" w:hAnsi="宋体" w:cs="宋体"/>
          <w:sz w:val="24"/>
        </w:rPr>
      </w:pPr>
      <w:r>
        <w:rPr>
          <w:rFonts w:hint="eastAsia" w:ascii="宋体" w:hAnsi="宋体" w:cs="宋体"/>
          <w:sz w:val="24"/>
        </w:rPr>
        <w:t>（2）违反政府采购法和国家其他的相关法律法规。违反本条款时，乙方可有权单方面解除本合同，并要求甲方承担因此造成的损失和相关法律责任。</w:t>
      </w:r>
    </w:p>
    <w:p w14:paraId="760BC08F">
      <w:pPr>
        <w:spacing w:line="312" w:lineRule="auto"/>
        <w:rPr>
          <w:rFonts w:hint="eastAsia" w:ascii="黑体" w:hAnsi="黑体" w:eastAsia="黑体" w:cs="黑体"/>
          <w:b/>
          <w:bCs/>
          <w:szCs w:val="28"/>
        </w:rPr>
      </w:pPr>
      <w:r>
        <w:rPr>
          <w:rFonts w:hint="eastAsia" w:ascii="黑体" w:hAnsi="黑体" w:eastAsia="黑体" w:cs="黑体"/>
          <w:b/>
          <w:bCs/>
          <w:szCs w:val="28"/>
        </w:rPr>
        <w:t>第六条付款方式</w:t>
      </w:r>
    </w:p>
    <w:p w14:paraId="112AE72F">
      <w:pPr>
        <w:spacing w:line="360" w:lineRule="auto"/>
        <w:ind w:firstLine="480" w:firstLineChars="200"/>
        <w:jc w:val="left"/>
        <w:rPr>
          <w:rFonts w:ascii="宋体" w:hAnsi="宋体" w:eastAsia="宋体"/>
          <w:sz w:val="24"/>
          <w:szCs w:val="24"/>
        </w:rPr>
      </w:pPr>
      <w:r>
        <w:rPr>
          <w:rFonts w:hint="eastAsia" w:ascii="宋体" w:hAnsi="宋体" w:eastAsia="宋体"/>
          <w:sz w:val="24"/>
          <w:szCs w:val="24"/>
        </w:rPr>
        <w:t>甲方收到</w:t>
      </w:r>
      <w:r>
        <w:rPr>
          <w:rFonts w:hint="eastAsia" w:ascii="宋体" w:hAnsi="宋体" w:eastAsia="宋体"/>
          <w:sz w:val="24"/>
          <w:szCs w:val="24"/>
          <w:lang w:eastAsia="zh-CN"/>
        </w:rPr>
        <w:t>货物</w:t>
      </w:r>
      <w:r>
        <w:rPr>
          <w:rFonts w:hint="eastAsia" w:ascii="宋体" w:hAnsi="宋体"/>
          <w:sz w:val="24"/>
          <w:szCs w:val="24"/>
          <w:lang w:val="en-US" w:eastAsia="zh-CN"/>
        </w:rPr>
        <w:t>且</w:t>
      </w:r>
      <w:r>
        <w:rPr>
          <w:rFonts w:hint="eastAsia" w:ascii="宋体" w:hAnsi="宋体" w:eastAsia="宋体"/>
          <w:sz w:val="24"/>
          <w:szCs w:val="24"/>
        </w:rPr>
        <w:t>安装调试验收合格，乙方按照甲方的需要完成技术培训后，</w:t>
      </w:r>
      <w:r>
        <w:rPr>
          <w:rFonts w:hint="eastAsia" w:ascii="宋体" w:hAnsi="宋体" w:eastAsia="宋体"/>
          <w:kern w:val="0"/>
          <w:sz w:val="24"/>
          <w:szCs w:val="24"/>
        </w:rPr>
        <w:t>甲方</w:t>
      </w:r>
      <w:r>
        <w:rPr>
          <w:rFonts w:hint="eastAsia" w:ascii="宋体" w:hAnsi="宋体" w:eastAsia="宋体"/>
          <w:kern w:val="0"/>
          <w:sz w:val="24"/>
          <w:szCs w:val="24"/>
          <w:lang w:eastAsia="zh-CN"/>
        </w:rPr>
        <w:t>收到乙方开具本项目合同全额增值税发票，</w:t>
      </w:r>
      <w:r>
        <w:rPr>
          <w:rFonts w:hint="eastAsia" w:ascii="宋体" w:hAnsi="宋体" w:eastAsia="宋体"/>
          <w:kern w:val="0"/>
          <w:sz w:val="24"/>
          <w:szCs w:val="24"/>
        </w:rPr>
        <w:t>按合同金额100%</w:t>
      </w:r>
      <w:r>
        <w:rPr>
          <w:rFonts w:hint="eastAsia" w:ascii="宋体" w:hAnsi="宋体" w:eastAsia="宋体"/>
          <w:sz w:val="24"/>
          <w:szCs w:val="24"/>
        </w:rPr>
        <w:t>即人民币大写</w:t>
      </w:r>
      <w:r>
        <w:rPr>
          <w:rFonts w:ascii="宋体" w:hAnsi="宋体" w:eastAsia="宋体"/>
          <w:b/>
          <w:bCs/>
          <w:sz w:val="24"/>
          <w:szCs w:val="24"/>
          <w:u w:val="single"/>
        </w:rPr>
        <w:t>整</w:t>
      </w:r>
      <w:r>
        <w:rPr>
          <w:rFonts w:hint="eastAsia" w:ascii="宋体" w:hAnsi="宋体" w:eastAsia="宋体"/>
          <w:b/>
          <w:bCs/>
          <w:sz w:val="24"/>
          <w:szCs w:val="24"/>
          <w:u w:val="single"/>
        </w:rPr>
        <w:t>（</w:t>
      </w:r>
      <w:r>
        <w:rPr>
          <w:rFonts w:hint="eastAsia" w:ascii="宋体" w:hAnsi="宋体" w:eastAsia="宋体"/>
          <w:sz w:val="24"/>
          <w:szCs w:val="24"/>
          <w:u w:val="single"/>
        </w:rPr>
        <w:t>¥</w:t>
      </w:r>
      <w:r>
        <w:rPr>
          <w:rFonts w:ascii="宋体" w:hAnsi="宋体" w:eastAsia="宋体"/>
          <w:sz w:val="24"/>
          <w:szCs w:val="24"/>
          <w:u w:val="single"/>
        </w:rPr>
        <w:t>元</w:t>
      </w:r>
      <w:r>
        <w:rPr>
          <w:rFonts w:hint="eastAsia" w:ascii="宋体" w:hAnsi="宋体" w:eastAsia="宋体"/>
          <w:sz w:val="24"/>
          <w:szCs w:val="24"/>
          <w:u w:val="single"/>
        </w:rPr>
        <w:t>）</w:t>
      </w:r>
      <w:r>
        <w:rPr>
          <w:rFonts w:ascii="宋体" w:hAnsi="宋体" w:eastAsia="宋体"/>
          <w:sz w:val="24"/>
          <w:szCs w:val="24"/>
        </w:rPr>
        <w:t>办理支付。</w:t>
      </w:r>
      <w:r>
        <w:rPr>
          <w:rFonts w:hint="eastAsia" w:ascii="宋体" w:hAnsi="宋体" w:eastAsia="宋体"/>
          <w:sz w:val="24"/>
          <w:szCs w:val="24"/>
        </w:rPr>
        <w:t>乙方未</w:t>
      </w:r>
      <w:r>
        <w:rPr>
          <w:rFonts w:hint="eastAsia" w:ascii="宋体" w:hAnsi="宋体"/>
          <w:sz w:val="24"/>
          <w:szCs w:val="24"/>
          <w:lang w:val="en-US" w:eastAsia="zh-CN"/>
        </w:rPr>
        <w:t>及时</w:t>
      </w:r>
      <w:r>
        <w:rPr>
          <w:rFonts w:hint="eastAsia" w:ascii="宋体" w:hAnsi="宋体" w:eastAsia="宋体"/>
          <w:sz w:val="24"/>
          <w:szCs w:val="24"/>
        </w:rPr>
        <w:t>提供</w:t>
      </w:r>
      <w:r>
        <w:rPr>
          <w:rFonts w:hint="eastAsia" w:ascii="宋体" w:hAnsi="宋体"/>
          <w:sz w:val="24"/>
          <w:szCs w:val="24"/>
          <w:lang w:val="en-US" w:eastAsia="zh-CN"/>
        </w:rPr>
        <w:t>增值税发票</w:t>
      </w:r>
      <w:r>
        <w:rPr>
          <w:rFonts w:hint="eastAsia" w:ascii="宋体" w:hAnsi="宋体" w:eastAsia="宋体"/>
          <w:sz w:val="24"/>
          <w:szCs w:val="24"/>
        </w:rPr>
        <w:t>的，甲方有权延迟付款。</w:t>
      </w:r>
    </w:p>
    <w:p w14:paraId="2C023D8B">
      <w:pPr>
        <w:topLinePunct/>
        <w:spacing w:line="312" w:lineRule="auto"/>
        <w:ind w:right="248" w:rightChars="118" w:firstLine="435"/>
        <w:rPr>
          <w:rFonts w:hint="eastAsia" w:ascii="宋体" w:hAnsi="宋体" w:cs="宋体"/>
          <w:sz w:val="24"/>
        </w:rPr>
      </w:pPr>
    </w:p>
    <w:p w14:paraId="70244E64">
      <w:pPr>
        <w:spacing w:line="312" w:lineRule="auto"/>
        <w:rPr>
          <w:rFonts w:hint="eastAsia" w:ascii="黑体" w:hAnsi="黑体" w:eastAsia="黑体" w:cs="黑体"/>
          <w:b/>
          <w:bCs/>
          <w:szCs w:val="28"/>
        </w:rPr>
      </w:pPr>
      <w:r>
        <w:rPr>
          <w:rFonts w:hint="eastAsia" w:ascii="黑体" w:hAnsi="黑体" w:eastAsia="黑体" w:cs="黑体"/>
          <w:b/>
          <w:bCs/>
          <w:szCs w:val="28"/>
        </w:rPr>
        <w:t>第七条合同的理解</w:t>
      </w:r>
    </w:p>
    <w:p w14:paraId="368B9040">
      <w:pPr>
        <w:topLinePunct/>
        <w:spacing w:line="312" w:lineRule="auto"/>
        <w:ind w:right="248" w:rightChars="118" w:firstLine="435"/>
        <w:rPr>
          <w:rFonts w:hint="eastAsia" w:ascii="宋体" w:hAnsi="宋体" w:eastAsia="宋体"/>
          <w:sz w:val="24"/>
          <w:u w:val="single"/>
          <w:lang w:eastAsia="zh-CN"/>
        </w:rPr>
      </w:pPr>
      <w:r>
        <w:rPr>
          <w:rFonts w:hint="eastAsia" w:ascii="宋体" w:hAnsi="宋体" w:cs="宋体"/>
          <w:sz w:val="24"/>
        </w:rPr>
        <w:t>本合同条款如发生理解分歧，所供货物按</w:t>
      </w:r>
      <w:r>
        <w:rPr>
          <w:rFonts w:hint="eastAsia" w:ascii="宋体" w:hAnsi="宋体" w:cs="宋体"/>
          <w:sz w:val="24"/>
          <w:lang w:eastAsia="zh-CN"/>
        </w:rPr>
        <w:t>武汉市</w:t>
      </w:r>
      <w:r>
        <w:rPr>
          <w:rFonts w:hint="eastAsia" w:ascii="宋体" w:hAnsi="宋体"/>
          <w:sz w:val="24"/>
        </w:rPr>
        <w:t>东西湖职业技术学校</w:t>
      </w:r>
    </w:p>
    <w:p w14:paraId="5DA34FB9">
      <w:pPr>
        <w:topLinePunct/>
        <w:spacing w:line="312" w:lineRule="auto"/>
        <w:ind w:right="248" w:rightChars="118" w:firstLine="435"/>
        <w:rPr>
          <w:rFonts w:hint="eastAsia" w:ascii="宋体" w:hAnsi="宋体" w:cs="宋体"/>
          <w:sz w:val="24"/>
        </w:rPr>
      </w:pPr>
      <w:r>
        <w:rPr>
          <w:rFonts w:hint="eastAsia" w:ascii="宋体" w:hAnsi="宋体"/>
          <w:sz w:val="24"/>
        </w:rPr>
        <w:sym w:font="Wingdings 2" w:char="00A3"/>
      </w:r>
      <w:r>
        <w:rPr>
          <w:rFonts w:hint="eastAsia" w:ascii="宋体" w:hAnsi="宋体"/>
          <w:sz w:val="24"/>
        </w:rPr>
        <w:t>公开招标</w:t>
      </w:r>
      <w:r>
        <w:rPr>
          <w:rFonts w:hint="eastAsia" w:ascii="宋体" w:hAnsi="宋体"/>
          <w:sz w:val="24"/>
        </w:rPr>
        <w:sym w:font="Wingdings 2" w:char="00A3"/>
      </w:r>
      <w:r>
        <w:rPr>
          <w:rFonts w:hint="eastAsia" w:ascii="宋体" w:hAnsi="宋体"/>
          <w:sz w:val="24"/>
        </w:rPr>
        <w:t>竞争性谈判</w:t>
      </w:r>
      <w:r>
        <w:rPr>
          <w:rFonts w:hint="eastAsia" w:ascii="宋体" w:hAnsi="宋体"/>
          <w:sz w:val="24"/>
        </w:rPr>
        <w:sym w:font="Wingdings 2" w:char="00A3"/>
      </w:r>
      <w:r>
        <w:rPr>
          <w:rFonts w:hint="eastAsia" w:ascii="宋体" w:hAnsi="宋体"/>
          <w:sz w:val="24"/>
        </w:rPr>
        <w:t>竞争性磋商</w:t>
      </w:r>
      <w:r>
        <w:rPr>
          <w:rFonts w:hint="eastAsia" w:ascii="宋体" w:hAnsi="宋体"/>
          <w:sz w:val="24"/>
        </w:rPr>
        <w:sym w:font="Wingdings 2" w:char="00A3"/>
      </w:r>
      <w:r>
        <w:rPr>
          <w:rFonts w:hint="eastAsia" w:ascii="宋体" w:hAnsi="宋体"/>
          <w:sz w:val="24"/>
        </w:rPr>
        <w:t>校内</w:t>
      </w:r>
      <w:r>
        <w:rPr>
          <w:rFonts w:hint="eastAsia" w:ascii="宋体" w:hAnsi="宋体"/>
          <w:sz w:val="24"/>
          <w:lang w:eastAsia="zh-CN"/>
        </w:rPr>
        <w:t>自主招标</w:t>
      </w:r>
      <w:r>
        <w:rPr>
          <w:rFonts w:hint="eastAsia" w:ascii="宋体" w:hAnsi="宋体"/>
          <w:sz w:val="24"/>
        </w:rPr>
        <w:sym w:font="Wingdings 2" w:char="00A3"/>
      </w:r>
      <w:r>
        <w:rPr>
          <w:rFonts w:hint="eastAsia" w:ascii="宋体" w:hAnsi="宋体"/>
          <w:sz w:val="24"/>
        </w:rPr>
        <w:t>校内询价采购项目【招标采购文件编号：政府采购管理部门备案编号：】</w:t>
      </w:r>
      <w:r>
        <w:rPr>
          <w:rFonts w:hint="eastAsia" w:ascii="宋体" w:hAnsi="宋体" w:cs="宋体"/>
          <w:sz w:val="24"/>
        </w:rPr>
        <w:t>项目需求内容为准。</w:t>
      </w:r>
    </w:p>
    <w:p w14:paraId="4E14DA69">
      <w:pPr>
        <w:pStyle w:val="33"/>
        <w:rPr>
          <w:rFonts w:hint="eastAsia"/>
        </w:rPr>
      </w:pPr>
    </w:p>
    <w:p w14:paraId="534DD320">
      <w:pPr>
        <w:spacing w:line="312" w:lineRule="auto"/>
        <w:rPr>
          <w:rFonts w:hint="eastAsia" w:ascii="黑体" w:hAnsi="黑体" w:eastAsia="黑体" w:cs="黑体"/>
          <w:b/>
          <w:bCs/>
          <w:szCs w:val="28"/>
        </w:rPr>
      </w:pPr>
      <w:r>
        <w:rPr>
          <w:rFonts w:hint="eastAsia" w:ascii="黑体" w:hAnsi="黑体" w:eastAsia="黑体" w:cs="黑体"/>
          <w:b/>
          <w:bCs/>
          <w:szCs w:val="28"/>
        </w:rPr>
        <w:t>第</w:t>
      </w:r>
      <w:r>
        <w:rPr>
          <w:rFonts w:hint="eastAsia" w:ascii="黑体" w:hAnsi="黑体" w:eastAsia="黑体" w:cs="黑体"/>
          <w:b/>
          <w:bCs/>
          <w:szCs w:val="28"/>
          <w:lang w:eastAsia="zh-CN"/>
        </w:rPr>
        <w:t>八</w:t>
      </w:r>
      <w:r>
        <w:rPr>
          <w:rFonts w:hint="eastAsia" w:ascii="黑体" w:hAnsi="黑体" w:eastAsia="黑体" w:cs="黑体"/>
          <w:b/>
          <w:bCs/>
          <w:szCs w:val="28"/>
        </w:rPr>
        <w:t>条不可抗力</w:t>
      </w:r>
    </w:p>
    <w:p w14:paraId="65C92513">
      <w:pPr>
        <w:topLinePunct/>
        <w:spacing w:line="312" w:lineRule="auto"/>
        <w:ind w:right="248" w:rightChars="118" w:firstLine="435"/>
        <w:rPr>
          <w:rFonts w:hint="eastAsia" w:ascii="宋体" w:hAnsi="宋体" w:eastAsia="宋体" w:cs="Times New Roman"/>
          <w:sz w:val="24"/>
        </w:rPr>
      </w:pPr>
      <w:r>
        <w:rPr>
          <w:rFonts w:hint="eastAsia" w:ascii="宋体" w:hAnsi="宋体" w:eastAsia="宋体" w:cs="Times New Roman"/>
          <w:sz w:val="24"/>
        </w:rPr>
        <w:t>甲乙双方的任何</w:t>
      </w:r>
      <w:r>
        <w:rPr>
          <w:rFonts w:hint="eastAsia" w:ascii="宋体" w:hAnsi="宋体" w:eastAsia="宋体" w:cs="Times New Roman"/>
          <w:sz w:val="24"/>
          <w:lang w:eastAsia="zh-CN"/>
        </w:rPr>
        <w:t>一</w:t>
      </w:r>
      <w:r>
        <w:rPr>
          <w:rFonts w:hint="eastAsia" w:ascii="宋体" w:hAnsi="宋体" w:eastAsia="宋体" w:cs="Times New Roman"/>
          <w:sz w:val="24"/>
        </w:rPr>
        <w:t>方由于不可抗力不能履行合同时，应当及时通知对方不能履行或不能完全履行的情况和理由;在取得有关主管机关证明后，允许延期履行，部分履行或者终止履行合同的，根据情况可部分或全部免予承担违约责任。</w:t>
      </w:r>
    </w:p>
    <w:p w14:paraId="7EE90FDF">
      <w:pPr>
        <w:pStyle w:val="33"/>
        <w:rPr>
          <w:rFonts w:hint="eastAsia"/>
        </w:rPr>
      </w:pPr>
    </w:p>
    <w:p w14:paraId="3C9708F1">
      <w:pPr>
        <w:spacing w:line="312" w:lineRule="auto"/>
        <w:rPr>
          <w:rFonts w:hint="eastAsia" w:ascii="黑体" w:hAnsi="黑体" w:eastAsia="黑体" w:cs="黑体"/>
          <w:b/>
          <w:bCs/>
          <w:szCs w:val="28"/>
        </w:rPr>
      </w:pPr>
      <w:r>
        <w:rPr>
          <w:rFonts w:hint="eastAsia" w:ascii="黑体" w:hAnsi="黑体" w:eastAsia="黑体" w:cs="黑体"/>
          <w:b/>
          <w:bCs/>
          <w:szCs w:val="28"/>
        </w:rPr>
        <w:t>第</w:t>
      </w:r>
      <w:r>
        <w:rPr>
          <w:rFonts w:hint="eastAsia" w:ascii="黑体" w:hAnsi="黑体" w:eastAsia="黑体" w:cs="黑体"/>
          <w:b/>
          <w:bCs/>
          <w:szCs w:val="28"/>
          <w:lang w:eastAsia="zh-CN"/>
        </w:rPr>
        <w:t>九</w:t>
      </w:r>
      <w:r>
        <w:rPr>
          <w:rFonts w:hint="eastAsia" w:ascii="黑体" w:hAnsi="黑体" w:eastAsia="黑体" w:cs="黑体"/>
          <w:b/>
          <w:bCs/>
          <w:szCs w:val="28"/>
        </w:rPr>
        <w:t>条保密</w:t>
      </w:r>
    </w:p>
    <w:p w14:paraId="62DC02C9">
      <w:pPr>
        <w:topLinePunct/>
        <w:spacing w:line="312" w:lineRule="auto"/>
        <w:ind w:right="248" w:rightChars="118" w:firstLine="435"/>
        <w:rPr>
          <w:rFonts w:hint="eastAsia" w:ascii="宋体" w:hAnsi="宋体" w:eastAsia="宋体" w:cs="Times New Roman"/>
          <w:sz w:val="24"/>
        </w:rPr>
      </w:pPr>
      <w:r>
        <w:rPr>
          <w:rFonts w:hint="eastAsia" w:ascii="宋体" w:hAnsi="宋体" w:eastAsia="宋体" w:cs="Times New Roman"/>
          <w:sz w:val="24"/>
        </w:rPr>
        <w:t>乙方在合同履行期间知悉甲方的工作秘密(包括相关业务信息)，不得透露或以其他方式提供给合同双方以外的其他方(包括乙方内部与本合同无关的任何人员)，乙方的保密责任不因本合同的终止而终止。乙方违反本合同所规定的保密义务，应及时采取有效措施消除可能产生的影响，同时应按照本合同总金额的支付违约金2%。</w:t>
      </w:r>
    </w:p>
    <w:p w14:paraId="2E41F480">
      <w:pPr>
        <w:pStyle w:val="33"/>
        <w:rPr>
          <w:rFonts w:hint="eastAsia"/>
        </w:rPr>
      </w:pPr>
    </w:p>
    <w:p w14:paraId="6355AE91">
      <w:pPr>
        <w:spacing w:line="312" w:lineRule="auto"/>
        <w:rPr>
          <w:rFonts w:hint="eastAsia" w:ascii="黑体" w:hAnsi="黑体" w:eastAsia="黑体" w:cs="黑体"/>
          <w:b/>
          <w:bCs/>
          <w:szCs w:val="28"/>
        </w:rPr>
      </w:pPr>
      <w:r>
        <w:rPr>
          <w:rFonts w:hint="eastAsia" w:ascii="黑体" w:hAnsi="黑体" w:eastAsia="黑体" w:cs="黑体"/>
          <w:b/>
          <w:bCs/>
          <w:szCs w:val="28"/>
        </w:rPr>
        <w:t>第</w:t>
      </w:r>
      <w:r>
        <w:rPr>
          <w:rFonts w:hint="eastAsia" w:ascii="黑体" w:hAnsi="黑体" w:eastAsia="黑体" w:cs="黑体"/>
          <w:b/>
          <w:bCs/>
          <w:szCs w:val="28"/>
          <w:lang w:eastAsia="zh-CN"/>
        </w:rPr>
        <w:t>十</w:t>
      </w:r>
      <w:r>
        <w:rPr>
          <w:rFonts w:hint="eastAsia" w:ascii="黑体" w:hAnsi="黑体" w:eastAsia="黑体" w:cs="黑体"/>
          <w:b/>
          <w:bCs/>
          <w:szCs w:val="28"/>
        </w:rPr>
        <w:t>条争端的解决</w:t>
      </w:r>
    </w:p>
    <w:p w14:paraId="3D6A37AE">
      <w:pPr>
        <w:topLinePunct/>
        <w:spacing w:line="312" w:lineRule="auto"/>
        <w:ind w:right="248" w:rightChars="118" w:firstLine="435"/>
        <w:rPr>
          <w:rFonts w:hint="eastAsia" w:ascii="宋体" w:hAnsi="宋体" w:cs="宋体"/>
          <w:sz w:val="24"/>
        </w:rPr>
      </w:pPr>
      <w:r>
        <w:rPr>
          <w:rFonts w:hint="eastAsia" w:ascii="宋体" w:hAnsi="宋体" w:cs="宋体"/>
          <w:sz w:val="24"/>
        </w:rPr>
        <w:t>本合同履行过程中如发生纠纷，由双方协商解决，协商不成时</w:t>
      </w:r>
      <w:r>
        <w:rPr>
          <w:rFonts w:hint="eastAsia" w:ascii="宋体" w:hAnsi="宋体" w:cs="宋体"/>
          <w:sz w:val="24"/>
          <w:lang w:val="en-US" w:eastAsia="zh-CN"/>
        </w:rPr>
        <w:t>向</w:t>
      </w:r>
      <w:r>
        <w:rPr>
          <w:rFonts w:hint="eastAsia" w:ascii="宋体" w:hAnsi="宋体" w:cs="宋体"/>
          <w:sz w:val="24"/>
        </w:rPr>
        <w:t>甲方所在地人民法院提起诉讼。</w:t>
      </w:r>
    </w:p>
    <w:p w14:paraId="7A6E1E33">
      <w:pPr>
        <w:pStyle w:val="33"/>
        <w:rPr>
          <w:rFonts w:hint="eastAsia"/>
        </w:rPr>
      </w:pPr>
    </w:p>
    <w:p w14:paraId="350CFAE2">
      <w:pPr>
        <w:numPr>
          <w:ilvl w:val="0"/>
          <w:numId w:val="0"/>
        </w:numPr>
        <w:spacing w:line="312" w:lineRule="auto"/>
        <w:ind w:right="248" w:rightChars="118"/>
        <w:outlineLvl w:val="0"/>
        <w:rPr>
          <w:rFonts w:hint="eastAsia" w:ascii="黑体" w:hAnsi="黑体" w:eastAsia="黑体" w:cs="黑体"/>
          <w:b/>
          <w:bCs/>
          <w:szCs w:val="28"/>
        </w:rPr>
      </w:pPr>
      <w:r>
        <w:rPr>
          <w:rFonts w:hint="eastAsia" w:ascii="黑体" w:hAnsi="黑体" w:eastAsia="黑体" w:cs="黑体"/>
          <w:b/>
          <w:bCs/>
          <w:szCs w:val="28"/>
          <w:lang w:eastAsia="zh-CN"/>
        </w:rPr>
        <w:t>第十一条</w:t>
      </w:r>
      <w:r>
        <w:rPr>
          <w:rFonts w:hint="eastAsia" w:ascii="宋体" w:hAnsi="宋体" w:eastAsia="宋体"/>
          <w:b/>
          <w:bCs/>
          <w:sz w:val="28"/>
          <w:szCs w:val="28"/>
        </w:rPr>
        <w:t>本合同经双方签字盖章后生效，合同履约期：合同签订后</w:t>
      </w:r>
      <w:r>
        <w:rPr>
          <w:rFonts w:hint="eastAsia" w:ascii="宋体" w:hAnsi="宋体" w:cs="宋体"/>
          <w:sz w:val="24"/>
          <w:u w:val="single"/>
          <w:lang w:eastAsia="zh-CN"/>
        </w:rPr>
        <w:t>个</w:t>
      </w:r>
      <w:r>
        <w:rPr>
          <w:rFonts w:hint="eastAsia" w:ascii="宋体" w:hAnsi="宋体" w:eastAsia="宋体"/>
          <w:b/>
          <w:bCs/>
          <w:sz w:val="28"/>
          <w:szCs w:val="28"/>
        </w:rPr>
        <w:sym w:font="Wingdings 2" w:char="00A3"/>
      </w:r>
      <w:r>
        <w:rPr>
          <w:rFonts w:hint="eastAsia" w:ascii="宋体" w:hAnsi="宋体" w:eastAsia="宋体"/>
          <w:b/>
          <w:bCs/>
          <w:sz w:val="28"/>
          <w:szCs w:val="28"/>
          <w:lang w:eastAsia="zh-CN"/>
        </w:rPr>
        <w:t>日历</w:t>
      </w:r>
      <w:r>
        <w:rPr>
          <w:rFonts w:hint="eastAsia" w:ascii="宋体" w:hAnsi="宋体" w:eastAsia="宋体"/>
          <w:b/>
          <w:bCs/>
          <w:sz w:val="28"/>
          <w:szCs w:val="28"/>
        </w:rPr>
        <w:t>日</w:t>
      </w:r>
      <w:r>
        <w:rPr>
          <w:rFonts w:hint="eastAsia" w:ascii="宋体" w:hAnsi="宋体" w:eastAsia="宋体"/>
          <w:b/>
          <w:bCs/>
          <w:sz w:val="28"/>
          <w:szCs w:val="28"/>
        </w:rPr>
        <w:sym w:font="Wingdings 2" w:char="00A3"/>
      </w:r>
      <w:r>
        <w:rPr>
          <w:rFonts w:hint="eastAsia" w:ascii="宋体" w:hAnsi="宋体" w:eastAsia="宋体"/>
          <w:b/>
          <w:bCs/>
          <w:sz w:val="28"/>
          <w:szCs w:val="28"/>
          <w:lang w:eastAsia="zh-CN"/>
        </w:rPr>
        <w:t>工作日</w:t>
      </w:r>
      <w:r>
        <w:rPr>
          <w:rFonts w:hint="eastAsia" w:ascii="宋体" w:hAnsi="宋体" w:eastAsia="宋体"/>
          <w:b/>
          <w:bCs/>
          <w:sz w:val="28"/>
          <w:szCs w:val="28"/>
        </w:rPr>
        <w:t>，合同有效期：同质保期一致（年）一式伍份，甲、乙双方各贰份，另壹份报送监督机构或采购代理机构备案。</w:t>
      </w:r>
    </w:p>
    <w:p w14:paraId="7DE0EF4B">
      <w:pPr>
        <w:spacing w:line="312" w:lineRule="auto"/>
        <w:ind w:right="248" w:rightChars="118"/>
        <w:outlineLvl w:val="0"/>
        <w:rPr>
          <w:rFonts w:hint="eastAsia" w:ascii="黑体" w:hAnsi="黑体" w:eastAsia="黑体" w:cs="黑体"/>
          <w:b/>
          <w:bCs/>
          <w:szCs w:val="28"/>
        </w:rPr>
      </w:pPr>
    </w:p>
    <w:p w14:paraId="3ACA7452">
      <w:pPr>
        <w:spacing w:line="312" w:lineRule="auto"/>
        <w:ind w:right="248" w:rightChars="118"/>
        <w:outlineLvl w:val="0"/>
        <w:rPr>
          <w:rFonts w:hint="eastAsia" w:ascii="黑体" w:hAnsi="黑体" w:eastAsia="黑体" w:cs="黑体"/>
          <w:b/>
          <w:bCs/>
          <w:szCs w:val="28"/>
        </w:rPr>
      </w:pPr>
      <w:r>
        <w:rPr>
          <w:rFonts w:hint="eastAsia" w:ascii="黑体" w:hAnsi="黑体" w:eastAsia="黑体" w:cs="黑体"/>
          <w:b/>
          <w:bCs/>
          <w:szCs w:val="28"/>
        </w:rPr>
        <w:t>（此后无正文）</w:t>
      </w:r>
    </w:p>
    <w:p w14:paraId="4653E5AF">
      <w:pPr>
        <w:spacing w:line="312" w:lineRule="auto"/>
        <w:ind w:right="248" w:rightChars="118"/>
        <w:outlineLvl w:val="0"/>
        <w:rPr>
          <w:rFonts w:hint="eastAsia" w:ascii="黑体" w:hAnsi="黑体" w:eastAsia="黑体" w:cs="黑体"/>
          <w:b/>
          <w:bCs/>
          <w:szCs w:val="28"/>
        </w:rPr>
      </w:pPr>
    </w:p>
    <w:p w14:paraId="57BA4D47">
      <w:pPr>
        <w:pStyle w:val="33"/>
        <w:rPr>
          <w:rFonts w:hint="eastAsia"/>
        </w:rPr>
      </w:pPr>
    </w:p>
    <w:tbl>
      <w:tblPr>
        <w:tblStyle w:val="21"/>
        <w:tblW w:w="10754" w:type="dxa"/>
        <w:tblInd w:w="-402" w:type="dxa"/>
        <w:tblLayout w:type="fixed"/>
        <w:tblCellMar>
          <w:top w:w="0" w:type="dxa"/>
          <w:left w:w="108" w:type="dxa"/>
          <w:bottom w:w="0" w:type="dxa"/>
          <w:right w:w="108" w:type="dxa"/>
        </w:tblCellMar>
      </w:tblPr>
      <w:tblGrid>
        <w:gridCol w:w="5188"/>
        <w:gridCol w:w="5566"/>
      </w:tblGrid>
      <w:tr w14:paraId="11C05823">
        <w:tblPrEx>
          <w:tblCellMar>
            <w:top w:w="0" w:type="dxa"/>
            <w:left w:w="108" w:type="dxa"/>
            <w:bottom w:w="0" w:type="dxa"/>
            <w:right w:w="108" w:type="dxa"/>
          </w:tblCellMar>
        </w:tblPrEx>
        <w:trPr>
          <w:trHeight w:val="567" w:hRule="atLeast"/>
        </w:trPr>
        <w:tc>
          <w:tcPr>
            <w:tcW w:w="5188" w:type="dxa"/>
            <w:noWrap w:val="0"/>
            <w:vAlign w:val="center"/>
          </w:tcPr>
          <w:p w14:paraId="69D4369C">
            <w:pPr>
              <w:spacing w:line="276" w:lineRule="auto"/>
              <w:jc w:val="left"/>
              <w:outlineLvl w:val="0"/>
              <w:rPr>
                <w:rFonts w:hint="eastAsia" w:ascii="宋体" w:hAnsi="宋体" w:cs="宋体"/>
                <w:sz w:val="24"/>
              </w:rPr>
            </w:pPr>
            <w:r>
              <w:rPr>
                <w:rFonts w:hint="eastAsia" w:ascii="宋体" w:hAnsi="宋体" w:cs="宋体"/>
                <w:sz w:val="24"/>
              </w:rPr>
              <w:t>甲方（盖章）：</w:t>
            </w:r>
          </w:p>
        </w:tc>
        <w:tc>
          <w:tcPr>
            <w:tcW w:w="5566" w:type="dxa"/>
            <w:noWrap w:val="0"/>
            <w:vAlign w:val="center"/>
          </w:tcPr>
          <w:p w14:paraId="1CA3516C">
            <w:pPr>
              <w:spacing w:line="276" w:lineRule="auto"/>
              <w:jc w:val="left"/>
              <w:outlineLvl w:val="0"/>
              <w:rPr>
                <w:rFonts w:hint="eastAsia" w:ascii="宋体" w:hAnsi="宋体" w:cs="宋体"/>
                <w:sz w:val="24"/>
              </w:rPr>
            </w:pPr>
            <w:r>
              <w:rPr>
                <w:rFonts w:hint="eastAsia" w:ascii="宋体" w:hAnsi="宋体" w:cs="宋体"/>
                <w:sz w:val="24"/>
              </w:rPr>
              <w:t>乙方（盖章）：</w:t>
            </w:r>
          </w:p>
        </w:tc>
      </w:tr>
      <w:tr w14:paraId="43FF1D9A">
        <w:tblPrEx>
          <w:tblCellMar>
            <w:top w:w="0" w:type="dxa"/>
            <w:left w:w="108" w:type="dxa"/>
            <w:bottom w:w="0" w:type="dxa"/>
            <w:right w:w="108" w:type="dxa"/>
          </w:tblCellMar>
        </w:tblPrEx>
        <w:trPr>
          <w:trHeight w:val="567" w:hRule="atLeast"/>
        </w:trPr>
        <w:tc>
          <w:tcPr>
            <w:tcW w:w="5188" w:type="dxa"/>
            <w:noWrap w:val="0"/>
            <w:vAlign w:val="center"/>
          </w:tcPr>
          <w:p w14:paraId="2CD173C9">
            <w:pPr>
              <w:keepNext w:val="0"/>
              <w:keepLines w:val="0"/>
              <w:pageBreakBefore w:val="0"/>
              <w:kinsoku/>
              <w:wordWrap/>
              <w:overflowPunct/>
              <w:topLinePunct w:val="0"/>
              <w:bidi w:val="0"/>
              <w:spacing w:line="520" w:lineRule="exact"/>
              <w:jc w:val="left"/>
              <w:textAlignment w:val="auto"/>
              <w:outlineLvl w:val="0"/>
              <w:rPr>
                <w:rFonts w:hint="eastAsia" w:ascii="宋体" w:hAnsi="宋体" w:eastAsia="宋体" w:cs="Times New Roman"/>
                <w:sz w:val="24"/>
                <w:szCs w:val="24"/>
              </w:rPr>
            </w:pPr>
            <w:r>
              <w:rPr>
                <w:rFonts w:hint="eastAsia" w:ascii="宋体" w:hAnsi="宋体" w:eastAsia="宋体" w:cs="Times New Roman"/>
                <w:sz w:val="24"/>
                <w:szCs w:val="24"/>
              </w:rPr>
              <w:t>单位：武汉市东西湖职业技术学校</w:t>
            </w:r>
          </w:p>
          <w:p w14:paraId="261FB587">
            <w:pPr>
              <w:keepNext w:val="0"/>
              <w:keepLines w:val="0"/>
              <w:pageBreakBefore w:val="0"/>
              <w:kinsoku/>
              <w:wordWrap/>
              <w:overflowPunct/>
              <w:topLinePunct w:val="0"/>
              <w:bidi w:val="0"/>
              <w:spacing w:line="520" w:lineRule="exact"/>
              <w:jc w:val="left"/>
              <w:textAlignment w:val="auto"/>
              <w:outlineLvl w:val="0"/>
              <w:rPr>
                <w:rFonts w:hint="eastAsia" w:ascii="宋体" w:hAnsi="宋体" w:eastAsia="宋体" w:cs="Times New Roman"/>
                <w:sz w:val="24"/>
                <w:szCs w:val="24"/>
                <w:lang w:eastAsia="zh-CN"/>
              </w:rPr>
            </w:pPr>
            <w:r>
              <w:rPr>
                <w:rFonts w:hint="eastAsia" w:ascii="宋体" w:hAnsi="宋体" w:eastAsia="宋体" w:cs="Times New Roman"/>
                <w:sz w:val="24"/>
                <w:szCs w:val="24"/>
                <w:lang w:eastAsia="zh-CN"/>
              </w:rPr>
              <w:t>单位性质：事业单位</w:t>
            </w:r>
          </w:p>
          <w:p w14:paraId="3DEA6B13">
            <w:pPr>
              <w:keepNext w:val="0"/>
              <w:keepLines w:val="0"/>
              <w:pageBreakBefore w:val="0"/>
              <w:kinsoku/>
              <w:wordWrap/>
              <w:overflowPunct/>
              <w:topLinePunct w:val="0"/>
              <w:bidi w:val="0"/>
              <w:spacing w:line="520" w:lineRule="exact"/>
              <w:jc w:val="left"/>
              <w:textAlignment w:val="auto"/>
              <w:outlineLvl w:val="0"/>
              <w:rPr>
                <w:rFonts w:hint="eastAsia" w:ascii="宋体" w:hAnsi="宋体" w:eastAsia="宋体" w:cs="Times New Roman"/>
                <w:sz w:val="24"/>
                <w:szCs w:val="24"/>
              </w:rPr>
            </w:pPr>
            <w:r>
              <w:rPr>
                <w:rFonts w:hint="eastAsia" w:ascii="宋体" w:hAnsi="宋体" w:eastAsia="宋体" w:cs="Times New Roman"/>
                <w:sz w:val="24"/>
                <w:szCs w:val="24"/>
                <w:lang w:eastAsia="zh-CN"/>
              </w:rPr>
              <w:t>纳税人识别码：</w:t>
            </w:r>
            <w:r>
              <w:rPr>
                <w:rFonts w:hint="eastAsia" w:ascii="宋体" w:hAnsi="宋体" w:eastAsia="宋体" w:cs="Times New Roman"/>
                <w:sz w:val="28"/>
                <w:szCs w:val="28"/>
                <w:lang w:eastAsia="zh-CN"/>
              </w:rPr>
              <w:t>12420112441625735N</w:t>
            </w:r>
          </w:p>
        </w:tc>
        <w:tc>
          <w:tcPr>
            <w:tcW w:w="5566" w:type="dxa"/>
            <w:noWrap w:val="0"/>
            <w:vAlign w:val="center"/>
          </w:tcPr>
          <w:p w14:paraId="4A70BCA5">
            <w:pPr>
              <w:keepNext w:val="0"/>
              <w:keepLines w:val="0"/>
              <w:pageBreakBefore w:val="0"/>
              <w:kinsoku/>
              <w:wordWrap/>
              <w:overflowPunct/>
              <w:topLinePunct w:val="0"/>
              <w:bidi w:val="0"/>
              <w:spacing w:line="520" w:lineRule="exact"/>
              <w:jc w:val="left"/>
              <w:textAlignment w:val="auto"/>
              <w:outlineLvl w:val="0"/>
              <w:rPr>
                <w:rFonts w:hint="eastAsia" w:ascii="宋体" w:hAnsi="宋体" w:eastAsia="宋体" w:cs="Times New Roman"/>
                <w:sz w:val="24"/>
                <w:szCs w:val="24"/>
              </w:rPr>
            </w:pPr>
            <w:r>
              <w:rPr>
                <w:rFonts w:hint="eastAsia" w:ascii="宋体" w:hAnsi="宋体" w:eastAsia="宋体" w:cs="Times New Roman"/>
                <w:sz w:val="24"/>
                <w:szCs w:val="24"/>
              </w:rPr>
              <w:t>单位：</w:t>
            </w:r>
          </w:p>
          <w:p w14:paraId="1F186C14">
            <w:pPr>
              <w:keepNext w:val="0"/>
              <w:keepLines w:val="0"/>
              <w:pageBreakBefore w:val="0"/>
              <w:kinsoku/>
              <w:wordWrap/>
              <w:overflowPunct/>
              <w:topLinePunct w:val="0"/>
              <w:bidi w:val="0"/>
              <w:spacing w:line="520" w:lineRule="exact"/>
              <w:jc w:val="left"/>
              <w:textAlignment w:val="auto"/>
              <w:outlineLvl w:val="0"/>
              <w:rPr>
                <w:rFonts w:hint="eastAsia" w:ascii="宋体" w:hAnsi="宋体" w:eastAsia="宋体" w:cs="Times New Roman"/>
                <w:sz w:val="24"/>
                <w:szCs w:val="24"/>
                <w:lang w:val="en-US" w:eastAsia="zh-CN"/>
              </w:rPr>
            </w:pPr>
            <w:r>
              <w:rPr>
                <w:rFonts w:hint="eastAsia" w:ascii="宋体" w:hAnsi="宋体" w:eastAsia="宋体" w:cs="Times New Roman"/>
                <w:sz w:val="24"/>
                <w:szCs w:val="24"/>
                <w:lang w:eastAsia="zh-CN"/>
              </w:rPr>
              <w:t>单位性质：</w:t>
            </w:r>
            <w:r>
              <w:rPr>
                <w:rFonts w:hint="eastAsia" w:ascii="宋体" w:hAnsi="宋体" w:eastAsia="宋体"/>
                <w:sz w:val="24"/>
                <w:szCs w:val="24"/>
                <w:u w:val="single"/>
                <w:lang w:val="en-US" w:eastAsia="zh-CN"/>
              </w:rPr>
              <w:sym w:font="Wingdings 2" w:char="00A3"/>
            </w:r>
            <w:r>
              <w:rPr>
                <w:rFonts w:hint="eastAsia" w:ascii="宋体" w:hAnsi="宋体" w:eastAsia="宋体"/>
                <w:sz w:val="24"/>
                <w:szCs w:val="24"/>
                <w:u w:val="single"/>
                <w:lang w:val="en-US" w:eastAsia="zh-CN"/>
              </w:rPr>
              <w:t>大型</w:t>
            </w:r>
            <w:r>
              <w:rPr>
                <w:rFonts w:hint="eastAsia" w:ascii="宋体" w:hAnsi="宋体" w:eastAsia="宋体"/>
                <w:sz w:val="24"/>
                <w:szCs w:val="24"/>
                <w:u w:val="single"/>
                <w:lang w:val="en-US" w:eastAsia="zh-CN"/>
              </w:rPr>
              <w:sym w:font="Wingdings 2" w:char="00A3"/>
            </w:r>
            <w:r>
              <w:rPr>
                <w:rFonts w:hint="eastAsia" w:ascii="宋体" w:hAnsi="宋体" w:eastAsia="宋体"/>
                <w:sz w:val="24"/>
                <w:szCs w:val="24"/>
                <w:u w:val="single"/>
                <w:lang w:val="en-US" w:eastAsia="zh-CN"/>
              </w:rPr>
              <w:t>中型</w:t>
            </w:r>
            <w:r>
              <w:rPr>
                <w:rFonts w:hint="eastAsia" w:ascii="宋体" w:hAnsi="宋体" w:eastAsia="宋体"/>
                <w:sz w:val="24"/>
                <w:szCs w:val="24"/>
                <w:u w:val="single"/>
                <w:lang w:val="en-US" w:eastAsia="zh-CN"/>
              </w:rPr>
              <w:sym w:font="Wingdings 2" w:char="00A3"/>
            </w:r>
            <w:r>
              <w:rPr>
                <w:rFonts w:hint="eastAsia" w:ascii="宋体" w:hAnsi="宋体" w:eastAsia="宋体"/>
                <w:sz w:val="24"/>
                <w:szCs w:val="24"/>
                <w:u w:val="single"/>
                <w:lang w:val="en-US" w:eastAsia="zh-CN"/>
              </w:rPr>
              <w:t>小型</w:t>
            </w:r>
            <w:r>
              <w:rPr>
                <w:rFonts w:hint="eastAsia" w:ascii="宋体" w:hAnsi="宋体" w:eastAsia="宋体"/>
                <w:sz w:val="24"/>
                <w:szCs w:val="24"/>
                <w:u w:val="single"/>
                <w:lang w:val="en-US" w:eastAsia="zh-CN"/>
              </w:rPr>
              <w:sym w:font="Wingdings 2" w:char="00A3"/>
            </w:r>
            <w:r>
              <w:rPr>
                <w:rFonts w:hint="eastAsia" w:ascii="宋体" w:hAnsi="宋体" w:eastAsia="宋体"/>
                <w:sz w:val="24"/>
                <w:szCs w:val="24"/>
                <w:u w:val="single"/>
                <w:lang w:val="en-US" w:eastAsia="zh-CN"/>
              </w:rPr>
              <w:t>微型</w:t>
            </w:r>
          </w:p>
          <w:p w14:paraId="02B14B52">
            <w:pPr>
              <w:keepNext w:val="0"/>
              <w:keepLines w:val="0"/>
              <w:pageBreakBefore w:val="0"/>
              <w:kinsoku/>
              <w:wordWrap/>
              <w:overflowPunct/>
              <w:topLinePunct w:val="0"/>
              <w:bidi w:val="0"/>
              <w:spacing w:line="520" w:lineRule="exact"/>
              <w:jc w:val="left"/>
              <w:textAlignment w:val="auto"/>
              <w:outlineLvl w:val="0"/>
              <w:rPr>
                <w:rFonts w:hint="eastAsia" w:ascii="宋体" w:hAnsi="宋体" w:eastAsia="宋体" w:cs="Times New Roman"/>
                <w:sz w:val="24"/>
                <w:szCs w:val="24"/>
                <w:lang w:eastAsia="zh-CN"/>
              </w:rPr>
            </w:pPr>
            <w:r>
              <w:rPr>
                <w:rFonts w:hint="eastAsia" w:ascii="宋体" w:hAnsi="宋体" w:eastAsia="宋体" w:cs="Times New Roman"/>
                <w:sz w:val="24"/>
                <w:szCs w:val="24"/>
                <w:lang w:eastAsia="zh-CN"/>
              </w:rPr>
              <w:t>纳税人识别码：</w:t>
            </w:r>
          </w:p>
        </w:tc>
      </w:tr>
      <w:tr w14:paraId="35F771C5">
        <w:tblPrEx>
          <w:tblCellMar>
            <w:top w:w="0" w:type="dxa"/>
            <w:left w:w="108" w:type="dxa"/>
            <w:bottom w:w="0" w:type="dxa"/>
            <w:right w:w="108" w:type="dxa"/>
          </w:tblCellMar>
        </w:tblPrEx>
        <w:trPr>
          <w:trHeight w:val="567" w:hRule="atLeast"/>
        </w:trPr>
        <w:tc>
          <w:tcPr>
            <w:tcW w:w="5188" w:type="dxa"/>
            <w:noWrap w:val="0"/>
            <w:vAlign w:val="center"/>
          </w:tcPr>
          <w:p w14:paraId="0302DFF1">
            <w:pPr>
              <w:spacing w:line="276" w:lineRule="auto"/>
              <w:jc w:val="left"/>
              <w:outlineLvl w:val="0"/>
              <w:rPr>
                <w:rFonts w:hint="eastAsia" w:ascii="宋体" w:hAnsi="宋体" w:cs="宋体"/>
                <w:sz w:val="24"/>
              </w:rPr>
            </w:pPr>
            <w:r>
              <w:rPr>
                <w:rFonts w:hint="eastAsia" w:ascii="宋体" w:hAnsi="宋体" w:cs="宋体"/>
                <w:sz w:val="24"/>
              </w:rPr>
              <w:t>地址：武汉市东西湖区东西湖大道2658号</w:t>
            </w:r>
          </w:p>
        </w:tc>
        <w:tc>
          <w:tcPr>
            <w:tcW w:w="5566" w:type="dxa"/>
            <w:noWrap w:val="0"/>
            <w:vAlign w:val="top"/>
          </w:tcPr>
          <w:p w14:paraId="7F257612">
            <w:pPr>
              <w:spacing w:line="276" w:lineRule="auto"/>
              <w:ind w:left="0" w:leftChars="0" w:firstLine="480" w:firstLineChars="200"/>
              <w:jc w:val="left"/>
              <w:outlineLvl w:val="0"/>
              <w:rPr>
                <w:rFonts w:hint="eastAsia" w:ascii="宋体" w:hAnsi="宋体" w:cs="宋体"/>
                <w:sz w:val="24"/>
                <w:lang w:val="en-US" w:eastAsia="zh-CN"/>
              </w:rPr>
            </w:pPr>
            <w:r>
              <w:rPr>
                <w:rFonts w:hint="eastAsia" w:ascii="宋体" w:hAnsi="宋体" w:cs="宋体"/>
                <w:sz w:val="24"/>
                <w:lang w:eastAsia="zh-CN"/>
              </w:rPr>
              <w:t>详细</w:t>
            </w:r>
            <w:r>
              <w:rPr>
                <w:rFonts w:hint="eastAsia" w:ascii="宋体" w:hAnsi="宋体" w:cs="宋体"/>
                <w:sz w:val="24"/>
              </w:rPr>
              <w:t>地址:</w:t>
            </w:r>
          </w:p>
          <w:p w14:paraId="48723FB0">
            <w:pPr>
              <w:pStyle w:val="33"/>
              <w:ind w:firstLine="480" w:firstLineChars="200"/>
              <w:jc w:val="left"/>
              <w:rPr>
                <w:rFonts w:hint="default" w:eastAsia="宋体"/>
                <w:lang w:val="en-US" w:eastAsia="zh-CN"/>
              </w:rPr>
            </w:pPr>
            <w:r>
              <w:rPr>
                <w:rFonts w:hint="eastAsia"/>
                <w:lang w:val="en-US" w:eastAsia="zh-CN"/>
              </w:rPr>
              <w:t>所在区域：省市区</w:t>
            </w:r>
          </w:p>
        </w:tc>
      </w:tr>
      <w:tr w14:paraId="33884423">
        <w:tblPrEx>
          <w:tblCellMar>
            <w:top w:w="0" w:type="dxa"/>
            <w:left w:w="108" w:type="dxa"/>
            <w:bottom w:w="0" w:type="dxa"/>
            <w:right w:w="108" w:type="dxa"/>
          </w:tblCellMar>
        </w:tblPrEx>
        <w:trPr>
          <w:trHeight w:val="477" w:hRule="atLeast"/>
        </w:trPr>
        <w:tc>
          <w:tcPr>
            <w:tcW w:w="5188" w:type="dxa"/>
            <w:noWrap w:val="0"/>
            <w:vAlign w:val="center"/>
          </w:tcPr>
          <w:p w14:paraId="34ACF6CF">
            <w:pPr>
              <w:spacing w:line="276" w:lineRule="auto"/>
              <w:jc w:val="left"/>
              <w:outlineLvl w:val="0"/>
              <w:rPr>
                <w:rFonts w:hint="eastAsia" w:ascii="宋体" w:hAnsi="宋体" w:cs="宋体"/>
                <w:sz w:val="24"/>
              </w:rPr>
            </w:pPr>
            <w:r>
              <w:rPr>
                <w:rFonts w:hint="eastAsia" w:ascii="宋体" w:hAnsi="宋体" w:cs="宋体"/>
                <w:sz w:val="24"/>
              </w:rPr>
              <w:t>电话：027-83892246</w:t>
            </w:r>
          </w:p>
        </w:tc>
        <w:tc>
          <w:tcPr>
            <w:tcW w:w="5566" w:type="dxa"/>
            <w:noWrap w:val="0"/>
            <w:vAlign w:val="center"/>
          </w:tcPr>
          <w:p w14:paraId="592EC0FD">
            <w:pPr>
              <w:spacing w:line="276" w:lineRule="auto"/>
              <w:jc w:val="left"/>
              <w:outlineLvl w:val="0"/>
              <w:rPr>
                <w:rFonts w:ascii="宋体" w:hAnsi="宋体" w:cs="宋体"/>
                <w:sz w:val="24"/>
              </w:rPr>
            </w:pPr>
            <w:r>
              <w:rPr>
                <w:rFonts w:hint="eastAsia" w:ascii="宋体" w:hAnsi="宋体" w:cs="宋体"/>
                <w:sz w:val="24"/>
              </w:rPr>
              <w:t>电话：</w:t>
            </w:r>
          </w:p>
        </w:tc>
      </w:tr>
      <w:tr w14:paraId="6B70FF8A">
        <w:tblPrEx>
          <w:tblCellMar>
            <w:top w:w="0" w:type="dxa"/>
            <w:left w:w="108" w:type="dxa"/>
            <w:bottom w:w="0" w:type="dxa"/>
            <w:right w:w="108" w:type="dxa"/>
          </w:tblCellMar>
        </w:tblPrEx>
        <w:trPr>
          <w:trHeight w:val="462" w:hRule="atLeast"/>
        </w:trPr>
        <w:tc>
          <w:tcPr>
            <w:tcW w:w="5188" w:type="dxa"/>
            <w:noWrap w:val="0"/>
            <w:vAlign w:val="center"/>
          </w:tcPr>
          <w:p w14:paraId="32D67E17">
            <w:pPr>
              <w:spacing w:line="276" w:lineRule="auto"/>
              <w:jc w:val="left"/>
              <w:outlineLvl w:val="0"/>
              <w:rPr>
                <w:rFonts w:hint="eastAsia" w:ascii="宋体" w:hAnsi="宋体" w:cs="宋体"/>
                <w:sz w:val="24"/>
              </w:rPr>
            </w:pPr>
            <w:r>
              <w:rPr>
                <w:rFonts w:hint="eastAsia" w:ascii="宋体" w:hAnsi="宋体" w:cs="宋体"/>
                <w:sz w:val="24"/>
              </w:rPr>
              <w:t>传真：027-83892246</w:t>
            </w:r>
          </w:p>
        </w:tc>
        <w:tc>
          <w:tcPr>
            <w:tcW w:w="5566" w:type="dxa"/>
            <w:noWrap w:val="0"/>
            <w:vAlign w:val="center"/>
          </w:tcPr>
          <w:p w14:paraId="061C18D9">
            <w:pPr>
              <w:spacing w:line="276" w:lineRule="auto"/>
              <w:jc w:val="left"/>
              <w:outlineLvl w:val="0"/>
              <w:rPr>
                <w:rFonts w:hint="eastAsia" w:ascii="宋体" w:hAnsi="宋体" w:cs="宋体"/>
                <w:sz w:val="24"/>
              </w:rPr>
            </w:pPr>
            <w:r>
              <w:rPr>
                <w:rFonts w:hint="eastAsia" w:ascii="宋体" w:hAnsi="宋体" w:cs="宋体"/>
                <w:sz w:val="24"/>
              </w:rPr>
              <w:t>传真：</w:t>
            </w:r>
          </w:p>
        </w:tc>
      </w:tr>
      <w:tr w14:paraId="1B4AFCF5">
        <w:tblPrEx>
          <w:tblCellMar>
            <w:top w:w="0" w:type="dxa"/>
            <w:left w:w="108" w:type="dxa"/>
            <w:bottom w:w="0" w:type="dxa"/>
            <w:right w:w="108" w:type="dxa"/>
          </w:tblCellMar>
        </w:tblPrEx>
        <w:trPr>
          <w:trHeight w:val="432" w:hRule="atLeast"/>
        </w:trPr>
        <w:tc>
          <w:tcPr>
            <w:tcW w:w="5188" w:type="dxa"/>
            <w:noWrap w:val="0"/>
            <w:vAlign w:val="center"/>
          </w:tcPr>
          <w:p w14:paraId="3A2D18BA">
            <w:pPr>
              <w:spacing w:line="276" w:lineRule="auto"/>
              <w:jc w:val="left"/>
              <w:outlineLvl w:val="0"/>
              <w:rPr>
                <w:rFonts w:hint="eastAsia" w:ascii="宋体" w:hAnsi="宋体" w:cs="宋体"/>
                <w:sz w:val="24"/>
              </w:rPr>
            </w:pPr>
            <w:r>
              <w:rPr>
                <w:rFonts w:hint="eastAsia" w:ascii="宋体" w:hAnsi="宋体" w:cs="宋体"/>
                <w:sz w:val="24"/>
              </w:rPr>
              <w:t>邮政编码：430040</w:t>
            </w:r>
          </w:p>
        </w:tc>
        <w:tc>
          <w:tcPr>
            <w:tcW w:w="5566" w:type="dxa"/>
            <w:noWrap w:val="0"/>
            <w:vAlign w:val="center"/>
          </w:tcPr>
          <w:p w14:paraId="002B9C1F">
            <w:pPr>
              <w:spacing w:line="276" w:lineRule="auto"/>
              <w:jc w:val="left"/>
              <w:outlineLvl w:val="0"/>
              <w:rPr>
                <w:rFonts w:ascii="宋体" w:hAnsi="宋体" w:cs="宋体"/>
                <w:sz w:val="24"/>
              </w:rPr>
            </w:pPr>
            <w:r>
              <w:rPr>
                <w:rFonts w:hint="eastAsia" w:ascii="宋体" w:hAnsi="宋体" w:cs="宋体"/>
                <w:sz w:val="24"/>
              </w:rPr>
              <w:t>邮政编码：</w:t>
            </w:r>
          </w:p>
        </w:tc>
      </w:tr>
      <w:tr w14:paraId="44FFE74A">
        <w:tblPrEx>
          <w:tblCellMar>
            <w:top w:w="0" w:type="dxa"/>
            <w:left w:w="108" w:type="dxa"/>
            <w:bottom w:w="0" w:type="dxa"/>
            <w:right w:w="108" w:type="dxa"/>
          </w:tblCellMar>
        </w:tblPrEx>
        <w:trPr>
          <w:trHeight w:val="774" w:hRule="atLeast"/>
        </w:trPr>
        <w:tc>
          <w:tcPr>
            <w:tcW w:w="5188" w:type="dxa"/>
            <w:noWrap w:val="0"/>
            <w:vAlign w:val="top"/>
          </w:tcPr>
          <w:p w14:paraId="13EFD2B1">
            <w:pPr>
              <w:spacing w:line="276" w:lineRule="auto"/>
              <w:jc w:val="left"/>
              <w:outlineLvl w:val="0"/>
              <w:rPr>
                <w:rFonts w:hint="eastAsia" w:ascii="宋体" w:hAnsi="宋体" w:eastAsia="宋体" w:cs="宋体"/>
                <w:kern w:val="2"/>
                <w:sz w:val="24"/>
                <w:szCs w:val="24"/>
                <w:lang w:val="en-US" w:eastAsia="zh-CN" w:bidi="ar-SA"/>
              </w:rPr>
            </w:pPr>
            <w:r>
              <w:rPr>
                <w:rFonts w:hint="eastAsia" w:ascii="宋体" w:hAnsi="宋体" w:cs="宋体"/>
                <w:sz w:val="24"/>
              </w:rPr>
              <w:t>开户名称：武汉市东西湖职业技术学校</w:t>
            </w:r>
          </w:p>
        </w:tc>
        <w:tc>
          <w:tcPr>
            <w:tcW w:w="5566" w:type="dxa"/>
            <w:noWrap w:val="0"/>
            <w:vAlign w:val="top"/>
          </w:tcPr>
          <w:p w14:paraId="528063D1">
            <w:pPr>
              <w:spacing w:line="276" w:lineRule="auto"/>
              <w:jc w:val="left"/>
              <w:outlineLvl w:val="0"/>
              <w:rPr>
                <w:rFonts w:ascii="宋体" w:hAnsi="宋体" w:cs="宋体"/>
                <w:sz w:val="24"/>
              </w:rPr>
            </w:pPr>
            <w:r>
              <w:rPr>
                <w:rFonts w:hint="eastAsia" w:ascii="宋体" w:hAnsi="宋体" w:cs="宋体"/>
                <w:sz w:val="24"/>
              </w:rPr>
              <w:t>开户名称：</w:t>
            </w:r>
          </w:p>
        </w:tc>
      </w:tr>
      <w:tr w14:paraId="53B23A41">
        <w:tblPrEx>
          <w:tblCellMar>
            <w:top w:w="0" w:type="dxa"/>
            <w:left w:w="108" w:type="dxa"/>
            <w:bottom w:w="0" w:type="dxa"/>
            <w:right w:w="108" w:type="dxa"/>
          </w:tblCellMar>
        </w:tblPrEx>
        <w:trPr>
          <w:trHeight w:val="822" w:hRule="atLeast"/>
        </w:trPr>
        <w:tc>
          <w:tcPr>
            <w:tcW w:w="5188" w:type="dxa"/>
            <w:noWrap w:val="0"/>
            <w:vAlign w:val="top"/>
          </w:tcPr>
          <w:p w14:paraId="658241EE">
            <w:pPr>
              <w:pStyle w:val="33"/>
              <w:spacing w:line="276" w:lineRule="auto"/>
              <w:ind w:left="0" w:leftChars="0" w:firstLine="480" w:firstLineChars="200"/>
              <w:jc w:val="left"/>
              <w:outlineLvl w:val="0"/>
              <w:rPr>
                <w:rFonts w:hint="eastAsia" w:ascii="宋体" w:hAnsi="宋体" w:cs="宋体"/>
                <w:sz w:val="24"/>
              </w:rPr>
            </w:pPr>
            <w:r>
              <w:rPr>
                <w:rFonts w:hint="eastAsia" w:ascii="宋体" w:hAnsi="宋体" w:cs="宋体"/>
                <w:sz w:val="24"/>
              </w:rPr>
              <w:t>开户银行及</w:t>
            </w:r>
            <w:r>
              <w:rPr>
                <w:rFonts w:hint="eastAsia" w:ascii="宋体" w:hAnsi="宋体" w:cs="宋体"/>
                <w:sz w:val="24"/>
                <w:lang w:val="en-US" w:eastAsia="zh-CN"/>
              </w:rPr>
              <w:t>12位</w:t>
            </w:r>
            <w:r>
              <w:rPr>
                <w:rFonts w:hint="eastAsia" w:ascii="宋体" w:hAnsi="宋体" w:cs="宋体"/>
                <w:sz w:val="24"/>
              </w:rPr>
              <w:t>行号：</w:t>
            </w:r>
          </w:p>
          <w:p w14:paraId="6FD2325A">
            <w:pPr>
              <w:pStyle w:val="33"/>
              <w:ind w:firstLine="480" w:firstLineChars="200"/>
              <w:jc w:val="left"/>
              <w:rPr>
                <w:rFonts w:hint="eastAsia" w:ascii="宋体" w:hAnsi="宋体" w:cs="宋体"/>
                <w:sz w:val="24"/>
              </w:rPr>
            </w:pPr>
            <w:r>
              <w:rPr>
                <w:rFonts w:hint="eastAsia" w:ascii="宋体" w:hAnsi="宋体" w:cs="宋体"/>
                <w:sz w:val="24"/>
              </w:rPr>
              <w:t>交通银行武汉东西湖支行</w:t>
            </w:r>
          </w:p>
          <w:p w14:paraId="608E853B">
            <w:pPr>
              <w:pStyle w:val="33"/>
              <w:ind w:firstLine="480" w:firstLineChars="200"/>
              <w:jc w:val="left"/>
              <w:rPr>
                <w:rFonts w:hint="eastAsia" w:ascii="宋体" w:hAnsi="宋体" w:cs="宋体"/>
                <w:sz w:val="24"/>
                <w:lang w:val="en-US" w:eastAsia="zh-CN"/>
              </w:rPr>
            </w:pPr>
            <w:r>
              <w:rPr>
                <w:rFonts w:hint="eastAsia" w:hAnsi="宋体" w:cs="宋体"/>
              </w:rPr>
              <w:t>301521006004</w:t>
            </w:r>
          </w:p>
        </w:tc>
        <w:tc>
          <w:tcPr>
            <w:tcW w:w="5566" w:type="dxa"/>
            <w:noWrap w:val="0"/>
            <w:vAlign w:val="top"/>
          </w:tcPr>
          <w:p w14:paraId="3B01E6AD">
            <w:pPr>
              <w:spacing w:line="276" w:lineRule="auto"/>
              <w:ind w:left="2159" w:leftChars="228" w:hanging="1680" w:hangingChars="700"/>
              <w:jc w:val="left"/>
              <w:outlineLvl w:val="0"/>
              <w:rPr>
                <w:rFonts w:hint="eastAsia" w:ascii="宋体" w:hAnsi="宋体" w:cs="宋体"/>
                <w:sz w:val="24"/>
              </w:rPr>
            </w:pPr>
            <w:r>
              <w:rPr>
                <w:rFonts w:hint="eastAsia" w:ascii="宋体" w:hAnsi="宋体" w:cs="宋体"/>
                <w:sz w:val="24"/>
              </w:rPr>
              <w:t>开户银行及</w:t>
            </w:r>
            <w:r>
              <w:rPr>
                <w:rFonts w:hint="eastAsia" w:ascii="宋体" w:hAnsi="宋体" w:cs="宋体"/>
                <w:sz w:val="24"/>
                <w:lang w:val="en-US" w:eastAsia="zh-CN"/>
              </w:rPr>
              <w:t>12位</w:t>
            </w:r>
            <w:r>
              <w:rPr>
                <w:rFonts w:hint="eastAsia" w:ascii="宋体" w:hAnsi="宋体" w:cs="宋体"/>
                <w:sz w:val="24"/>
              </w:rPr>
              <w:t>行号：</w:t>
            </w:r>
          </w:p>
          <w:p w14:paraId="3D5765FE">
            <w:pPr>
              <w:pStyle w:val="33"/>
              <w:ind w:left="0" w:leftChars="0" w:firstLine="0" w:firstLineChars="0"/>
              <w:jc w:val="left"/>
              <w:rPr>
                <w:rFonts w:hint="eastAsia" w:ascii="宋体" w:hAnsi="宋体" w:cs="宋体"/>
                <w:sz w:val="24"/>
              </w:rPr>
            </w:pPr>
          </w:p>
          <w:p w14:paraId="5F328C07">
            <w:pPr>
              <w:jc w:val="left"/>
            </w:pPr>
          </w:p>
        </w:tc>
      </w:tr>
      <w:tr w14:paraId="2D080451">
        <w:tblPrEx>
          <w:tblCellMar>
            <w:top w:w="0" w:type="dxa"/>
            <w:left w:w="108" w:type="dxa"/>
            <w:bottom w:w="0" w:type="dxa"/>
            <w:right w:w="108" w:type="dxa"/>
          </w:tblCellMar>
        </w:tblPrEx>
        <w:trPr>
          <w:trHeight w:val="402" w:hRule="atLeast"/>
        </w:trPr>
        <w:tc>
          <w:tcPr>
            <w:tcW w:w="5188" w:type="dxa"/>
            <w:noWrap w:val="0"/>
            <w:vAlign w:val="center"/>
          </w:tcPr>
          <w:p w14:paraId="71E0E97D">
            <w:pPr>
              <w:spacing w:line="276" w:lineRule="auto"/>
              <w:jc w:val="left"/>
              <w:outlineLvl w:val="0"/>
              <w:rPr>
                <w:rFonts w:hint="eastAsia" w:ascii="宋体" w:hAnsi="宋体" w:cs="宋体"/>
                <w:sz w:val="24"/>
              </w:rPr>
            </w:pPr>
            <w:r>
              <w:rPr>
                <w:rFonts w:hint="eastAsia" w:ascii="宋体" w:hAnsi="宋体" w:cs="宋体"/>
                <w:sz w:val="24"/>
              </w:rPr>
              <w:t>账号</w:t>
            </w:r>
            <w:r>
              <w:rPr>
                <w:rFonts w:hint="eastAsia" w:ascii="宋体" w:hAnsi="宋体" w:cs="宋体"/>
                <w:sz w:val="24"/>
                <w:lang w:eastAsia="zh-CN"/>
              </w:rPr>
              <w:t>：</w:t>
            </w:r>
            <w:r>
              <w:rPr>
                <w:rFonts w:hint="eastAsia" w:ascii="宋体" w:hAnsi="宋体" w:cs="宋体"/>
                <w:sz w:val="24"/>
              </w:rPr>
              <w:t>421868088018010158025</w:t>
            </w:r>
          </w:p>
          <w:p w14:paraId="6C4DE29C">
            <w:pPr>
              <w:spacing w:line="276" w:lineRule="auto"/>
              <w:jc w:val="left"/>
              <w:outlineLvl w:val="0"/>
              <w:rPr>
                <w:rFonts w:hint="eastAsia" w:ascii="宋体" w:hAnsi="宋体" w:cs="宋体"/>
                <w:sz w:val="24"/>
              </w:rPr>
            </w:pPr>
          </w:p>
        </w:tc>
        <w:tc>
          <w:tcPr>
            <w:tcW w:w="5566" w:type="dxa"/>
            <w:noWrap w:val="0"/>
            <w:vAlign w:val="center"/>
          </w:tcPr>
          <w:p w14:paraId="338DC0CB">
            <w:pPr>
              <w:spacing w:line="276" w:lineRule="auto"/>
              <w:jc w:val="left"/>
              <w:outlineLvl w:val="0"/>
              <w:rPr>
                <w:rFonts w:ascii="宋体" w:hAnsi="宋体" w:cs="宋体"/>
                <w:sz w:val="24"/>
              </w:rPr>
            </w:pPr>
            <w:r>
              <w:rPr>
                <w:rFonts w:hint="eastAsia" w:ascii="宋体" w:hAnsi="宋体" w:cs="宋体"/>
                <w:sz w:val="24"/>
              </w:rPr>
              <w:t>账号：</w:t>
            </w:r>
          </w:p>
        </w:tc>
      </w:tr>
      <w:tr w14:paraId="44DB34AD">
        <w:tblPrEx>
          <w:tblCellMar>
            <w:top w:w="0" w:type="dxa"/>
            <w:left w:w="108" w:type="dxa"/>
            <w:bottom w:w="0" w:type="dxa"/>
            <w:right w:w="108" w:type="dxa"/>
          </w:tblCellMar>
        </w:tblPrEx>
        <w:trPr>
          <w:trHeight w:val="543" w:hRule="atLeast"/>
        </w:trPr>
        <w:tc>
          <w:tcPr>
            <w:tcW w:w="5188" w:type="dxa"/>
            <w:noWrap w:val="0"/>
            <w:vAlign w:val="center"/>
          </w:tcPr>
          <w:p w14:paraId="065B6748">
            <w:pPr>
              <w:spacing w:line="276" w:lineRule="auto"/>
              <w:jc w:val="left"/>
              <w:outlineLvl w:val="0"/>
              <w:rPr>
                <w:rFonts w:ascii="宋体" w:hAnsi="宋体" w:cs="宋体"/>
                <w:sz w:val="24"/>
              </w:rPr>
            </w:pPr>
            <w:r>
              <w:rPr>
                <w:rFonts w:hint="eastAsia" w:ascii="宋体" w:hAnsi="宋体" w:cs="宋体"/>
                <w:sz w:val="24"/>
              </w:rPr>
              <w:t>签订人：</w:t>
            </w:r>
          </w:p>
        </w:tc>
        <w:tc>
          <w:tcPr>
            <w:tcW w:w="5566" w:type="dxa"/>
            <w:noWrap w:val="0"/>
            <w:vAlign w:val="center"/>
          </w:tcPr>
          <w:p w14:paraId="4DC342FA">
            <w:pPr>
              <w:spacing w:line="276" w:lineRule="auto"/>
              <w:jc w:val="left"/>
              <w:outlineLvl w:val="0"/>
              <w:rPr>
                <w:rFonts w:ascii="宋体" w:hAnsi="宋体" w:cs="宋体"/>
                <w:sz w:val="24"/>
              </w:rPr>
            </w:pPr>
            <w:r>
              <w:rPr>
                <w:rFonts w:hint="eastAsia" w:ascii="宋体" w:hAnsi="宋体" w:cs="宋体"/>
                <w:sz w:val="24"/>
              </w:rPr>
              <w:t>签订人：</w:t>
            </w:r>
          </w:p>
        </w:tc>
      </w:tr>
      <w:tr w14:paraId="61F0A0EE">
        <w:tblPrEx>
          <w:tblCellMar>
            <w:top w:w="0" w:type="dxa"/>
            <w:left w:w="108" w:type="dxa"/>
            <w:bottom w:w="0" w:type="dxa"/>
            <w:right w:w="108" w:type="dxa"/>
          </w:tblCellMar>
        </w:tblPrEx>
        <w:trPr>
          <w:trHeight w:val="498" w:hRule="atLeast"/>
        </w:trPr>
        <w:tc>
          <w:tcPr>
            <w:tcW w:w="5188" w:type="dxa"/>
            <w:noWrap w:val="0"/>
            <w:vAlign w:val="center"/>
          </w:tcPr>
          <w:p w14:paraId="14634E90">
            <w:pPr>
              <w:spacing w:line="276" w:lineRule="auto"/>
              <w:jc w:val="left"/>
              <w:outlineLvl w:val="0"/>
              <w:rPr>
                <w:rFonts w:ascii="宋体" w:hAnsi="宋体" w:cs="宋体"/>
                <w:sz w:val="24"/>
              </w:rPr>
            </w:pPr>
            <w:r>
              <w:rPr>
                <w:rFonts w:hint="eastAsia" w:ascii="宋体" w:hAnsi="宋体" w:cs="宋体"/>
                <w:sz w:val="24"/>
              </w:rPr>
              <w:t>日期：</w:t>
            </w:r>
          </w:p>
        </w:tc>
        <w:tc>
          <w:tcPr>
            <w:tcW w:w="5566" w:type="dxa"/>
            <w:noWrap w:val="0"/>
            <w:vAlign w:val="center"/>
          </w:tcPr>
          <w:p w14:paraId="50686E46">
            <w:pPr>
              <w:spacing w:line="276" w:lineRule="auto"/>
              <w:jc w:val="left"/>
              <w:outlineLvl w:val="0"/>
              <w:rPr>
                <w:rFonts w:ascii="宋体" w:hAnsi="宋体" w:cs="宋体"/>
                <w:sz w:val="24"/>
              </w:rPr>
            </w:pPr>
            <w:r>
              <w:rPr>
                <w:rFonts w:hint="eastAsia" w:ascii="宋体" w:hAnsi="宋体" w:cs="宋体"/>
                <w:sz w:val="24"/>
              </w:rPr>
              <w:t>日期：</w:t>
            </w:r>
          </w:p>
        </w:tc>
      </w:tr>
    </w:tbl>
    <w:p w14:paraId="05AB9366">
      <w:pPr>
        <w:rPr>
          <w:rFonts w:hint="eastAsia" w:ascii="宋体" w:hAnsi="宋体"/>
          <w:sz w:val="24"/>
        </w:rPr>
      </w:pPr>
    </w:p>
    <w:p w14:paraId="441D9BBB"/>
    <w:p w14:paraId="39FF9BAB"/>
    <w:p w14:paraId="223BED8B"/>
    <w:p w14:paraId="30EBEF39">
      <w:pPr>
        <w:keepNext w:val="0"/>
        <w:keepLines w:val="0"/>
        <w:pageBreakBefore w:val="0"/>
        <w:widowControl w:val="0"/>
        <w:kinsoku/>
        <w:wordWrap/>
        <w:overflowPunct/>
        <w:topLinePunct w:val="0"/>
        <w:autoSpaceDE/>
        <w:autoSpaceDN/>
        <w:bidi w:val="0"/>
        <w:adjustRightInd/>
        <w:snapToGrid/>
        <w:spacing w:beforeLines="0" w:afterLines="0" w:line="360" w:lineRule="auto"/>
        <w:ind w:firstLine="482"/>
        <w:textAlignment w:val="auto"/>
        <w:rPr>
          <w:rFonts w:hint="default" w:eastAsia="宋体"/>
          <w:color w:val="0C0C0C"/>
          <w:sz w:val="24"/>
          <w:szCs w:val="24"/>
          <w:lang w:val="en-US" w:eastAsia="zh-CN"/>
        </w:rPr>
      </w:pPr>
    </w:p>
    <w:sectPr>
      <w:headerReference r:id="rId5" w:type="default"/>
      <w:footerReference r:id="rId6" w:type="default"/>
      <w:pgSz w:w="11906" w:h="16838"/>
      <w:pgMar w:top="1440" w:right="1416" w:bottom="850" w:left="1276"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onsolas">
    <w:panose1 w:val="020B0609020204030204"/>
    <w:charset w:val="00"/>
    <w:family w:val="auto"/>
    <w:pitch w:val="default"/>
    <w:sig w:usb0="E10002FF" w:usb1="4000FCFF" w:usb2="00000009" w:usb3="00000000" w:csb0="6000019F" w:csb1="DFD7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roman"/>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东文宋体">
    <w:altName w:val="宋体"/>
    <w:panose1 w:val="00000000000000000000"/>
    <w:charset w:val="00"/>
    <w:family w:val="auto"/>
    <w:pitch w:val="default"/>
    <w:sig w:usb0="00000000" w:usb1="00000000" w:usb2="00000000" w:usb3="00000000" w:csb0="00000000" w:csb1="00000000"/>
  </w:font>
  <w:font w:name="Wingdings 2">
    <w:panose1 w:val="050201020105070707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38FBD">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D88A75">
                          <w:pPr>
                            <w:pStyle w:val="1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8D88A75">
                    <w:pPr>
                      <w:pStyle w:val="13"/>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74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68BA31">
    <w:pPr>
      <w:pStyle w:val="14"/>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D2E418"/>
    <w:multiLevelType w:val="singleLevel"/>
    <w:tmpl w:val="96D2E418"/>
    <w:lvl w:ilvl="0" w:tentative="0">
      <w:start w:val="1"/>
      <w:numFmt w:val="chineseCounting"/>
      <w:suff w:val="nothing"/>
      <w:lvlText w:val="（%1）"/>
      <w:lvlJc w:val="left"/>
      <w:rPr>
        <w:rFonts w:hint="eastAsia"/>
      </w:rPr>
    </w:lvl>
  </w:abstractNum>
  <w:abstractNum w:abstractNumId="1">
    <w:nsid w:val="B04AA054"/>
    <w:multiLevelType w:val="singleLevel"/>
    <w:tmpl w:val="B04AA054"/>
    <w:lvl w:ilvl="0" w:tentative="0">
      <w:start w:val="1"/>
      <w:numFmt w:val="decimal"/>
      <w:suff w:val="nothing"/>
      <w:lvlText w:val="%1、"/>
      <w:lvlJc w:val="left"/>
    </w:lvl>
  </w:abstractNum>
  <w:abstractNum w:abstractNumId="2">
    <w:nsid w:val="E158F160"/>
    <w:multiLevelType w:val="singleLevel"/>
    <w:tmpl w:val="E158F160"/>
    <w:lvl w:ilvl="0" w:tentative="0">
      <w:start w:val="1"/>
      <w:numFmt w:val="decimal"/>
      <w:suff w:val="nothing"/>
      <w:lvlText w:val="%1．"/>
      <w:lvlJc w:val="left"/>
      <w:pPr>
        <w:ind w:left="-480" w:firstLine="400"/>
      </w:pPr>
      <w:rPr>
        <w:rFonts w:hint="default"/>
      </w:rPr>
    </w:lvl>
  </w:abstractNum>
  <w:abstractNum w:abstractNumId="3">
    <w:nsid w:val="E4804C93"/>
    <w:multiLevelType w:val="singleLevel"/>
    <w:tmpl w:val="E4804C93"/>
    <w:lvl w:ilvl="0" w:tentative="0">
      <w:start w:val="1"/>
      <w:numFmt w:val="chineseCounting"/>
      <w:suff w:val="nothing"/>
      <w:lvlText w:val="（%1）"/>
      <w:lvlJc w:val="left"/>
      <w:rPr>
        <w:rFonts w:hint="eastAsia"/>
      </w:rPr>
    </w:lvl>
  </w:abstractNum>
  <w:abstractNum w:abstractNumId="4">
    <w:nsid w:val="EF5B5EF1"/>
    <w:multiLevelType w:val="singleLevel"/>
    <w:tmpl w:val="EF5B5EF1"/>
    <w:lvl w:ilvl="0" w:tentative="0">
      <w:start w:val="1"/>
      <w:numFmt w:val="chineseCounting"/>
      <w:suff w:val="nothing"/>
      <w:lvlText w:val="（%1）"/>
      <w:lvlJc w:val="left"/>
      <w:rPr>
        <w:rFonts w:hint="eastAsia"/>
      </w:rPr>
    </w:lvl>
  </w:abstractNum>
  <w:abstractNum w:abstractNumId="5">
    <w:nsid w:val="00000007"/>
    <w:multiLevelType w:val="multilevel"/>
    <w:tmpl w:val="00000007"/>
    <w:lvl w:ilvl="0" w:tentative="0">
      <w:start w:val="1"/>
      <w:numFmt w:val="decimal"/>
      <w:suff w:val="nothing"/>
      <w:lvlText w:val="%1、"/>
      <w:lvlJc w:val="left"/>
      <w:rPr>
        <w:rFonts w:hint="default" w:ascii="仿宋" w:hAnsi="仿宋" w:eastAsia="仿宋" w:cs="仿宋"/>
      </w:rPr>
    </w:lvl>
    <w:lvl w:ilvl="1" w:tentative="0">
      <w:start w:val="1"/>
      <w:numFmt w:val="decimal"/>
      <w:lvlText w:val="(%2)"/>
      <w:lvlJc w:val="left"/>
      <w:pPr>
        <w:tabs>
          <w:tab w:val="left" w:pos="840"/>
        </w:tabs>
        <w:ind w:left="840" w:hanging="420"/>
      </w:pPr>
      <w:rPr>
        <w:rFonts w:hint="default" w:ascii="仿宋" w:hAnsi="仿宋" w:eastAsia="仿宋" w:cs="仿宋"/>
      </w:rPr>
    </w:lvl>
    <w:lvl w:ilvl="2" w:tentative="0">
      <w:start w:val="1"/>
      <w:numFmt w:val="decimalEnclosedCircleChinese"/>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Letter"/>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Roman"/>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6">
    <w:nsid w:val="00000011"/>
    <w:multiLevelType w:val="singleLevel"/>
    <w:tmpl w:val="00000011"/>
    <w:lvl w:ilvl="0" w:tentative="0">
      <w:start w:val="3"/>
      <w:numFmt w:val="decimal"/>
      <w:suff w:val="nothing"/>
      <w:lvlText w:val="（%1）"/>
      <w:lvlJc w:val="left"/>
    </w:lvl>
  </w:abstractNum>
  <w:abstractNum w:abstractNumId="7">
    <w:nsid w:val="1C78A2DF"/>
    <w:multiLevelType w:val="singleLevel"/>
    <w:tmpl w:val="1C78A2DF"/>
    <w:lvl w:ilvl="0" w:tentative="0">
      <w:start w:val="1"/>
      <w:numFmt w:val="decimal"/>
      <w:suff w:val="nothing"/>
      <w:lvlText w:val="%1、"/>
      <w:lvlJc w:val="left"/>
    </w:lvl>
  </w:abstractNum>
  <w:abstractNum w:abstractNumId="8">
    <w:nsid w:val="48CB5297"/>
    <w:multiLevelType w:val="singleLevel"/>
    <w:tmpl w:val="48CB5297"/>
    <w:lvl w:ilvl="0" w:tentative="0">
      <w:start w:val="1"/>
      <w:numFmt w:val="decimal"/>
      <w:lvlText w:val="%1."/>
      <w:lvlJc w:val="left"/>
      <w:pPr>
        <w:tabs>
          <w:tab w:val="left" w:pos="312"/>
        </w:tabs>
        <w:ind w:left="105" w:leftChars="0" w:firstLine="0" w:firstLineChars="0"/>
      </w:pPr>
    </w:lvl>
  </w:abstractNum>
  <w:num w:numId="1">
    <w:abstractNumId w:val="2"/>
  </w:num>
  <w:num w:numId="2">
    <w:abstractNumId w:val="5"/>
  </w:num>
  <w:num w:numId="3">
    <w:abstractNumId w:val="8"/>
  </w:num>
  <w:num w:numId="4">
    <w:abstractNumId w:val="1"/>
  </w:num>
  <w:num w:numId="5">
    <w:abstractNumId w:val="0"/>
  </w:num>
  <w:num w:numId="6">
    <w:abstractNumId w:val="3"/>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mNDQ1YWFkMzFlZjU4MGIxYzJiZjVkMDdkMGM1MWIifQ=="/>
  </w:docVars>
  <w:rsids>
    <w:rsidRoot w:val="00217FF2"/>
    <w:rsid w:val="000F09E1"/>
    <w:rsid w:val="001660AE"/>
    <w:rsid w:val="001C3829"/>
    <w:rsid w:val="00217FF2"/>
    <w:rsid w:val="002922C7"/>
    <w:rsid w:val="002A2648"/>
    <w:rsid w:val="002C0AC4"/>
    <w:rsid w:val="00361344"/>
    <w:rsid w:val="00400872"/>
    <w:rsid w:val="0047470A"/>
    <w:rsid w:val="00557231"/>
    <w:rsid w:val="005C6564"/>
    <w:rsid w:val="00614CA5"/>
    <w:rsid w:val="00754456"/>
    <w:rsid w:val="00770018"/>
    <w:rsid w:val="007952BE"/>
    <w:rsid w:val="00807050"/>
    <w:rsid w:val="008829AD"/>
    <w:rsid w:val="00B648D2"/>
    <w:rsid w:val="00CA04D4"/>
    <w:rsid w:val="00CA420B"/>
    <w:rsid w:val="00D91EDB"/>
    <w:rsid w:val="00DA22EC"/>
    <w:rsid w:val="00DD7110"/>
    <w:rsid w:val="00E16783"/>
    <w:rsid w:val="00E9002E"/>
    <w:rsid w:val="00E90A6C"/>
    <w:rsid w:val="00F261AB"/>
    <w:rsid w:val="00F61317"/>
    <w:rsid w:val="00F8194E"/>
    <w:rsid w:val="00FE11F2"/>
    <w:rsid w:val="01D40BB6"/>
    <w:rsid w:val="023D5FD9"/>
    <w:rsid w:val="0255692C"/>
    <w:rsid w:val="02B5032E"/>
    <w:rsid w:val="02BA7FDB"/>
    <w:rsid w:val="04136AA5"/>
    <w:rsid w:val="053F2AC7"/>
    <w:rsid w:val="05B01A7A"/>
    <w:rsid w:val="060A579A"/>
    <w:rsid w:val="060F3A1A"/>
    <w:rsid w:val="0648207A"/>
    <w:rsid w:val="080A6872"/>
    <w:rsid w:val="08357123"/>
    <w:rsid w:val="0934547C"/>
    <w:rsid w:val="097E25E3"/>
    <w:rsid w:val="0A5856F6"/>
    <w:rsid w:val="0A856613"/>
    <w:rsid w:val="0B667341"/>
    <w:rsid w:val="0B973D39"/>
    <w:rsid w:val="0D573591"/>
    <w:rsid w:val="0D697AF2"/>
    <w:rsid w:val="0D6C4F7F"/>
    <w:rsid w:val="0DBF5329"/>
    <w:rsid w:val="0E0261B5"/>
    <w:rsid w:val="0E430395"/>
    <w:rsid w:val="0E756A5E"/>
    <w:rsid w:val="0E9C6341"/>
    <w:rsid w:val="0F237DF7"/>
    <w:rsid w:val="0F2739ED"/>
    <w:rsid w:val="0F2C36B6"/>
    <w:rsid w:val="0F5C6CC9"/>
    <w:rsid w:val="0FBA77A3"/>
    <w:rsid w:val="10354E7A"/>
    <w:rsid w:val="110F7AFF"/>
    <w:rsid w:val="11253E88"/>
    <w:rsid w:val="1134399A"/>
    <w:rsid w:val="12153449"/>
    <w:rsid w:val="128C0CD5"/>
    <w:rsid w:val="12DE361D"/>
    <w:rsid w:val="13012B8D"/>
    <w:rsid w:val="13997C6A"/>
    <w:rsid w:val="13D92294"/>
    <w:rsid w:val="14131CD4"/>
    <w:rsid w:val="1464066B"/>
    <w:rsid w:val="148A2281"/>
    <w:rsid w:val="15F92F6B"/>
    <w:rsid w:val="16786279"/>
    <w:rsid w:val="168D0E2F"/>
    <w:rsid w:val="175A353C"/>
    <w:rsid w:val="1815588E"/>
    <w:rsid w:val="18222827"/>
    <w:rsid w:val="18273794"/>
    <w:rsid w:val="18794A46"/>
    <w:rsid w:val="18B1097E"/>
    <w:rsid w:val="19114DF2"/>
    <w:rsid w:val="19503615"/>
    <w:rsid w:val="199A06EF"/>
    <w:rsid w:val="19B401AA"/>
    <w:rsid w:val="19D843AA"/>
    <w:rsid w:val="19DC0E6C"/>
    <w:rsid w:val="1AA7556D"/>
    <w:rsid w:val="1AEB09AB"/>
    <w:rsid w:val="1D743D71"/>
    <w:rsid w:val="1DA51513"/>
    <w:rsid w:val="1DDD2889"/>
    <w:rsid w:val="1FD84E49"/>
    <w:rsid w:val="20D61F5B"/>
    <w:rsid w:val="21D0623B"/>
    <w:rsid w:val="22E116F5"/>
    <w:rsid w:val="24AE30E7"/>
    <w:rsid w:val="25696819"/>
    <w:rsid w:val="26511C21"/>
    <w:rsid w:val="26595512"/>
    <w:rsid w:val="28AE14DB"/>
    <w:rsid w:val="2A1574A8"/>
    <w:rsid w:val="2A764228"/>
    <w:rsid w:val="2B7520E7"/>
    <w:rsid w:val="2CAC407E"/>
    <w:rsid w:val="2CC851DF"/>
    <w:rsid w:val="2D2D2429"/>
    <w:rsid w:val="2DC45B3D"/>
    <w:rsid w:val="2DD04D9A"/>
    <w:rsid w:val="2E141EF5"/>
    <w:rsid w:val="2EB37529"/>
    <w:rsid w:val="2FB30B4D"/>
    <w:rsid w:val="2FBD4123"/>
    <w:rsid w:val="2FD61A6E"/>
    <w:rsid w:val="307C3324"/>
    <w:rsid w:val="30B51BB0"/>
    <w:rsid w:val="335D7322"/>
    <w:rsid w:val="337232E3"/>
    <w:rsid w:val="33B465AC"/>
    <w:rsid w:val="34B655F1"/>
    <w:rsid w:val="35134CB4"/>
    <w:rsid w:val="362F7843"/>
    <w:rsid w:val="36382CB9"/>
    <w:rsid w:val="36B6104E"/>
    <w:rsid w:val="372F79B1"/>
    <w:rsid w:val="380A08EC"/>
    <w:rsid w:val="38481310"/>
    <w:rsid w:val="38B33A07"/>
    <w:rsid w:val="39346B83"/>
    <w:rsid w:val="394D1B49"/>
    <w:rsid w:val="396F252D"/>
    <w:rsid w:val="3A3810E1"/>
    <w:rsid w:val="3AFA25F5"/>
    <w:rsid w:val="3B363F67"/>
    <w:rsid w:val="3BE86DE5"/>
    <w:rsid w:val="3C08097B"/>
    <w:rsid w:val="3CA93081"/>
    <w:rsid w:val="3D6D52E5"/>
    <w:rsid w:val="3DB73FDF"/>
    <w:rsid w:val="3E202CB6"/>
    <w:rsid w:val="3E4A0F94"/>
    <w:rsid w:val="3F720966"/>
    <w:rsid w:val="3F7E18C4"/>
    <w:rsid w:val="3F8968C9"/>
    <w:rsid w:val="400728CC"/>
    <w:rsid w:val="40CB7B89"/>
    <w:rsid w:val="40D21EC7"/>
    <w:rsid w:val="417119E2"/>
    <w:rsid w:val="41BF069E"/>
    <w:rsid w:val="42010428"/>
    <w:rsid w:val="43502AE5"/>
    <w:rsid w:val="439E0787"/>
    <w:rsid w:val="43A715A9"/>
    <w:rsid w:val="43CB5513"/>
    <w:rsid w:val="44220BE4"/>
    <w:rsid w:val="44E67811"/>
    <w:rsid w:val="4510761C"/>
    <w:rsid w:val="45377D48"/>
    <w:rsid w:val="46023CAE"/>
    <w:rsid w:val="4677446A"/>
    <w:rsid w:val="46BE611A"/>
    <w:rsid w:val="46F86B99"/>
    <w:rsid w:val="47C76EC5"/>
    <w:rsid w:val="482B5AC0"/>
    <w:rsid w:val="488E594F"/>
    <w:rsid w:val="4995152A"/>
    <w:rsid w:val="49AE48C9"/>
    <w:rsid w:val="4A722025"/>
    <w:rsid w:val="4B135D0A"/>
    <w:rsid w:val="4B562149"/>
    <w:rsid w:val="4C0D28BF"/>
    <w:rsid w:val="4C832411"/>
    <w:rsid w:val="4CD21F86"/>
    <w:rsid w:val="4CFB7F38"/>
    <w:rsid w:val="4D1A22C3"/>
    <w:rsid w:val="4D1F167F"/>
    <w:rsid w:val="4D22228F"/>
    <w:rsid w:val="4D851076"/>
    <w:rsid w:val="4D8C7982"/>
    <w:rsid w:val="4DA1176B"/>
    <w:rsid w:val="4F0D7F08"/>
    <w:rsid w:val="4F7F4EB2"/>
    <w:rsid w:val="4FB5729F"/>
    <w:rsid w:val="508B373D"/>
    <w:rsid w:val="50DD6049"/>
    <w:rsid w:val="521B7EE5"/>
    <w:rsid w:val="52765104"/>
    <w:rsid w:val="52765E0F"/>
    <w:rsid w:val="52EC69EF"/>
    <w:rsid w:val="53D93D36"/>
    <w:rsid w:val="54DA405D"/>
    <w:rsid w:val="54E11772"/>
    <w:rsid w:val="558645D3"/>
    <w:rsid w:val="55932E4C"/>
    <w:rsid w:val="56CF3817"/>
    <w:rsid w:val="56D73EF4"/>
    <w:rsid w:val="56FE42EB"/>
    <w:rsid w:val="57EE0C7C"/>
    <w:rsid w:val="581B2BE4"/>
    <w:rsid w:val="583E3F42"/>
    <w:rsid w:val="5866692B"/>
    <w:rsid w:val="590535E0"/>
    <w:rsid w:val="59C124AF"/>
    <w:rsid w:val="59E940B2"/>
    <w:rsid w:val="5A436E3C"/>
    <w:rsid w:val="5AD308BE"/>
    <w:rsid w:val="5AD61E6A"/>
    <w:rsid w:val="5B062A42"/>
    <w:rsid w:val="5B1D1B6B"/>
    <w:rsid w:val="5B526365"/>
    <w:rsid w:val="5BDB7642"/>
    <w:rsid w:val="5CCD73C3"/>
    <w:rsid w:val="5CF37215"/>
    <w:rsid w:val="5EEB02AD"/>
    <w:rsid w:val="5F002F5B"/>
    <w:rsid w:val="5F7A5295"/>
    <w:rsid w:val="5FF22466"/>
    <w:rsid w:val="6117695C"/>
    <w:rsid w:val="616C7E76"/>
    <w:rsid w:val="61E50886"/>
    <w:rsid w:val="61F569C9"/>
    <w:rsid w:val="62BD2A68"/>
    <w:rsid w:val="63004D1E"/>
    <w:rsid w:val="630D2B3B"/>
    <w:rsid w:val="63236DD4"/>
    <w:rsid w:val="63814FEB"/>
    <w:rsid w:val="63B7182B"/>
    <w:rsid w:val="644514FF"/>
    <w:rsid w:val="64725C76"/>
    <w:rsid w:val="6519668C"/>
    <w:rsid w:val="657D4C36"/>
    <w:rsid w:val="65A14120"/>
    <w:rsid w:val="65C548A9"/>
    <w:rsid w:val="65C77271"/>
    <w:rsid w:val="66A23F66"/>
    <w:rsid w:val="67EB1E4C"/>
    <w:rsid w:val="6853757A"/>
    <w:rsid w:val="695F26B9"/>
    <w:rsid w:val="697812B8"/>
    <w:rsid w:val="697E09D0"/>
    <w:rsid w:val="69B3738A"/>
    <w:rsid w:val="69D515D6"/>
    <w:rsid w:val="69F83B7E"/>
    <w:rsid w:val="6A650D1C"/>
    <w:rsid w:val="6B707594"/>
    <w:rsid w:val="6D0F7BA2"/>
    <w:rsid w:val="6E2B1E4E"/>
    <w:rsid w:val="6EE84271"/>
    <w:rsid w:val="6F3825BD"/>
    <w:rsid w:val="6F397438"/>
    <w:rsid w:val="6FFEF833"/>
    <w:rsid w:val="70D0387D"/>
    <w:rsid w:val="714A6B05"/>
    <w:rsid w:val="720E27E4"/>
    <w:rsid w:val="727729A1"/>
    <w:rsid w:val="72B82BCB"/>
    <w:rsid w:val="734C56DF"/>
    <w:rsid w:val="741A0575"/>
    <w:rsid w:val="74640AAD"/>
    <w:rsid w:val="749D5EA5"/>
    <w:rsid w:val="74FB3B0F"/>
    <w:rsid w:val="758E5835"/>
    <w:rsid w:val="759F78C3"/>
    <w:rsid w:val="75D75688"/>
    <w:rsid w:val="75F32411"/>
    <w:rsid w:val="77B82B76"/>
    <w:rsid w:val="77BB532B"/>
    <w:rsid w:val="77F66FD3"/>
    <w:rsid w:val="788B33F8"/>
    <w:rsid w:val="78B35B5F"/>
    <w:rsid w:val="79126E75"/>
    <w:rsid w:val="791343DE"/>
    <w:rsid w:val="79143E9A"/>
    <w:rsid w:val="79312AFB"/>
    <w:rsid w:val="7A583B38"/>
    <w:rsid w:val="7AAC37E3"/>
    <w:rsid w:val="7ABB4EDE"/>
    <w:rsid w:val="7B8E4911"/>
    <w:rsid w:val="7B945C74"/>
    <w:rsid w:val="7C7E26E8"/>
    <w:rsid w:val="7CFF070A"/>
    <w:rsid w:val="7D552362"/>
    <w:rsid w:val="7E642E34"/>
    <w:rsid w:val="7EEF59ED"/>
    <w:rsid w:val="7F641DC8"/>
    <w:rsid w:val="7F9D3373"/>
    <w:rsid w:val="7FDE4AEC"/>
    <w:rsid w:val="CEA4A071"/>
    <w:rsid w:val="FEFF0840"/>
    <w:rsid w:val="FFD25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uiPriority="0" w:name="Body Text First Indent 2"/>
    <w:lsdException w:uiPriority="0" w:name="Note Heading"/>
    <w:lsdException w:qFormat="1" w:uiPriority="99"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name="Normal (Web)"/>
    <w:lsdException w:uiPriority="0" w:name="HTML Acronym"/>
    <w:lsdException w:uiPriority="0" w:name="HTML Address"/>
    <w:lsdException w:uiPriority="0" w:name="HTML Cite"/>
    <w:lsdException w:qFormat="1" w:uiPriority="0" w:name="HTML Code"/>
    <w:lsdException w:qFormat="1" w:uiPriority="0" w:name="HTML Definition"/>
    <w:lsdException w:qFormat="1" w:uiPriority="0" w:name="HTML Keyboard"/>
    <w:lsdException w:uiPriority="0" w:name="HTML Preformatted"/>
    <w:lsdException w:qFormat="1"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spacing w:line="360" w:lineRule="auto"/>
      <w:ind w:firstLine="200" w:firstLineChars="200"/>
    </w:pPr>
    <w:rPr>
      <w:rFonts w:ascii="Calibri" w:hAnsi="Calibri" w:eastAsia="宋体" w:cs="Times New Roman"/>
      <w:kern w:val="2"/>
      <w:sz w:val="21"/>
      <w:szCs w:val="22"/>
      <w:lang w:val="en-US" w:eastAsia="zh-CN" w:bidi="ar-SA"/>
    </w:rPr>
  </w:style>
  <w:style w:type="paragraph" w:styleId="3">
    <w:name w:val="heading 1"/>
    <w:basedOn w:val="1"/>
    <w:next w:val="1"/>
    <w:link w:val="36"/>
    <w:qFormat/>
    <w:uiPriority w:val="0"/>
    <w:pPr>
      <w:keepNext/>
      <w:keepLines/>
      <w:spacing w:line="578" w:lineRule="auto"/>
      <w:outlineLvl w:val="0"/>
    </w:pPr>
    <w:rPr>
      <w:b/>
      <w:kern w:val="44"/>
      <w:sz w:val="32"/>
      <w:szCs w:val="44"/>
    </w:rPr>
  </w:style>
  <w:style w:type="paragraph" w:styleId="2">
    <w:name w:val="heading 2"/>
    <w:basedOn w:val="1"/>
    <w:next w:val="1"/>
    <w:link w:val="41"/>
    <w:qFormat/>
    <w:uiPriority w:val="0"/>
    <w:pPr>
      <w:keepNext/>
      <w:keepLines/>
      <w:spacing w:line="416" w:lineRule="auto"/>
      <w:outlineLvl w:val="1"/>
    </w:pPr>
    <w:rPr>
      <w:rFonts w:ascii="Cambria" w:hAnsi="Cambria"/>
      <w:b/>
      <w:sz w:val="32"/>
      <w:szCs w:val="32"/>
    </w:rPr>
  </w:style>
  <w:style w:type="paragraph" w:styleId="4">
    <w:name w:val="heading 3"/>
    <w:basedOn w:val="1"/>
    <w:next w:val="1"/>
    <w:link w:val="42"/>
    <w:qFormat/>
    <w:uiPriority w:val="0"/>
    <w:pPr>
      <w:keepNext/>
      <w:keepLines/>
      <w:spacing w:line="416" w:lineRule="auto"/>
      <w:ind w:left="100" w:leftChars="100" w:right="100" w:rightChars="100"/>
      <w:jc w:val="left"/>
      <w:outlineLvl w:val="2"/>
    </w:pPr>
    <w:rPr>
      <w:b/>
      <w:sz w:val="28"/>
      <w:szCs w:val="32"/>
    </w:rPr>
  </w:style>
  <w:style w:type="paragraph" w:styleId="5">
    <w:name w:val="heading 4"/>
    <w:basedOn w:val="1"/>
    <w:next w:val="1"/>
    <w:autoRedefine/>
    <w:qFormat/>
    <w:uiPriority w:val="0"/>
    <w:pPr>
      <w:keepNext/>
      <w:keepLines/>
      <w:spacing w:before="280" w:after="290" w:line="376" w:lineRule="auto"/>
      <w:outlineLvl w:val="3"/>
    </w:pPr>
    <w:rPr>
      <w:rFonts w:ascii="Cambria" w:hAnsi="Cambria"/>
      <w:b/>
      <w:sz w:val="24"/>
      <w:szCs w:val="28"/>
    </w:rPr>
  </w:style>
  <w:style w:type="paragraph" w:styleId="6">
    <w:name w:val="heading 5"/>
    <w:basedOn w:val="1"/>
    <w:next w:val="1"/>
    <w:autoRedefine/>
    <w:qFormat/>
    <w:uiPriority w:val="9"/>
    <w:pPr>
      <w:keepNext/>
      <w:keepLines/>
      <w:spacing w:before="280" w:after="290" w:line="376" w:lineRule="auto"/>
      <w:outlineLvl w:val="4"/>
    </w:pPr>
    <w:rPr>
      <w:rFonts w:ascii="Times New Roman" w:hAnsi="Times New Roman" w:eastAsia="宋体" w:cs="Times New Roman"/>
      <w:b/>
      <w:bCs/>
      <w:sz w:val="28"/>
      <w:szCs w:val="28"/>
    </w:rPr>
  </w:style>
  <w:style w:type="character" w:default="1" w:styleId="23">
    <w:name w:val="Default Paragraph Font"/>
    <w:autoRedefine/>
    <w:semiHidden/>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0"/>
    <w:pPr>
      <w:ind w:firstLine="420"/>
    </w:pPr>
    <w:rPr>
      <w:szCs w:val="20"/>
    </w:rPr>
  </w:style>
  <w:style w:type="paragraph" w:styleId="8">
    <w:name w:val="annotation text"/>
    <w:basedOn w:val="1"/>
    <w:link w:val="45"/>
    <w:autoRedefine/>
    <w:qFormat/>
    <w:uiPriority w:val="0"/>
  </w:style>
  <w:style w:type="paragraph" w:styleId="9">
    <w:name w:val="Body Text"/>
    <w:basedOn w:val="1"/>
    <w:autoRedefine/>
    <w:qFormat/>
    <w:uiPriority w:val="0"/>
    <w:pPr>
      <w:spacing w:after="120"/>
    </w:pPr>
  </w:style>
  <w:style w:type="paragraph" w:styleId="10">
    <w:name w:val="toc 3"/>
    <w:basedOn w:val="1"/>
    <w:next w:val="1"/>
    <w:autoRedefine/>
    <w:qFormat/>
    <w:uiPriority w:val="0"/>
    <w:pPr>
      <w:spacing w:after="100" w:line="276" w:lineRule="auto"/>
      <w:ind w:left="440"/>
    </w:pPr>
    <w:rPr>
      <w:kern w:val="0"/>
      <w:sz w:val="32"/>
    </w:rPr>
  </w:style>
  <w:style w:type="paragraph" w:styleId="11">
    <w:name w:val="Plain Text"/>
    <w:basedOn w:val="1"/>
    <w:autoRedefine/>
    <w:qFormat/>
    <w:uiPriority w:val="0"/>
    <w:rPr>
      <w:rFonts w:ascii="宋体" w:hAnsi="Courier New" w:cs="Courier New"/>
      <w:szCs w:val="21"/>
    </w:rPr>
  </w:style>
  <w:style w:type="paragraph" w:styleId="12">
    <w:name w:val="Balloon Text"/>
    <w:basedOn w:val="1"/>
    <w:link w:val="40"/>
    <w:autoRedefine/>
    <w:qFormat/>
    <w:uiPriority w:val="0"/>
    <w:rPr>
      <w:sz w:val="18"/>
      <w:szCs w:val="18"/>
    </w:rPr>
  </w:style>
  <w:style w:type="paragraph" w:styleId="13">
    <w:name w:val="footer"/>
    <w:basedOn w:val="1"/>
    <w:link w:val="44"/>
    <w:autoRedefine/>
    <w:qFormat/>
    <w:uiPriority w:val="0"/>
    <w:pPr>
      <w:snapToGrid w:val="0"/>
    </w:pPr>
    <w:rPr>
      <w:sz w:val="18"/>
      <w:szCs w:val="18"/>
    </w:rPr>
  </w:style>
  <w:style w:type="paragraph" w:styleId="14">
    <w:name w:val="header"/>
    <w:basedOn w:val="1"/>
    <w:link w:val="43"/>
    <w:autoRedefine/>
    <w:qFormat/>
    <w:uiPriority w:val="0"/>
    <w:pPr>
      <w:pBdr>
        <w:bottom w:val="single" w:color="auto" w:sz="6" w:space="1"/>
      </w:pBdr>
      <w:snapToGrid w:val="0"/>
      <w:jc w:val="center"/>
    </w:pPr>
    <w:rPr>
      <w:sz w:val="18"/>
      <w:szCs w:val="18"/>
    </w:rPr>
  </w:style>
  <w:style w:type="paragraph" w:styleId="15">
    <w:name w:val="toc 1"/>
    <w:basedOn w:val="1"/>
    <w:next w:val="1"/>
    <w:autoRedefine/>
    <w:qFormat/>
    <w:uiPriority w:val="0"/>
    <w:pPr>
      <w:spacing w:after="100" w:line="276" w:lineRule="auto"/>
    </w:pPr>
    <w:rPr>
      <w:b/>
      <w:kern w:val="0"/>
      <w:sz w:val="32"/>
    </w:rPr>
  </w:style>
  <w:style w:type="paragraph" w:styleId="16">
    <w:name w:val="toc 2"/>
    <w:basedOn w:val="1"/>
    <w:next w:val="1"/>
    <w:autoRedefine/>
    <w:qFormat/>
    <w:uiPriority w:val="0"/>
    <w:pPr>
      <w:spacing w:after="100" w:line="276" w:lineRule="auto"/>
      <w:ind w:left="220"/>
    </w:pPr>
    <w:rPr>
      <w:kern w:val="0"/>
      <w:sz w:val="32"/>
    </w:rPr>
  </w:style>
  <w:style w:type="paragraph" w:styleId="17">
    <w:name w:val="Body Text 2"/>
    <w:basedOn w:val="1"/>
    <w:autoRedefine/>
    <w:semiHidden/>
    <w:unhideWhenUsed/>
    <w:qFormat/>
    <w:uiPriority w:val="99"/>
    <w:pPr>
      <w:spacing w:after="120" w:line="480" w:lineRule="auto"/>
    </w:pPr>
  </w:style>
  <w:style w:type="paragraph" w:styleId="18">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paragraph" w:styleId="19">
    <w:name w:val="annotation subject"/>
    <w:basedOn w:val="8"/>
    <w:next w:val="8"/>
    <w:link w:val="46"/>
    <w:autoRedefine/>
    <w:qFormat/>
    <w:uiPriority w:val="0"/>
    <w:rPr>
      <w:b/>
    </w:rPr>
  </w:style>
  <w:style w:type="paragraph" w:styleId="20">
    <w:name w:val="Body Text First Indent"/>
    <w:basedOn w:val="9"/>
    <w:qFormat/>
    <w:uiPriority w:val="0"/>
    <w:pPr>
      <w:ind w:firstLine="420" w:firstLineChars="100"/>
    </w:pPr>
    <w:rPr>
      <w:rFonts w:ascii="Times New Roman" w:hAnsi="Times New Roman" w:eastAsia="宋体" w:cs="Times New Roman"/>
    </w:rPr>
  </w:style>
  <w:style w:type="table" w:styleId="22">
    <w:name w:val="Table Grid"/>
    <w:basedOn w:val="21"/>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4">
    <w:name w:val="Strong"/>
    <w:basedOn w:val="23"/>
    <w:qFormat/>
    <w:uiPriority w:val="0"/>
    <w:rPr>
      <w:b/>
      <w:bCs/>
    </w:rPr>
  </w:style>
  <w:style w:type="character" w:styleId="25">
    <w:name w:val="page number"/>
    <w:basedOn w:val="23"/>
    <w:qFormat/>
    <w:uiPriority w:val="0"/>
  </w:style>
  <w:style w:type="character" w:styleId="26">
    <w:name w:val="FollowedHyperlink"/>
    <w:basedOn w:val="23"/>
    <w:semiHidden/>
    <w:unhideWhenUsed/>
    <w:qFormat/>
    <w:uiPriority w:val="0"/>
    <w:rPr>
      <w:color w:val="2D8CF0"/>
      <w:u w:val="none"/>
    </w:rPr>
  </w:style>
  <w:style w:type="character" w:styleId="27">
    <w:name w:val="HTML Definition"/>
    <w:basedOn w:val="23"/>
    <w:semiHidden/>
    <w:unhideWhenUsed/>
    <w:qFormat/>
    <w:uiPriority w:val="0"/>
    <w:rPr>
      <w:i/>
      <w:iCs/>
    </w:rPr>
  </w:style>
  <w:style w:type="character" w:styleId="28">
    <w:name w:val="Hyperlink"/>
    <w:autoRedefine/>
    <w:qFormat/>
    <w:uiPriority w:val="0"/>
    <w:rPr>
      <w:color w:val="0000FF"/>
      <w:u w:val="single"/>
    </w:rPr>
  </w:style>
  <w:style w:type="character" w:styleId="29">
    <w:name w:val="HTML Code"/>
    <w:basedOn w:val="23"/>
    <w:semiHidden/>
    <w:unhideWhenUsed/>
    <w:qFormat/>
    <w:uiPriority w:val="0"/>
    <w:rPr>
      <w:rFonts w:hint="default" w:ascii="Consolas" w:hAnsi="Consolas" w:eastAsia="Consolas" w:cs="Consolas"/>
      <w:sz w:val="21"/>
      <w:szCs w:val="21"/>
    </w:rPr>
  </w:style>
  <w:style w:type="character" w:styleId="30">
    <w:name w:val="annotation reference"/>
    <w:autoRedefine/>
    <w:qFormat/>
    <w:uiPriority w:val="0"/>
    <w:rPr>
      <w:sz w:val="21"/>
    </w:rPr>
  </w:style>
  <w:style w:type="character" w:styleId="31">
    <w:name w:val="HTML Keyboard"/>
    <w:basedOn w:val="23"/>
    <w:semiHidden/>
    <w:unhideWhenUsed/>
    <w:qFormat/>
    <w:uiPriority w:val="0"/>
    <w:rPr>
      <w:rFonts w:ascii="Consolas" w:hAnsi="Consolas" w:eastAsia="Consolas" w:cs="Consolas"/>
      <w:sz w:val="21"/>
      <w:szCs w:val="21"/>
    </w:rPr>
  </w:style>
  <w:style w:type="character" w:styleId="32">
    <w:name w:val="HTML Sample"/>
    <w:basedOn w:val="23"/>
    <w:semiHidden/>
    <w:unhideWhenUsed/>
    <w:qFormat/>
    <w:uiPriority w:val="0"/>
    <w:rPr>
      <w:rFonts w:hint="default" w:ascii="Consolas" w:hAnsi="Consolas" w:eastAsia="Consolas" w:cs="Consolas"/>
      <w:sz w:val="21"/>
      <w:szCs w:val="21"/>
    </w:rPr>
  </w:style>
  <w:style w:type="paragraph" w:customStyle="1" w:styleId="33">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paragraph" w:customStyle="1" w:styleId="34">
    <w:name w:val="无间隔1"/>
    <w:autoRedefine/>
    <w:qFormat/>
    <w:uiPriority w:val="0"/>
    <w:pPr>
      <w:widowControl w:val="0"/>
      <w:spacing w:line="360" w:lineRule="auto"/>
      <w:ind w:firstLine="200" w:firstLineChars="200"/>
      <w:jc w:val="both"/>
    </w:pPr>
    <w:rPr>
      <w:rFonts w:ascii="Calibri" w:hAnsi="Calibri" w:eastAsia="宋体" w:cs="Times New Roman"/>
      <w:kern w:val="2"/>
      <w:sz w:val="21"/>
      <w:szCs w:val="22"/>
      <w:lang w:val="en-US" w:eastAsia="zh-CN" w:bidi="ar-SA"/>
    </w:rPr>
  </w:style>
  <w:style w:type="paragraph" w:customStyle="1" w:styleId="35">
    <w:name w:val="0"/>
    <w:basedOn w:val="1"/>
    <w:next w:val="1"/>
    <w:autoRedefine/>
    <w:qFormat/>
    <w:uiPriority w:val="99"/>
    <w:pPr>
      <w:ind w:firstLine="480"/>
    </w:pPr>
    <w:rPr>
      <w:rFonts w:ascii="Times New Roman" w:hAnsi="Times New Roman" w:eastAsia="宋体" w:cs="Times New Roman"/>
    </w:rPr>
  </w:style>
  <w:style w:type="character" w:customStyle="1" w:styleId="36">
    <w:name w:val="标题 1 字符"/>
    <w:link w:val="3"/>
    <w:autoRedefine/>
    <w:qFormat/>
    <w:uiPriority w:val="0"/>
    <w:rPr>
      <w:b/>
      <w:kern w:val="44"/>
      <w:sz w:val="32"/>
      <w:szCs w:val="44"/>
    </w:rPr>
  </w:style>
  <w:style w:type="paragraph" w:customStyle="1" w:styleId="37">
    <w:name w:val="列出段落1"/>
    <w:basedOn w:val="1"/>
    <w:link w:val="38"/>
    <w:autoRedefine/>
    <w:qFormat/>
    <w:uiPriority w:val="0"/>
    <w:pPr>
      <w:ind w:firstLine="420"/>
    </w:pPr>
  </w:style>
  <w:style w:type="character" w:customStyle="1" w:styleId="38">
    <w:name w:val="列出段落 Char"/>
    <w:link w:val="37"/>
    <w:autoRedefine/>
    <w:qFormat/>
    <w:uiPriority w:val="0"/>
  </w:style>
  <w:style w:type="paragraph" w:customStyle="1" w:styleId="39">
    <w:name w:val="TOC 标题1"/>
    <w:basedOn w:val="3"/>
    <w:next w:val="1"/>
    <w:autoRedefine/>
    <w:qFormat/>
    <w:uiPriority w:val="0"/>
    <w:pPr>
      <w:spacing w:before="480" w:line="276" w:lineRule="auto"/>
      <w:outlineLvl w:val="9"/>
    </w:pPr>
    <w:rPr>
      <w:rFonts w:ascii="Cambria" w:hAnsi="Cambria"/>
      <w:color w:val="365F91"/>
      <w:kern w:val="0"/>
      <w:sz w:val="28"/>
      <w:szCs w:val="28"/>
    </w:rPr>
  </w:style>
  <w:style w:type="character" w:customStyle="1" w:styleId="40">
    <w:name w:val="批注框文本 字符"/>
    <w:link w:val="12"/>
    <w:autoRedefine/>
    <w:qFormat/>
    <w:uiPriority w:val="0"/>
    <w:rPr>
      <w:sz w:val="18"/>
      <w:szCs w:val="18"/>
    </w:rPr>
  </w:style>
  <w:style w:type="character" w:customStyle="1" w:styleId="41">
    <w:name w:val="标题 2 字符"/>
    <w:link w:val="2"/>
    <w:autoRedefine/>
    <w:qFormat/>
    <w:uiPriority w:val="0"/>
    <w:rPr>
      <w:rFonts w:hint="default" w:ascii="Cambria" w:hAnsi="Cambria" w:eastAsia="宋体" w:cs="Times New Roman"/>
      <w:b/>
      <w:sz w:val="32"/>
      <w:szCs w:val="32"/>
    </w:rPr>
  </w:style>
  <w:style w:type="character" w:customStyle="1" w:styleId="42">
    <w:name w:val="标题 3 字符"/>
    <w:link w:val="4"/>
    <w:autoRedefine/>
    <w:qFormat/>
    <w:uiPriority w:val="0"/>
    <w:rPr>
      <w:b/>
      <w:sz w:val="28"/>
      <w:szCs w:val="32"/>
    </w:rPr>
  </w:style>
  <w:style w:type="character" w:customStyle="1" w:styleId="43">
    <w:name w:val="页眉 字符"/>
    <w:link w:val="14"/>
    <w:autoRedefine/>
    <w:qFormat/>
    <w:uiPriority w:val="0"/>
    <w:rPr>
      <w:sz w:val="18"/>
      <w:szCs w:val="18"/>
    </w:rPr>
  </w:style>
  <w:style w:type="character" w:customStyle="1" w:styleId="44">
    <w:name w:val="页脚 字符"/>
    <w:link w:val="13"/>
    <w:autoRedefine/>
    <w:qFormat/>
    <w:uiPriority w:val="0"/>
    <w:rPr>
      <w:sz w:val="18"/>
      <w:szCs w:val="18"/>
    </w:rPr>
  </w:style>
  <w:style w:type="character" w:customStyle="1" w:styleId="45">
    <w:name w:val="批注文字 字符"/>
    <w:basedOn w:val="23"/>
    <w:link w:val="8"/>
    <w:autoRedefine/>
    <w:qFormat/>
    <w:uiPriority w:val="0"/>
  </w:style>
  <w:style w:type="character" w:customStyle="1" w:styleId="46">
    <w:name w:val="批注主题 字符"/>
    <w:link w:val="19"/>
    <w:autoRedefine/>
    <w:qFormat/>
    <w:uiPriority w:val="0"/>
    <w:rPr>
      <w:b/>
    </w:rPr>
  </w:style>
  <w:style w:type="paragraph" w:customStyle="1" w:styleId="47">
    <w:name w:val="*正文"/>
    <w:basedOn w:val="7"/>
    <w:autoRedefine/>
    <w:qFormat/>
    <w:uiPriority w:val="0"/>
    <w:pPr>
      <w:ind w:firstLine="560"/>
    </w:pPr>
    <w:rPr>
      <w:rFonts w:ascii="宋体" w:hAnsi="宋体"/>
      <w:color w:val="000000"/>
      <w:kern w:val="0"/>
      <w:sz w:val="28"/>
      <w:szCs w:val="24"/>
    </w:rPr>
  </w:style>
  <w:style w:type="paragraph" w:customStyle="1" w:styleId="48">
    <w:name w:val="列出段落2"/>
    <w:basedOn w:val="1"/>
    <w:autoRedefine/>
    <w:qFormat/>
    <w:uiPriority w:val="0"/>
    <w:pPr>
      <w:ind w:firstLine="420"/>
    </w:pPr>
  </w:style>
  <w:style w:type="paragraph" w:customStyle="1" w:styleId="49">
    <w:name w:val="正文 New New New New"/>
    <w:autoRedefine/>
    <w:qFormat/>
    <w:uiPriority w:val="0"/>
    <w:pPr>
      <w:widowControl w:val="0"/>
      <w:spacing w:line="360" w:lineRule="auto"/>
      <w:ind w:firstLine="200" w:firstLineChars="200"/>
      <w:jc w:val="both"/>
    </w:pPr>
    <w:rPr>
      <w:rFonts w:ascii="Times New Roman" w:hAnsi="Times New Roman" w:eastAsia="等线" w:cs="宋体"/>
      <w:szCs w:val="24"/>
      <w:lang w:val="en-US" w:eastAsia="zh-CN" w:bidi="ar-SA"/>
    </w:rPr>
  </w:style>
  <w:style w:type="paragraph" w:customStyle="1" w:styleId="50">
    <w:name w:val="列表段落2"/>
    <w:basedOn w:val="1"/>
    <w:autoRedefine/>
    <w:qFormat/>
    <w:uiPriority w:val="0"/>
    <w:pPr>
      <w:ind w:firstLine="420"/>
    </w:pPr>
  </w:style>
  <w:style w:type="paragraph" w:customStyle="1" w:styleId="51">
    <w:name w:val="正文 New New New"/>
    <w:autoRedefine/>
    <w:qFormat/>
    <w:uiPriority w:val="0"/>
    <w:pPr>
      <w:widowControl w:val="0"/>
      <w:jc w:val="both"/>
    </w:pPr>
    <w:rPr>
      <w:rFonts w:ascii="Calibri" w:hAnsi="Calibri" w:eastAsia="宋体" w:cs="Times New Roman"/>
      <w:kern w:val="2"/>
      <w:sz w:val="21"/>
      <w:szCs w:val="24"/>
      <w:lang w:val="en-US" w:eastAsia="zh-CN" w:bidi="ar-SA"/>
    </w:rPr>
  </w:style>
  <w:style w:type="paragraph" w:customStyle="1" w:styleId="52">
    <w:name w:val="列表段落1"/>
    <w:basedOn w:val="1"/>
    <w:autoRedefine/>
    <w:qFormat/>
    <w:uiPriority w:val="0"/>
    <w:pPr>
      <w:ind w:firstLine="420"/>
    </w:pPr>
  </w:style>
  <w:style w:type="paragraph" w:styleId="53">
    <w:name w:val="List Paragraph"/>
    <w:basedOn w:val="1"/>
    <w:autoRedefine/>
    <w:unhideWhenUsed/>
    <w:qFormat/>
    <w:uiPriority w:val="99"/>
    <w:pPr>
      <w:ind w:firstLine="420"/>
    </w:pPr>
  </w:style>
  <w:style w:type="character" w:customStyle="1" w:styleId="54">
    <w:name w:val="font51"/>
    <w:basedOn w:val="23"/>
    <w:autoRedefine/>
    <w:qFormat/>
    <w:uiPriority w:val="0"/>
    <w:rPr>
      <w:rFonts w:hint="eastAsia" w:ascii="微软雅黑" w:hAnsi="微软雅黑" w:eastAsia="微软雅黑" w:cs="微软雅黑"/>
      <w:color w:val="000000"/>
      <w:sz w:val="20"/>
      <w:szCs w:val="20"/>
      <w:u w:val="none"/>
    </w:rPr>
  </w:style>
  <w:style w:type="character" w:customStyle="1" w:styleId="55">
    <w:name w:val="font61"/>
    <w:basedOn w:val="23"/>
    <w:autoRedefine/>
    <w:qFormat/>
    <w:uiPriority w:val="0"/>
    <w:rPr>
      <w:rFonts w:hint="eastAsia" w:ascii="微软雅黑" w:hAnsi="微软雅黑" w:eastAsia="微软雅黑" w:cs="微软雅黑"/>
      <w:color w:val="FF0000"/>
      <w:sz w:val="20"/>
      <w:szCs w:val="20"/>
      <w:u w:val="none"/>
    </w:rPr>
  </w:style>
  <w:style w:type="character" w:customStyle="1" w:styleId="56">
    <w:name w:val="font01"/>
    <w:basedOn w:val="23"/>
    <w:autoRedefine/>
    <w:qFormat/>
    <w:uiPriority w:val="0"/>
    <w:rPr>
      <w:rFonts w:hint="eastAsia" w:ascii="微软雅黑" w:hAnsi="微软雅黑" w:eastAsia="微软雅黑" w:cs="微软雅黑"/>
      <w:color w:val="000000"/>
      <w:sz w:val="20"/>
      <w:szCs w:val="20"/>
      <w:u w:val="none"/>
    </w:rPr>
  </w:style>
  <w:style w:type="character" w:customStyle="1" w:styleId="57">
    <w:name w:val="font11"/>
    <w:basedOn w:val="23"/>
    <w:autoRedefine/>
    <w:qFormat/>
    <w:uiPriority w:val="0"/>
    <w:rPr>
      <w:rFonts w:hint="eastAsia" w:ascii="宋体" w:hAnsi="宋体" w:eastAsia="宋体" w:cs="宋体"/>
      <w:color w:val="000000"/>
      <w:sz w:val="18"/>
      <w:szCs w:val="18"/>
      <w:u w:val="none"/>
    </w:rPr>
  </w:style>
  <w:style w:type="character" w:customStyle="1" w:styleId="58">
    <w:name w:val="ivu-radio+*"/>
    <w:basedOn w:val="23"/>
    <w:qFormat/>
    <w:uiPriority w:val="0"/>
  </w:style>
  <w:style w:type="character" w:customStyle="1" w:styleId="59">
    <w:name w:val="ivu-date-picker-cells-cell"/>
    <w:basedOn w:val="23"/>
    <w:qFormat/>
    <w:uiPriority w:val="0"/>
  </w:style>
  <w:style w:type="character" w:customStyle="1" w:styleId="60">
    <w:name w:val="not([class*=suffix])"/>
    <w:basedOn w:val="23"/>
    <w:qFormat/>
    <w:uiPriority w:val="0"/>
    <w:rPr>
      <w:sz w:val="19"/>
      <w:szCs w:val="19"/>
    </w:rPr>
  </w:style>
  <w:style w:type="character" w:customStyle="1" w:styleId="61">
    <w:name w:val="not([class*=suffix])1"/>
    <w:basedOn w:val="23"/>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Version="6" StyleName="APA"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0F167C-CF10-4642-BB45-BEE6EE97D164}">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76</Pages>
  <Words>38300</Words>
  <Characters>42907</Characters>
  <Lines>1</Lines>
  <Paragraphs>1</Paragraphs>
  <TotalTime>7</TotalTime>
  <ScaleCrop>false</ScaleCrop>
  <LinksUpToDate>false</LinksUpToDate>
  <CharactersWithSpaces>43082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2021-05-18T10:29:00Z</dcterms:created>
  <dc:creator>leoht</dc:creator>
  <cp:lastModifiedBy>WPS_1677634399</cp:lastModifiedBy>
  <cp:lastPrinted>2021-11-30T21:45:00Z</cp:lastPrinted>
  <dcterms:modified xsi:type="dcterms:W3CDTF">2026-05-09T09:51:31Z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7A274F74EFC54DAE922B85B448B2A2F8_13</vt:lpwstr>
  </property>
  <property fmtid="{D5CDD505-2E9C-101B-9397-08002B2CF9AE}" pid="4" name="KSOTemplateDocerSaveRecord">
    <vt:lpwstr>eyJoZGlkIjoiM2VmNDQ1YWFkMzFlZjU4MGIxYzJiZjVkMDdkMGM1MWIiLCJ1c2VySWQiOiIxNDc4MDU2NjI3In0=</vt:lpwstr>
  </property>
</Properties>
</file>