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33B7E">
      <w:pPr>
        <w:widowControl/>
        <w:shd w:val="clear"/>
        <w:jc w:val="center"/>
        <w:rPr>
          <w:rFonts w:ascii="仿宋" w:hAnsi="仿宋" w:eastAsia="仿宋" w:cs="宋体"/>
          <w:b/>
          <w:bCs/>
          <w:kern w:val="0"/>
          <w:sz w:val="52"/>
          <w:szCs w:val="52"/>
        </w:rPr>
      </w:pPr>
    </w:p>
    <w:p w14:paraId="7426A4E6">
      <w:pPr>
        <w:widowControl/>
        <w:shd w:val="clear"/>
        <w:jc w:val="center"/>
        <w:rPr>
          <w:rFonts w:hint="eastAsia" w:ascii="仿宋" w:hAnsi="仿宋" w:eastAsia="仿宋" w:cs="宋体"/>
          <w:b/>
          <w:bCs/>
          <w:kern w:val="0"/>
          <w:sz w:val="52"/>
          <w:szCs w:val="52"/>
          <w:lang w:eastAsia="zh-CN"/>
        </w:rPr>
      </w:pPr>
      <w:r>
        <w:rPr>
          <w:rFonts w:hint="eastAsia" w:ascii="仿宋" w:hAnsi="仿宋" w:eastAsia="仿宋" w:cs="宋体"/>
          <w:b/>
          <w:bCs/>
          <w:kern w:val="0"/>
          <w:sz w:val="52"/>
          <w:szCs w:val="52"/>
          <w:lang w:eastAsia="zh-CN"/>
        </w:rPr>
        <w:t>临空港大剧院文化惠民活动项目</w:t>
      </w:r>
    </w:p>
    <w:p w14:paraId="4D35D0C0">
      <w:pPr>
        <w:widowControl/>
        <w:shd w:val="clear"/>
        <w:jc w:val="center"/>
        <w:rPr>
          <w:rFonts w:ascii="仿宋" w:hAnsi="仿宋" w:eastAsia="仿宋" w:cs="宋体"/>
          <w:b/>
          <w:bCs/>
          <w:kern w:val="0"/>
          <w:sz w:val="52"/>
          <w:szCs w:val="52"/>
        </w:rPr>
      </w:pPr>
    </w:p>
    <w:p w14:paraId="5A6CF752">
      <w:pPr>
        <w:widowControl/>
        <w:shd w:val="clear"/>
        <w:jc w:val="center"/>
        <w:rPr>
          <w:rFonts w:ascii="仿宋" w:hAnsi="仿宋" w:eastAsia="仿宋" w:cs="宋体"/>
          <w:b/>
          <w:bCs/>
          <w:kern w:val="0"/>
          <w:sz w:val="52"/>
          <w:szCs w:val="52"/>
        </w:rPr>
      </w:pPr>
    </w:p>
    <w:p w14:paraId="07836E8E">
      <w:pPr>
        <w:widowControl/>
        <w:shd w:val="clear"/>
        <w:jc w:val="center"/>
        <w:rPr>
          <w:rFonts w:ascii="仿宋" w:hAnsi="仿宋" w:eastAsia="仿宋" w:cs="宋体"/>
          <w:b/>
          <w:bCs/>
          <w:kern w:val="0"/>
          <w:sz w:val="52"/>
          <w:szCs w:val="52"/>
        </w:rPr>
      </w:pPr>
    </w:p>
    <w:p w14:paraId="73B4AC04">
      <w:pPr>
        <w:widowControl/>
        <w:shd w:val="clear"/>
        <w:jc w:val="center"/>
        <w:rPr>
          <w:rFonts w:ascii="仿宋" w:hAnsi="仿宋" w:eastAsia="仿宋" w:cs="宋体"/>
          <w:b/>
          <w:bCs/>
          <w:kern w:val="0"/>
          <w:sz w:val="52"/>
          <w:szCs w:val="52"/>
        </w:rPr>
      </w:pPr>
      <w:r>
        <w:rPr>
          <w:rFonts w:ascii="仿宋" w:hAnsi="仿宋" w:eastAsia="仿宋" w:cs="宋体"/>
          <w:b/>
          <w:bCs/>
          <w:kern w:val="0"/>
          <w:sz w:val="52"/>
          <w:szCs w:val="52"/>
        </w:rPr>
        <w:t>采购需求</w:t>
      </w:r>
      <w:r>
        <w:rPr>
          <w:rFonts w:hint="eastAsia" w:ascii="仿宋" w:hAnsi="仿宋" w:eastAsia="仿宋" w:cs="宋体"/>
          <w:b/>
          <w:bCs/>
          <w:kern w:val="0"/>
          <w:sz w:val="52"/>
          <w:szCs w:val="52"/>
        </w:rPr>
        <w:t>及实施计划</w:t>
      </w:r>
    </w:p>
    <w:p w14:paraId="315A52DC">
      <w:pPr>
        <w:widowControl/>
        <w:shd w:val="clear"/>
        <w:jc w:val="left"/>
        <w:rPr>
          <w:rFonts w:ascii="宋体" w:hAnsi="宋体" w:eastAsia="宋体" w:cs="宋体"/>
          <w:kern w:val="0"/>
          <w:sz w:val="52"/>
          <w:szCs w:val="52"/>
        </w:rPr>
      </w:pPr>
    </w:p>
    <w:p w14:paraId="6FE3AF3D">
      <w:pPr>
        <w:widowControl/>
        <w:shd w:val="clear"/>
        <w:jc w:val="left"/>
        <w:rPr>
          <w:rFonts w:ascii="仿宋" w:hAnsi="仿宋" w:eastAsia="仿宋" w:cs="宋体"/>
          <w:kern w:val="0"/>
          <w:sz w:val="52"/>
          <w:szCs w:val="52"/>
        </w:rPr>
      </w:pPr>
    </w:p>
    <w:p w14:paraId="55DD7AEA">
      <w:pPr>
        <w:widowControl/>
        <w:shd w:val="clear"/>
        <w:jc w:val="left"/>
        <w:rPr>
          <w:rFonts w:ascii="仿宋" w:hAnsi="仿宋" w:eastAsia="仿宋" w:cs="宋体"/>
          <w:kern w:val="0"/>
          <w:sz w:val="52"/>
          <w:szCs w:val="52"/>
        </w:rPr>
      </w:pPr>
    </w:p>
    <w:p w14:paraId="6588792D">
      <w:pPr>
        <w:widowControl/>
        <w:shd w:val="clear"/>
        <w:jc w:val="left"/>
        <w:rPr>
          <w:rFonts w:ascii="仿宋" w:hAnsi="仿宋" w:eastAsia="仿宋" w:cs="宋体"/>
          <w:kern w:val="0"/>
          <w:sz w:val="52"/>
          <w:szCs w:val="52"/>
        </w:rPr>
      </w:pPr>
    </w:p>
    <w:p w14:paraId="6ED135C2">
      <w:pPr>
        <w:widowControl/>
        <w:shd w:val="clear"/>
        <w:jc w:val="left"/>
        <w:rPr>
          <w:rFonts w:ascii="仿宋" w:hAnsi="仿宋" w:eastAsia="仿宋" w:cs="宋体"/>
          <w:kern w:val="0"/>
          <w:sz w:val="30"/>
          <w:szCs w:val="30"/>
        </w:rPr>
      </w:pPr>
    </w:p>
    <w:p w14:paraId="42712660">
      <w:pPr>
        <w:widowControl/>
        <w:shd w:val="clear"/>
        <w:ind w:firstLine="300" w:firstLineChars="100"/>
        <w:jc w:val="left"/>
        <w:rPr>
          <w:rFonts w:hint="eastAsia" w:ascii="仿宋" w:hAnsi="仿宋" w:eastAsia="仿宋" w:cs="宋体"/>
          <w:kern w:val="0"/>
          <w:sz w:val="30"/>
          <w:szCs w:val="30"/>
          <w:u w:val="single"/>
        </w:rPr>
      </w:pPr>
      <w:r>
        <w:rPr>
          <w:rFonts w:ascii="仿宋" w:hAnsi="仿宋" w:eastAsia="仿宋" w:cs="宋体"/>
          <w:kern w:val="0"/>
          <w:sz w:val="30"/>
          <w:szCs w:val="30"/>
        </w:rPr>
        <w:t>项目名称：</w:t>
      </w:r>
      <w:r>
        <w:rPr>
          <w:rFonts w:hint="eastAsia" w:ascii="仿宋" w:hAnsi="仿宋" w:eastAsia="仿宋" w:cs="宋体"/>
          <w:kern w:val="0"/>
          <w:sz w:val="30"/>
          <w:szCs w:val="30"/>
          <w:u w:val="single"/>
        </w:rPr>
        <w:t>临空港大剧院文化惠民活动项目</w:t>
      </w:r>
    </w:p>
    <w:p w14:paraId="29DB9633">
      <w:pPr>
        <w:widowControl/>
        <w:shd w:val="clear"/>
        <w:ind w:firstLine="300" w:firstLineChars="100"/>
        <w:jc w:val="left"/>
        <w:rPr>
          <w:rFonts w:hint="eastAsia" w:ascii="仿宋" w:hAnsi="仿宋" w:eastAsia="仿宋" w:cs="宋体"/>
          <w:kern w:val="0"/>
          <w:sz w:val="30"/>
          <w:szCs w:val="30"/>
          <w:u w:val="single"/>
        </w:rPr>
      </w:pPr>
      <w:r>
        <w:rPr>
          <w:rFonts w:ascii="仿宋" w:hAnsi="仿宋" w:eastAsia="仿宋" w:cs="宋体"/>
          <w:kern w:val="0"/>
          <w:sz w:val="30"/>
          <w:szCs w:val="30"/>
        </w:rPr>
        <w:t>编制单位：</w:t>
      </w:r>
      <w:r>
        <w:rPr>
          <w:rFonts w:hint="eastAsia" w:ascii="仿宋" w:hAnsi="仿宋" w:eastAsia="仿宋" w:cs="宋体"/>
          <w:kern w:val="0"/>
          <w:sz w:val="30"/>
          <w:szCs w:val="30"/>
          <w:u w:val="single"/>
        </w:rPr>
        <w:t>武汉市东西湖区文化和旅游局</w:t>
      </w:r>
    </w:p>
    <w:p w14:paraId="665D049C">
      <w:pPr>
        <w:widowControl/>
        <w:shd w:val="clear"/>
        <w:ind w:firstLine="300" w:firstLineChars="100"/>
        <w:jc w:val="left"/>
        <w:rPr>
          <w:rFonts w:ascii="宋体" w:hAnsi="宋体" w:eastAsia="仿宋" w:cs="宋体"/>
          <w:kern w:val="0"/>
          <w:sz w:val="30"/>
          <w:szCs w:val="30"/>
        </w:rPr>
      </w:pPr>
      <w:r>
        <w:rPr>
          <w:rFonts w:ascii="仿宋" w:hAnsi="仿宋" w:eastAsia="仿宋" w:cs="宋体"/>
          <w:kern w:val="0"/>
          <w:sz w:val="30"/>
          <w:szCs w:val="30"/>
        </w:rPr>
        <w:t>编制</w:t>
      </w:r>
      <w:r>
        <w:rPr>
          <w:rFonts w:hint="eastAsia" w:ascii="仿宋" w:hAnsi="仿宋" w:eastAsia="仿宋" w:cs="宋体"/>
          <w:kern w:val="0"/>
          <w:sz w:val="30"/>
          <w:szCs w:val="30"/>
        </w:rPr>
        <w:t>时间</w:t>
      </w:r>
      <w:r>
        <w:rPr>
          <w:rFonts w:ascii="仿宋" w:hAnsi="仿宋" w:eastAsia="仿宋" w:cs="宋体"/>
          <w:kern w:val="0"/>
          <w:sz w:val="30"/>
          <w:szCs w:val="30"/>
        </w:rPr>
        <w:t>：</w:t>
      </w:r>
      <w:r>
        <w:rPr>
          <w:rFonts w:ascii="仿宋" w:hAnsi="仿宋" w:eastAsia="仿宋" w:cs="宋体"/>
          <w:kern w:val="0"/>
          <w:sz w:val="30"/>
          <w:szCs w:val="30"/>
          <w:u w:val="single"/>
        </w:rPr>
        <w:t>202</w:t>
      </w:r>
      <w:r>
        <w:rPr>
          <w:rFonts w:hint="eastAsia" w:ascii="仿宋" w:hAnsi="仿宋" w:eastAsia="仿宋" w:cs="宋体"/>
          <w:kern w:val="0"/>
          <w:sz w:val="30"/>
          <w:szCs w:val="30"/>
          <w:u w:val="single"/>
          <w:lang w:val="en-US" w:eastAsia="zh-CN"/>
        </w:rPr>
        <w:t>6</w:t>
      </w:r>
      <w:r>
        <w:rPr>
          <w:rFonts w:ascii="仿宋" w:hAnsi="仿宋" w:eastAsia="仿宋" w:cs="宋体"/>
          <w:kern w:val="0"/>
          <w:sz w:val="30"/>
          <w:szCs w:val="30"/>
          <w:u w:val="single"/>
        </w:rPr>
        <w:t>年</w:t>
      </w:r>
      <w:r>
        <w:rPr>
          <w:rFonts w:hint="eastAsia" w:ascii="仿宋" w:hAnsi="仿宋" w:eastAsia="仿宋" w:cs="宋体"/>
          <w:kern w:val="0"/>
          <w:sz w:val="30"/>
          <w:szCs w:val="30"/>
          <w:u w:val="single"/>
          <w:lang w:val="en-US" w:eastAsia="zh-CN"/>
        </w:rPr>
        <w:t>4</w:t>
      </w:r>
      <w:r>
        <w:rPr>
          <w:rFonts w:hint="eastAsia" w:ascii="仿宋" w:hAnsi="仿宋" w:eastAsia="仿宋" w:cs="宋体"/>
          <w:kern w:val="0"/>
          <w:sz w:val="30"/>
          <w:szCs w:val="30"/>
          <w:u w:val="single"/>
        </w:rPr>
        <w:t>月</w:t>
      </w:r>
    </w:p>
    <w:p w14:paraId="35D7C2DB"/>
    <w:p w14:paraId="4E9BAFAD">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0DFD10B">
      <w:pPr>
        <w:snapToGrid w:val="0"/>
        <w:spacing w:line="360" w:lineRule="auto"/>
        <w:jc w:val="center"/>
        <w:rPr>
          <w:rFonts w:ascii="宋体" w:hAnsi="宋体" w:eastAsia="宋体" w:cs="宋体"/>
          <w:b/>
          <w:sz w:val="30"/>
          <w:szCs w:val="30"/>
        </w:rPr>
      </w:pPr>
      <w:r>
        <w:rPr>
          <w:rFonts w:hint="eastAsia" w:ascii="宋体" w:hAnsi="宋体" w:eastAsia="宋体" w:cs="宋体"/>
          <w:b/>
          <w:sz w:val="30"/>
          <w:szCs w:val="30"/>
        </w:rPr>
        <w:t>采购需求和采购实施计划</w:t>
      </w:r>
    </w:p>
    <w:p w14:paraId="40A09E06">
      <w:pPr>
        <w:snapToGrid w:val="0"/>
        <w:spacing w:line="360" w:lineRule="auto"/>
        <w:jc w:val="center"/>
        <w:rPr>
          <w:rFonts w:ascii="宋体" w:hAnsi="宋体" w:eastAsia="宋体" w:cs="宋体"/>
          <w:sz w:val="30"/>
          <w:szCs w:val="30"/>
        </w:rPr>
      </w:pPr>
    </w:p>
    <w:p w14:paraId="65F51FFD">
      <w:pPr>
        <w:pStyle w:val="5"/>
        <w:pageBreakBefore w:val="0"/>
        <w:widowControl w:val="0"/>
        <w:kinsoku/>
        <w:wordWrap/>
        <w:overflowPunct/>
        <w:topLinePunct w:val="0"/>
        <w:autoSpaceDE/>
        <w:autoSpaceDN/>
        <w:bidi w:val="0"/>
        <w:adjustRightInd/>
        <w:spacing w:line="360" w:lineRule="auto"/>
        <w:ind w:firstLine="482" w:firstLineChars="200"/>
        <w:textAlignment w:val="auto"/>
        <w:rPr>
          <w:rFonts w:ascii="宋体" w:hAnsi="宋体" w:eastAsia="宋体" w:cs="宋体"/>
          <w:sz w:val="24"/>
        </w:rPr>
      </w:pPr>
      <w:r>
        <w:rPr>
          <w:rFonts w:hint="eastAsia" w:ascii="宋体" w:hAnsi="宋体" w:eastAsia="宋体" w:cs="宋体"/>
          <w:sz w:val="24"/>
        </w:rPr>
        <w:t>一、项目基本情况</w:t>
      </w:r>
    </w:p>
    <w:p w14:paraId="699B06AB">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1.1项目名称：临空港大剧院文化惠民活动项目</w:t>
      </w:r>
    </w:p>
    <w:p w14:paraId="65BDAEB7">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1.1预算金额（或最高限价）：</w:t>
      </w:r>
      <w:r>
        <w:rPr>
          <w:rFonts w:hint="eastAsia" w:ascii="宋体" w:hAnsi="宋体" w:eastAsia="宋体" w:cs="宋体"/>
          <w:bCs/>
          <w:sz w:val="24"/>
          <w:lang w:val="en-US" w:eastAsia="zh-CN"/>
        </w:rPr>
        <w:t>360</w:t>
      </w:r>
      <w:r>
        <w:rPr>
          <w:rFonts w:hint="eastAsia" w:ascii="宋体" w:hAnsi="宋体" w:eastAsia="宋体" w:cs="宋体"/>
          <w:bCs/>
          <w:sz w:val="24"/>
        </w:rPr>
        <w:t>万元</w:t>
      </w:r>
    </w:p>
    <w:p w14:paraId="3DC00C01">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1.2采购项目的功能或者目标：本次招标采购是为采购人提供临空港大剧院文化惠民活动策划及执行服务。</w:t>
      </w:r>
    </w:p>
    <w:p w14:paraId="724C0517">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bCs/>
          <w:sz w:val="24"/>
        </w:rPr>
      </w:pPr>
      <w:r>
        <w:rPr>
          <w:rFonts w:hint="eastAsia" w:ascii="宋体" w:hAnsi="宋体" w:eastAsia="宋体" w:cs="宋体"/>
          <w:bCs/>
          <w:sz w:val="24"/>
        </w:rPr>
        <w:t>1.3预算绩效目标：按照采购人委托的文化惠民活动要求完成相关服务。</w:t>
      </w:r>
    </w:p>
    <w:p w14:paraId="72DEBB06">
      <w:pPr>
        <w:pStyle w:val="5"/>
        <w:pageBreakBefore w:val="0"/>
        <w:widowControl w:val="0"/>
        <w:kinsoku/>
        <w:wordWrap/>
        <w:overflowPunct/>
        <w:topLinePunct w:val="0"/>
        <w:autoSpaceDE/>
        <w:autoSpaceDN/>
        <w:bidi w:val="0"/>
        <w:adjustRightInd/>
        <w:spacing w:line="360" w:lineRule="auto"/>
        <w:ind w:firstLine="482" w:firstLineChars="200"/>
        <w:textAlignment w:val="auto"/>
        <w:rPr>
          <w:rFonts w:ascii="宋体" w:hAnsi="宋体" w:eastAsia="宋体" w:cs="宋体"/>
          <w:sz w:val="24"/>
        </w:rPr>
      </w:pPr>
      <w:r>
        <w:rPr>
          <w:rFonts w:hint="eastAsia" w:ascii="宋体" w:hAnsi="宋体" w:eastAsia="宋体" w:cs="宋体"/>
          <w:sz w:val="24"/>
        </w:rPr>
        <w:t>二、需求调查情况</w:t>
      </w:r>
    </w:p>
    <w:p w14:paraId="3E1F32C7">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本项目不属于必须开展需求调查的项目。</w:t>
      </w:r>
    </w:p>
    <w:p w14:paraId="7C27121A">
      <w:pPr>
        <w:pStyle w:val="5"/>
        <w:pageBreakBefore w:val="0"/>
        <w:widowControl w:val="0"/>
        <w:kinsoku/>
        <w:wordWrap/>
        <w:overflowPunct/>
        <w:topLinePunct w:val="0"/>
        <w:autoSpaceDE/>
        <w:autoSpaceDN/>
        <w:bidi w:val="0"/>
        <w:adjustRightInd/>
        <w:spacing w:line="360" w:lineRule="auto"/>
        <w:ind w:firstLine="482" w:firstLineChars="200"/>
        <w:textAlignment w:val="auto"/>
        <w:rPr>
          <w:rFonts w:ascii="宋体" w:hAnsi="宋体" w:eastAsia="宋体" w:cs="宋体"/>
          <w:sz w:val="24"/>
        </w:rPr>
      </w:pPr>
      <w:r>
        <w:rPr>
          <w:rFonts w:hint="eastAsia" w:ascii="宋体" w:hAnsi="宋体" w:eastAsia="宋体" w:cs="宋体"/>
          <w:sz w:val="24"/>
        </w:rPr>
        <w:t>三、公开征求意见情况</w:t>
      </w:r>
    </w:p>
    <w:p w14:paraId="02CCBB03">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本项目不属于必须公开征求意见的项目。根据管理部门</w:t>
      </w:r>
      <w:r>
        <w:rPr>
          <w:rFonts w:hint="eastAsia" w:ascii="宋体" w:hAnsi="宋体" w:eastAsia="宋体" w:cs="宋体"/>
          <w:bCs/>
          <w:sz w:val="24"/>
          <w:lang w:val="en-US" w:eastAsia="zh-CN"/>
        </w:rPr>
        <w:t>要求开展公开征求意见，</w:t>
      </w:r>
      <w:r>
        <w:rPr>
          <w:rFonts w:hint="eastAsia" w:ascii="宋体" w:hAnsi="宋体" w:eastAsia="宋体" w:cs="宋体"/>
          <w:bCs/>
          <w:sz w:val="24"/>
        </w:rPr>
        <w:t>公开征求意见时间拟定于202</w:t>
      </w:r>
      <w:r>
        <w:rPr>
          <w:rFonts w:hint="eastAsia" w:ascii="宋体" w:hAnsi="宋体" w:eastAsia="宋体" w:cs="宋体"/>
          <w:bCs/>
          <w:sz w:val="24"/>
          <w:lang w:val="en-US" w:eastAsia="zh-CN"/>
        </w:rPr>
        <w:t>6</w:t>
      </w:r>
      <w:r>
        <w:rPr>
          <w:rFonts w:hint="eastAsia" w:ascii="宋体" w:hAnsi="宋体" w:eastAsia="宋体" w:cs="宋体"/>
          <w:bCs/>
          <w:sz w:val="24"/>
        </w:rPr>
        <w:t>年</w:t>
      </w:r>
      <w:r>
        <w:rPr>
          <w:rFonts w:hint="eastAsia" w:ascii="宋体" w:hAnsi="宋体" w:eastAsia="宋体" w:cs="宋体"/>
          <w:bCs/>
          <w:sz w:val="24"/>
          <w:lang w:val="en-US" w:eastAsia="zh-CN"/>
        </w:rPr>
        <w:t>4</w:t>
      </w:r>
      <w:r>
        <w:rPr>
          <w:rFonts w:hint="eastAsia" w:ascii="宋体" w:hAnsi="宋体" w:eastAsia="宋体" w:cs="宋体"/>
          <w:bCs/>
          <w:sz w:val="24"/>
        </w:rPr>
        <w:t>月。</w:t>
      </w:r>
    </w:p>
    <w:p w14:paraId="55EBB8F2">
      <w:pPr>
        <w:pStyle w:val="5"/>
        <w:pageBreakBefore w:val="0"/>
        <w:widowControl w:val="0"/>
        <w:kinsoku/>
        <w:wordWrap/>
        <w:overflowPunct/>
        <w:topLinePunct w:val="0"/>
        <w:autoSpaceDE/>
        <w:autoSpaceDN/>
        <w:bidi w:val="0"/>
        <w:adjustRightInd/>
        <w:spacing w:line="360" w:lineRule="auto"/>
        <w:ind w:firstLine="482" w:firstLineChars="200"/>
        <w:textAlignment w:val="auto"/>
        <w:rPr>
          <w:rFonts w:ascii="宋体" w:hAnsi="宋体" w:eastAsia="宋体" w:cs="宋体"/>
          <w:sz w:val="24"/>
        </w:rPr>
      </w:pPr>
      <w:r>
        <w:rPr>
          <w:rFonts w:hint="eastAsia" w:ascii="宋体" w:hAnsi="宋体" w:eastAsia="宋体" w:cs="宋体"/>
          <w:sz w:val="24"/>
        </w:rPr>
        <w:t>四、采购需求</w:t>
      </w:r>
    </w:p>
    <w:p w14:paraId="3E733F54">
      <w:pPr>
        <w:pStyle w:val="6"/>
        <w:pageBreakBefore w:val="0"/>
        <w:widowControl w:val="0"/>
        <w:kinsoku/>
        <w:wordWrap/>
        <w:overflowPunct/>
        <w:topLinePunct w:val="0"/>
        <w:autoSpaceDE/>
        <w:autoSpaceDN/>
        <w:bidi w:val="0"/>
        <w:adjustRightInd/>
        <w:spacing w:line="360" w:lineRule="auto"/>
        <w:ind w:firstLine="482" w:firstLineChars="200"/>
        <w:textAlignment w:val="auto"/>
        <w:rPr>
          <w:rFonts w:ascii="宋体" w:hAnsi="宋体" w:eastAsia="宋体" w:cs="宋体"/>
          <w:sz w:val="24"/>
        </w:rPr>
      </w:pPr>
      <w:r>
        <w:rPr>
          <w:rFonts w:hint="eastAsia" w:ascii="宋体" w:hAnsi="宋体" w:eastAsia="宋体" w:cs="宋体"/>
          <w:sz w:val="24"/>
        </w:rPr>
        <w:t>4.1采购标的汇总表：</w:t>
      </w:r>
    </w:p>
    <w:tbl>
      <w:tblPr>
        <w:tblStyle w:val="21"/>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97"/>
        <w:gridCol w:w="675"/>
        <w:gridCol w:w="2520"/>
        <w:gridCol w:w="1320"/>
        <w:gridCol w:w="660"/>
        <w:gridCol w:w="435"/>
        <w:gridCol w:w="660"/>
        <w:gridCol w:w="885"/>
        <w:gridCol w:w="705"/>
        <w:gridCol w:w="666"/>
      </w:tblGrid>
      <w:tr w14:paraId="4EDE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32" w:hRule="atLeast"/>
          <w:jc w:val="center"/>
        </w:trPr>
        <w:tc>
          <w:tcPr>
            <w:tcW w:w="397" w:type="dxa"/>
            <w:shd w:val="clear" w:color="auto" w:fill="auto"/>
            <w:tcMar>
              <w:top w:w="0" w:type="dxa"/>
              <w:bottom w:w="0" w:type="dxa"/>
            </w:tcMar>
            <w:vAlign w:val="center"/>
          </w:tcPr>
          <w:p w14:paraId="13806302">
            <w:pPr>
              <w:shd w:val="clear"/>
              <w:snapToGrid w:val="0"/>
              <w:jc w:val="center"/>
              <w:rPr>
                <w:rFonts w:ascii="宋体" w:hAnsi="宋体" w:eastAsia="宋体" w:cs="宋体"/>
                <w:sz w:val="24"/>
              </w:rPr>
            </w:pPr>
            <w:r>
              <w:rPr>
                <w:rFonts w:hint="eastAsia" w:ascii="宋体" w:hAnsi="宋体" w:eastAsia="宋体" w:cs="宋体"/>
                <w:sz w:val="24"/>
              </w:rPr>
              <w:t>包号</w:t>
            </w:r>
          </w:p>
        </w:tc>
        <w:tc>
          <w:tcPr>
            <w:tcW w:w="675" w:type="dxa"/>
            <w:shd w:val="clear" w:color="auto" w:fill="auto"/>
            <w:tcMar>
              <w:top w:w="0" w:type="dxa"/>
              <w:bottom w:w="0" w:type="dxa"/>
            </w:tcMar>
            <w:vAlign w:val="center"/>
          </w:tcPr>
          <w:p w14:paraId="030031E5">
            <w:pPr>
              <w:shd w:val="clear"/>
              <w:snapToGrid w:val="0"/>
              <w:jc w:val="center"/>
              <w:rPr>
                <w:rFonts w:ascii="宋体" w:hAnsi="宋体" w:eastAsia="宋体" w:cs="宋体"/>
                <w:sz w:val="24"/>
              </w:rPr>
            </w:pPr>
            <w:r>
              <w:rPr>
                <w:rFonts w:hint="eastAsia" w:ascii="宋体" w:hAnsi="宋体" w:eastAsia="宋体" w:cs="宋体"/>
                <w:sz w:val="24"/>
              </w:rPr>
              <w:t>标的</w:t>
            </w:r>
          </w:p>
          <w:p w14:paraId="57430B34">
            <w:pPr>
              <w:shd w:val="clear"/>
              <w:snapToGrid w:val="0"/>
              <w:jc w:val="center"/>
              <w:rPr>
                <w:rFonts w:ascii="宋体" w:hAnsi="宋体" w:eastAsia="宋体" w:cs="宋体"/>
                <w:sz w:val="24"/>
              </w:rPr>
            </w:pPr>
            <w:r>
              <w:rPr>
                <w:rFonts w:hint="eastAsia" w:ascii="宋体" w:hAnsi="宋体" w:eastAsia="宋体" w:cs="宋体"/>
                <w:sz w:val="24"/>
              </w:rPr>
              <w:t>序号</w:t>
            </w:r>
          </w:p>
        </w:tc>
        <w:tc>
          <w:tcPr>
            <w:tcW w:w="2520" w:type="dxa"/>
            <w:shd w:val="clear" w:color="auto" w:fill="auto"/>
            <w:tcMar>
              <w:top w:w="0" w:type="dxa"/>
              <w:bottom w:w="0" w:type="dxa"/>
            </w:tcMar>
            <w:vAlign w:val="center"/>
          </w:tcPr>
          <w:p w14:paraId="212A975D">
            <w:pPr>
              <w:shd w:val="clear"/>
              <w:snapToGrid w:val="0"/>
              <w:jc w:val="center"/>
              <w:rPr>
                <w:rFonts w:ascii="宋体" w:hAnsi="宋体" w:eastAsia="宋体" w:cs="宋体"/>
                <w:sz w:val="24"/>
              </w:rPr>
            </w:pPr>
            <w:r>
              <w:rPr>
                <w:rFonts w:hint="eastAsia" w:ascii="宋体" w:hAnsi="宋体" w:eastAsia="宋体" w:cs="宋体"/>
                <w:sz w:val="24"/>
              </w:rPr>
              <w:t>标的名称</w:t>
            </w:r>
          </w:p>
        </w:tc>
        <w:tc>
          <w:tcPr>
            <w:tcW w:w="1320" w:type="dxa"/>
            <w:shd w:val="clear" w:color="auto" w:fill="auto"/>
            <w:tcMar>
              <w:top w:w="0" w:type="dxa"/>
              <w:bottom w:w="0" w:type="dxa"/>
            </w:tcMar>
            <w:vAlign w:val="center"/>
          </w:tcPr>
          <w:p w14:paraId="7FEA0AE2">
            <w:pPr>
              <w:shd w:val="clear"/>
              <w:snapToGrid w:val="0"/>
              <w:jc w:val="center"/>
              <w:rPr>
                <w:rFonts w:ascii="宋体" w:hAnsi="宋体" w:eastAsia="宋体" w:cs="宋体"/>
                <w:sz w:val="24"/>
              </w:rPr>
            </w:pPr>
            <w:r>
              <w:rPr>
                <w:rFonts w:hint="eastAsia" w:ascii="宋体" w:hAnsi="宋体" w:eastAsia="宋体" w:cs="宋体"/>
                <w:sz w:val="24"/>
              </w:rPr>
              <w:t>品目分类</w:t>
            </w:r>
          </w:p>
          <w:p w14:paraId="17C23BD9">
            <w:pPr>
              <w:shd w:val="clear"/>
              <w:snapToGrid w:val="0"/>
              <w:jc w:val="center"/>
              <w:rPr>
                <w:rFonts w:ascii="宋体" w:hAnsi="宋体" w:eastAsia="宋体" w:cs="宋体"/>
                <w:sz w:val="24"/>
              </w:rPr>
            </w:pPr>
            <w:r>
              <w:rPr>
                <w:rFonts w:hint="eastAsia" w:ascii="宋体" w:hAnsi="宋体" w:eastAsia="宋体" w:cs="宋体"/>
                <w:sz w:val="24"/>
              </w:rPr>
              <w:t>编码</w:t>
            </w:r>
          </w:p>
        </w:tc>
        <w:tc>
          <w:tcPr>
            <w:tcW w:w="660" w:type="dxa"/>
            <w:shd w:val="clear" w:color="auto" w:fill="auto"/>
            <w:tcMar>
              <w:top w:w="0" w:type="dxa"/>
              <w:bottom w:w="0" w:type="dxa"/>
            </w:tcMar>
            <w:vAlign w:val="center"/>
          </w:tcPr>
          <w:p w14:paraId="0268D138">
            <w:pPr>
              <w:shd w:val="clear"/>
              <w:snapToGrid w:val="0"/>
              <w:jc w:val="center"/>
              <w:rPr>
                <w:rFonts w:ascii="宋体" w:hAnsi="宋体" w:eastAsia="宋体" w:cs="宋体"/>
                <w:sz w:val="24"/>
              </w:rPr>
            </w:pPr>
            <w:r>
              <w:rPr>
                <w:rFonts w:hint="eastAsia" w:ascii="宋体" w:hAnsi="宋体" w:eastAsia="宋体" w:cs="宋体"/>
                <w:sz w:val="24"/>
              </w:rPr>
              <w:t>计量</w:t>
            </w:r>
          </w:p>
          <w:p w14:paraId="766447E9">
            <w:pPr>
              <w:shd w:val="clear"/>
              <w:snapToGrid w:val="0"/>
              <w:jc w:val="center"/>
              <w:rPr>
                <w:rFonts w:ascii="宋体" w:hAnsi="宋体" w:eastAsia="宋体" w:cs="宋体"/>
                <w:sz w:val="24"/>
              </w:rPr>
            </w:pPr>
            <w:r>
              <w:rPr>
                <w:rFonts w:hint="eastAsia" w:ascii="宋体" w:hAnsi="宋体" w:eastAsia="宋体" w:cs="宋体"/>
                <w:sz w:val="24"/>
              </w:rPr>
              <w:t>单位</w:t>
            </w:r>
          </w:p>
        </w:tc>
        <w:tc>
          <w:tcPr>
            <w:tcW w:w="435" w:type="dxa"/>
            <w:shd w:val="clear" w:color="auto" w:fill="auto"/>
            <w:tcMar>
              <w:top w:w="0" w:type="dxa"/>
              <w:bottom w:w="0" w:type="dxa"/>
            </w:tcMar>
            <w:vAlign w:val="center"/>
          </w:tcPr>
          <w:p w14:paraId="11F6B5BE">
            <w:pPr>
              <w:shd w:val="clear"/>
              <w:snapToGrid w:val="0"/>
              <w:jc w:val="center"/>
              <w:rPr>
                <w:rFonts w:ascii="宋体" w:hAnsi="宋体" w:eastAsia="宋体" w:cs="宋体"/>
                <w:sz w:val="24"/>
              </w:rPr>
            </w:pPr>
            <w:r>
              <w:rPr>
                <w:rFonts w:hint="eastAsia" w:ascii="宋体" w:hAnsi="宋体" w:eastAsia="宋体" w:cs="宋体"/>
                <w:sz w:val="24"/>
              </w:rPr>
              <w:t>数量</w:t>
            </w:r>
          </w:p>
        </w:tc>
        <w:tc>
          <w:tcPr>
            <w:tcW w:w="660" w:type="dxa"/>
            <w:shd w:val="clear" w:color="auto" w:fill="auto"/>
            <w:tcMar>
              <w:top w:w="0" w:type="dxa"/>
              <w:bottom w:w="0" w:type="dxa"/>
            </w:tcMar>
            <w:vAlign w:val="center"/>
          </w:tcPr>
          <w:p w14:paraId="1691A9DF">
            <w:pPr>
              <w:shd w:val="clear"/>
              <w:snapToGrid w:val="0"/>
              <w:jc w:val="center"/>
              <w:rPr>
                <w:rFonts w:ascii="宋体" w:hAnsi="宋体" w:eastAsia="宋体" w:cs="宋体"/>
                <w:sz w:val="24"/>
              </w:rPr>
            </w:pPr>
            <w:r>
              <w:rPr>
                <w:rFonts w:hint="eastAsia" w:ascii="宋体" w:hAnsi="宋体" w:eastAsia="宋体" w:cs="宋体"/>
                <w:sz w:val="24"/>
              </w:rPr>
              <w:t>是否</w:t>
            </w:r>
          </w:p>
          <w:p w14:paraId="680D66A6">
            <w:pPr>
              <w:shd w:val="clear"/>
              <w:snapToGrid w:val="0"/>
              <w:jc w:val="center"/>
              <w:rPr>
                <w:rFonts w:ascii="宋体" w:hAnsi="宋体" w:eastAsia="宋体" w:cs="宋体"/>
                <w:sz w:val="24"/>
              </w:rPr>
            </w:pPr>
            <w:r>
              <w:rPr>
                <w:rFonts w:hint="eastAsia" w:ascii="宋体" w:hAnsi="宋体" w:eastAsia="宋体" w:cs="宋体"/>
                <w:sz w:val="24"/>
              </w:rPr>
              <w:t>进口</w:t>
            </w:r>
          </w:p>
        </w:tc>
        <w:tc>
          <w:tcPr>
            <w:tcW w:w="885" w:type="dxa"/>
            <w:shd w:val="clear" w:color="auto" w:fill="auto"/>
            <w:tcMar>
              <w:top w:w="0" w:type="dxa"/>
              <w:bottom w:w="0" w:type="dxa"/>
            </w:tcMar>
            <w:vAlign w:val="center"/>
          </w:tcPr>
          <w:p w14:paraId="75439D22">
            <w:pPr>
              <w:shd w:val="clear"/>
              <w:snapToGrid w:val="0"/>
              <w:jc w:val="center"/>
              <w:rPr>
                <w:rFonts w:ascii="宋体" w:hAnsi="宋体" w:eastAsia="宋体" w:cs="宋体"/>
                <w:sz w:val="24"/>
              </w:rPr>
            </w:pPr>
            <w:r>
              <w:rPr>
                <w:rFonts w:hint="eastAsia" w:ascii="宋体" w:hAnsi="宋体" w:eastAsia="宋体" w:cs="宋体"/>
                <w:sz w:val="24"/>
              </w:rPr>
              <w:t>是否创新产品</w:t>
            </w:r>
          </w:p>
        </w:tc>
        <w:tc>
          <w:tcPr>
            <w:tcW w:w="705" w:type="dxa"/>
            <w:shd w:val="clear" w:color="auto" w:fill="auto"/>
            <w:tcMar>
              <w:top w:w="0" w:type="dxa"/>
              <w:bottom w:w="0" w:type="dxa"/>
            </w:tcMar>
            <w:vAlign w:val="center"/>
          </w:tcPr>
          <w:p w14:paraId="0B4D7B32">
            <w:pPr>
              <w:shd w:val="clear"/>
              <w:snapToGrid w:val="0"/>
              <w:jc w:val="center"/>
              <w:rPr>
                <w:rFonts w:ascii="宋体" w:hAnsi="宋体" w:eastAsia="宋体" w:cs="宋体"/>
                <w:sz w:val="24"/>
              </w:rPr>
            </w:pPr>
            <w:r>
              <w:rPr>
                <w:rFonts w:hint="eastAsia" w:ascii="宋体" w:hAnsi="宋体" w:eastAsia="宋体" w:cs="宋体"/>
                <w:sz w:val="24"/>
              </w:rPr>
              <w:t>绿色发展</w:t>
            </w:r>
          </w:p>
        </w:tc>
        <w:tc>
          <w:tcPr>
            <w:tcW w:w="666" w:type="dxa"/>
            <w:shd w:val="clear" w:color="auto" w:fill="auto"/>
            <w:tcMar>
              <w:top w:w="0" w:type="dxa"/>
              <w:bottom w:w="0" w:type="dxa"/>
            </w:tcMar>
            <w:vAlign w:val="center"/>
          </w:tcPr>
          <w:p w14:paraId="0967F520">
            <w:pPr>
              <w:shd w:val="clear"/>
              <w:snapToGrid w:val="0"/>
              <w:jc w:val="center"/>
              <w:rPr>
                <w:rFonts w:ascii="宋体" w:hAnsi="宋体" w:eastAsia="宋体" w:cs="宋体"/>
                <w:sz w:val="24"/>
              </w:rPr>
            </w:pPr>
            <w:r>
              <w:rPr>
                <w:rFonts w:hint="eastAsia" w:ascii="宋体" w:hAnsi="宋体" w:eastAsia="宋体" w:cs="宋体"/>
                <w:sz w:val="24"/>
              </w:rPr>
              <w:t>预留</w:t>
            </w:r>
          </w:p>
        </w:tc>
      </w:tr>
      <w:tr w14:paraId="22A1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jc w:val="center"/>
        </w:trPr>
        <w:tc>
          <w:tcPr>
            <w:tcW w:w="397" w:type="dxa"/>
            <w:shd w:val="clear" w:color="auto" w:fill="auto"/>
            <w:tcMar>
              <w:top w:w="0" w:type="dxa"/>
              <w:bottom w:w="0" w:type="dxa"/>
            </w:tcMar>
            <w:vAlign w:val="center"/>
          </w:tcPr>
          <w:p w14:paraId="1A913831">
            <w:pPr>
              <w:pStyle w:val="45"/>
              <w:jc w:val="center"/>
              <w:rPr>
                <w:rFonts w:hint="eastAsia" w:ascii="宋体" w:hAnsi="宋体" w:eastAsia="宋体" w:cs="宋体"/>
                <w:sz w:val="24"/>
              </w:rPr>
            </w:pPr>
            <w:r>
              <w:rPr>
                <w:rFonts w:hint="eastAsia"/>
              </w:rPr>
              <w:t>1</w:t>
            </w:r>
          </w:p>
        </w:tc>
        <w:tc>
          <w:tcPr>
            <w:tcW w:w="675" w:type="dxa"/>
            <w:shd w:val="clear" w:color="auto" w:fill="auto"/>
            <w:tcMar>
              <w:top w:w="0" w:type="dxa"/>
              <w:bottom w:w="0" w:type="dxa"/>
            </w:tcMar>
            <w:vAlign w:val="center"/>
          </w:tcPr>
          <w:p w14:paraId="424AF4E8">
            <w:pPr>
              <w:pStyle w:val="45"/>
              <w:jc w:val="center"/>
              <w:rPr>
                <w:rFonts w:hint="eastAsia" w:ascii="宋体" w:hAnsi="宋体" w:eastAsia="宋体" w:cs="宋体"/>
                <w:sz w:val="24"/>
              </w:rPr>
            </w:pPr>
            <w:r>
              <w:rPr>
                <w:rFonts w:hint="eastAsia"/>
              </w:rPr>
              <w:t>1</w:t>
            </w:r>
          </w:p>
        </w:tc>
        <w:tc>
          <w:tcPr>
            <w:tcW w:w="2520" w:type="dxa"/>
            <w:shd w:val="clear" w:color="auto" w:fill="auto"/>
            <w:tcMar>
              <w:top w:w="0" w:type="dxa"/>
              <w:bottom w:w="0" w:type="dxa"/>
            </w:tcMar>
            <w:vAlign w:val="center"/>
          </w:tcPr>
          <w:p w14:paraId="4A188D74">
            <w:pPr>
              <w:pStyle w:val="45"/>
              <w:jc w:val="center"/>
              <w:rPr>
                <w:rFonts w:hint="eastAsia" w:ascii="宋体" w:hAnsi="宋体" w:eastAsia="宋体" w:cs="宋体"/>
                <w:sz w:val="24"/>
                <w:lang w:eastAsia="zh-CN"/>
              </w:rPr>
            </w:pPr>
            <w:r>
              <w:rPr>
                <w:rFonts w:hint="eastAsia" w:ascii="宋体" w:hAnsi="宋体" w:eastAsia="宋体" w:cs="宋体"/>
                <w:sz w:val="24"/>
                <w:lang w:eastAsia="zh-CN"/>
              </w:rPr>
              <w:t>临空港大剧院文化惠民活动项目</w:t>
            </w:r>
          </w:p>
        </w:tc>
        <w:tc>
          <w:tcPr>
            <w:tcW w:w="1320" w:type="dxa"/>
            <w:shd w:val="clear" w:color="auto" w:fill="auto"/>
            <w:tcMar>
              <w:top w:w="0" w:type="dxa"/>
              <w:bottom w:w="0" w:type="dxa"/>
            </w:tcMar>
            <w:vAlign w:val="center"/>
          </w:tcPr>
          <w:p w14:paraId="5CC94CBF">
            <w:pPr>
              <w:shd w:val="clear"/>
              <w:snapToGrid w:val="0"/>
              <w:jc w:val="center"/>
              <w:rPr>
                <w:rFonts w:hint="eastAsia" w:ascii="宋体" w:hAnsi="宋体" w:eastAsia="宋体" w:cs="宋体"/>
                <w:sz w:val="24"/>
              </w:rPr>
            </w:pPr>
            <w:r>
              <w:rPr>
                <w:rFonts w:hint="eastAsia" w:ascii="宋体" w:hAnsi="宋体" w:eastAsia="宋体" w:cs="宋体"/>
                <w:sz w:val="24"/>
                <w:lang w:val="en-US" w:eastAsia="zh-CN"/>
              </w:rPr>
              <w:t>C99000000其他服务</w:t>
            </w:r>
          </w:p>
        </w:tc>
        <w:tc>
          <w:tcPr>
            <w:tcW w:w="660" w:type="dxa"/>
            <w:shd w:val="clear" w:color="auto" w:fill="auto"/>
            <w:tcMar>
              <w:top w:w="0" w:type="dxa"/>
              <w:bottom w:w="0" w:type="dxa"/>
            </w:tcMar>
            <w:vAlign w:val="center"/>
          </w:tcPr>
          <w:p w14:paraId="51DD114F">
            <w:pPr>
              <w:pStyle w:val="45"/>
              <w:jc w:val="center"/>
              <w:rPr>
                <w:rFonts w:hint="eastAsia" w:ascii="宋体" w:hAnsi="宋体" w:eastAsia="宋体" w:cs="宋体"/>
                <w:sz w:val="24"/>
                <w:lang w:eastAsia="zh-CN"/>
              </w:rPr>
            </w:pPr>
            <w:r>
              <w:rPr>
                <w:rFonts w:hint="eastAsia"/>
              </w:rPr>
              <w:t>项</w:t>
            </w:r>
          </w:p>
        </w:tc>
        <w:tc>
          <w:tcPr>
            <w:tcW w:w="435" w:type="dxa"/>
            <w:shd w:val="clear" w:color="auto" w:fill="auto"/>
            <w:tcMar>
              <w:top w:w="0" w:type="dxa"/>
              <w:bottom w:w="0" w:type="dxa"/>
            </w:tcMar>
            <w:vAlign w:val="center"/>
          </w:tcPr>
          <w:p w14:paraId="2C636E2B">
            <w:pPr>
              <w:pStyle w:val="45"/>
              <w:jc w:val="center"/>
              <w:rPr>
                <w:rFonts w:hint="eastAsia" w:ascii="宋体" w:hAnsi="宋体" w:eastAsia="宋体" w:cs="宋体"/>
                <w:sz w:val="24"/>
                <w:lang w:eastAsia="zh-CN"/>
              </w:rPr>
            </w:pPr>
            <w:r>
              <w:rPr>
                <w:rFonts w:hint="eastAsia"/>
                <w:lang w:val="en-US" w:eastAsia="zh-CN"/>
              </w:rPr>
              <w:t>1</w:t>
            </w:r>
          </w:p>
        </w:tc>
        <w:tc>
          <w:tcPr>
            <w:tcW w:w="660" w:type="dxa"/>
            <w:shd w:val="clear" w:color="auto" w:fill="auto"/>
            <w:tcMar>
              <w:top w:w="0" w:type="dxa"/>
              <w:bottom w:w="0" w:type="dxa"/>
            </w:tcMar>
            <w:vAlign w:val="center"/>
          </w:tcPr>
          <w:p w14:paraId="210D6A31">
            <w:pPr>
              <w:shd w:val="clear"/>
              <w:snapToGrid w:val="0"/>
              <w:jc w:val="center"/>
              <w:rPr>
                <w:rFonts w:hint="eastAsia" w:ascii="宋体" w:hAnsi="宋体" w:eastAsia="宋体" w:cs="宋体"/>
                <w:sz w:val="24"/>
              </w:rPr>
            </w:pPr>
            <w:r>
              <w:rPr>
                <w:rFonts w:hint="eastAsia" w:ascii="宋体" w:hAnsi="宋体" w:eastAsia="宋体" w:cs="宋体"/>
                <w:sz w:val="24"/>
              </w:rPr>
              <w:t>否</w:t>
            </w:r>
          </w:p>
        </w:tc>
        <w:tc>
          <w:tcPr>
            <w:tcW w:w="885" w:type="dxa"/>
            <w:shd w:val="clear" w:color="auto" w:fill="auto"/>
            <w:tcMar>
              <w:top w:w="0" w:type="dxa"/>
              <w:bottom w:w="0" w:type="dxa"/>
            </w:tcMar>
            <w:vAlign w:val="center"/>
          </w:tcPr>
          <w:p w14:paraId="688091D7">
            <w:pPr>
              <w:shd w:val="clear"/>
              <w:snapToGrid w:val="0"/>
              <w:jc w:val="center"/>
              <w:rPr>
                <w:rFonts w:hint="eastAsia" w:ascii="宋体" w:hAnsi="宋体" w:eastAsia="宋体" w:cs="宋体"/>
                <w:sz w:val="24"/>
              </w:rPr>
            </w:pPr>
            <w:r>
              <w:rPr>
                <w:rFonts w:hint="eastAsia" w:ascii="宋体" w:hAnsi="宋体" w:eastAsia="宋体" w:cs="宋体"/>
                <w:sz w:val="24"/>
              </w:rPr>
              <w:t>否</w:t>
            </w:r>
          </w:p>
        </w:tc>
        <w:tc>
          <w:tcPr>
            <w:tcW w:w="705" w:type="dxa"/>
            <w:shd w:val="clear" w:color="auto" w:fill="auto"/>
            <w:tcMar>
              <w:top w:w="0" w:type="dxa"/>
              <w:bottom w:w="0" w:type="dxa"/>
            </w:tcMar>
            <w:vAlign w:val="center"/>
          </w:tcPr>
          <w:p w14:paraId="5FC8A74F">
            <w:pPr>
              <w:shd w:val="clear"/>
              <w:snapToGrid w:val="0"/>
              <w:jc w:val="center"/>
              <w:rPr>
                <w:rFonts w:hint="eastAsia" w:ascii="宋体" w:hAnsi="宋体" w:eastAsia="宋体" w:cs="宋体"/>
                <w:sz w:val="24"/>
              </w:rPr>
            </w:pPr>
            <w:r>
              <w:rPr>
                <w:rFonts w:hint="eastAsia" w:ascii="宋体" w:hAnsi="宋体" w:eastAsia="宋体" w:cs="宋体"/>
                <w:sz w:val="24"/>
              </w:rPr>
              <w:t>0</w:t>
            </w:r>
          </w:p>
        </w:tc>
        <w:tc>
          <w:tcPr>
            <w:tcW w:w="666" w:type="dxa"/>
            <w:shd w:val="clear" w:color="auto" w:fill="auto"/>
            <w:tcMar>
              <w:top w:w="0" w:type="dxa"/>
              <w:bottom w:w="0" w:type="dxa"/>
            </w:tcMar>
            <w:vAlign w:val="center"/>
          </w:tcPr>
          <w:p w14:paraId="23B5C9BA">
            <w:pPr>
              <w:shd w:val="clear"/>
              <w:snapToGrid w:val="0"/>
              <w:jc w:val="center"/>
              <w:rPr>
                <w:rFonts w:hint="eastAsia" w:ascii="宋体" w:hAnsi="宋体" w:eastAsia="宋体" w:cs="宋体"/>
                <w:sz w:val="24"/>
                <w:lang w:eastAsia="zh-CN"/>
              </w:rPr>
            </w:pPr>
            <w:r>
              <w:rPr>
                <w:rFonts w:hint="eastAsia" w:ascii="宋体" w:hAnsi="宋体" w:eastAsia="宋体" w:cs="宋体"/>
                <w:sz w:val="24"/>
                <w:lang w:val="en-US" w:eastAsia="zh-CN"/>
              </w:rPr>
              <w:t>是</w:t>
            </w:r>
          </w:p>
        </w:tc>
      </w:tr>
    </w:tbl>
    <w:p w14:paraId="4C607DF7">
      <w:pPr>
        <w:pStyle w:val="6"/>
        <w:spacing w:line="360" w:lineRule="auto"/>
        <w:ind w:firstLine="482" w:firstLineChars="200"/>
        <w:rPr>
          <w:rFonts w:ascii="宋体" w:hAnsi="宋体" w:eastAsia="宋体" w:cs="宋体"/>
          <w:sz w:val="24"/>
        </w:rPr>
      </w:pPr>
      <w:r>
        <w:rPr>
          <w:rFonts w:hint="eastAsia" w:ascii="宋体" w:hAnsi="宋体" w:eastAsia="宋体" w:cs="宋体"/>
          <w:sz w:val="24"/>
        </w:rPr>
        <w:t>4.2 技术要求和商务要求</w:t>
      </w:r>
    </w:p>
    <w:p w14:paraId="01AF16AA">
      <w:pPr>
        <w:snapToGrid w:val="0"/>
        <w:spacing w:line="360" w:lineRule="auto"/>
        <w:ind w:firstLine="480" w:firstLineChars="200"/>
        <w:rPr>
          <w:rFonts w:hint="eastAsia" w:ascii="宋体" w:hAnsi="宋体" w:eastAsia="宋体" w:cs="宋体"/>
          <w:bCs/>
          <w:sz w:val="24"/>
          <w:lang w:val="en-US" w:eastAsia="zh-CN"/>
        </w:rPr>
      </w:pPr>
      <w:bookmarkStart w:id="0" w:name="_Toc26639"/>
      <w:bookmarkStart w:id="1" w:name="_Toc61851033"/>
      <w:bookmarkStart w:id="2" w:name="_Toc18602"/>
      <w:bookmarkStart w:id="3" w:name="_Toc32031"/>
      <w:bookmarkStart w:id="4" w:name="_Toc22408"/>
      <w:bookmarkStart w:id="5" w:name="_Toc20582"/>
      <w:bookmarkStart w:id="6" w:name="_Toc30387"/>
      <w:bookmarkStart w:id="7" w:name="_Toc18381"/>
      <w:r>
        <w:rPr>
          <w:rFonts w:hint="eastAsia" w:ascii="宋体" w:hAnsi="宋体" w:eastAsia="宋体" w:cs="宋体"/>
          <w:bCs/>
          <w:sz w:val="24"/>
          <w:lang w:val="en-US" w:eastAsia="zh-CN"/>
        </w:rPr>
        <w:t>（一）</w:t>
      </w:r>
      <w:bookmarkEnd w:id="0"/>
      <w:bookmarkEnd w:id="1"/>
      <w:bookmarkEnd w:id="2"/>
      <w:bookmarkEnd w:id="3"/>
      <w:bookmarkEnd w:id="4"/>
      <w:bookmarkEnd w:id="5"/>
      <w:bookmarkEnd w:id="6"/>
      <w:bookmarkEnd w:id="7"/>
      <w:r>
        <w:rPr>
          <w:rFonts w:hint="eastAsia" w:ascii="宋体" w:hAnsi="宋体" w:eastAsia="宋体" w:cs="宋体"/>
          <w:bCs/>
          <w:sz w:val="24"/>
          <w:lang w:val="en-US" w:eastAsia="zh-CN"/>
        </w:rPr>
        <w:t>项目概述</w:t>
      </w:r>
    </w:p>
    <w:p w14:paraId="5C353FAE">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1.采购标的需实现的功能或者目标</w:t>
      </w:r>
    </w:p>
    <w:p w14:paraId="44D04F71">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rPr>
        <w:t>本次招标采购是为采购人提供临空港大剧院文化惠民活动策划及执行服务。</w:t>
      </w:r>
    </w:p>
    <w:p w14:paraId="74CE13C2">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 xml:space="preserve">2.为落实政府采购政策需满足的要求 </w:t>
      </w:r>
    </w:p>
    <w:p w14:paraId="57105211">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促进小微型企业发展政策：详见第二章投标人须知“（十三）落实政府采购政策要求。本项目采购标的所属行业为其他未列明行业，投标人声明为中小企业的，应对照《中小企业划型标准规定的通知》（工信部联企业〔2011〕300号）的标准，准确划分并确定企业类型；投标人声明为《残疾人福利性单位声明函》或监狱企业的，应按要求提供《残疾人福利性单位声明函》或监狱企业证明。投标人对其提供的证明材料（《中小企业声明函》或《残疾人福利性单位声明函》或监狱企业证明）的内容真实性负责，证明材料不实的，属于提供虚假材料谋取中标、成交，依照《中华人民共和国政府采购法》等国家有关规定追究相应责任。</w:t>
      </w:r>
    </w:p>
    <w:p w14:paraId="102C4634">
      <w:pPr>
        <w:snapToGrid w:val="0"/>
        <w:spacing w:line="360" w:lineRule="auto"/>
        <w:ind w:firstLine="480" w:firstLineChars="200"/>
        <w:rPr>
          <w:rFonts w:hint="eastAsia" w:ascii="宋体" w:hAnsi="宋体" w:eastAsia="宋体" w:cs="宋体"/>
          <w:bCs/>
          <w:sz w:val="24"/>
          <w:lang w:val="en-US" w:eastAsia="zh-CN"/>
        </w:rPr>
      </w:pPr>
      <w:bookmarkStart w:id="8" w:name="_Toc61851037"/>
      <w:bookmarkStart w:id="9" w:name="_Toc20808"/>
      <w:bookmarkStart w:id="10" w:name="_Toc21732"/>
      <w:bookmarkStart w:id="11" w:name="_Toc8204"/>
      <w:bookmarkStart w:id="12" w:name="_Toc5499"/>
      <w:bookmarkStart w:id="13" w:name="_Toc22576"/>
      <w:bookmarkStart w:id="14" w:name="_Toc32224"/>
      <w:bookmarkStart w:id="15" w:name="_Toc24288"/>
      <w:r>
        <w:rPr>
          <w:rFonts w:hint="eastAsia" w:ascii="宋体" w:hAnsi="宋体" w:eastAsia="宋体" w:cs="宋体"/>
          <w:bCs/>
          <w:sz w:val="24"/>
          <w:lang w:val="en-US" w:eastAsia="zh-CN"/>
        </w:rPr>
        <w:t>（二）采购需求执行的相关标准、规范</w:t>
      </w:r>
    </w:p>
    <w:p w14:paraId="755E924B">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符合国家及行业相关标准、规范。</w:t>
      </w:r>
    </w:p>
    <w:p w14:paraId="7A88FDF7">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（三）</w:t>
      </w:r>
      <w:bookmarkEnd w:id="8"/>
      <w:bookmarkEnd w:id="9"/>
      <w:bookmarkEnd w:id="10"/>
      <w:bookmarkEnd w:id="11"/>
      <w:bookmarkEnd w:id="12"/>
      <w:bookmarkEnd w:id="13"/>
      <w:bookmarkEnd w:id="14"/>
      <w:bookmarkEnd w:id="15"/>
      <w:bookmarkStart w:id="16" w:name="_Toc30197"/>
      <w:bookmarkStart w:id="17" w:name="_Toc61851048"/>
      <w:r>
        <w:rPr>
          <w:rFonts w:hint="eastAsia" w:ascii="宋体" w:hAnsi="宋体" w:eastAsia="宋体" w:cs="宋体"/>
          <w:bCs/>
          <w:sz w:val="24"/>
          <w:lang w:val="en-US" w:eastAsia="zh-CN"/>
        </w:rPr>
        <w:t>技术要求</w:t>
      </w:r>
    </w:p>
    <w:p w14:paraId="077B5B3D">
      <w:pPr>
        <w:snapToGrid w:val="0"/>
        <w:spacing w:line="360" w:lineRule="auto"/>
        <w:ind w:firstLine="480" w:firstLineChars="200"/>
        <w:rPr>
          <w:rFonts w:hint="eastAsia" w:ascii="宋体" w:hAnsi="宋体" w:eastAsia="宋体" w:cs="宋体"/>
          <w:bCs/>
          <w:sz w:val="24"/>
          <w:lang w:val="en-US" w:eastAsia="zh-CN"/>
        </w:rPr>
      </w:pPr>
      <w:bookmarkStart w:id="18" w:name="_Toc19110"/>
      <w:bookmarkStart w:id="19" w:name="_Toc11614"/>
      <w:bookmarkStart w:id="20" w:name="_Toc7279"/>
      <w:r>
        <w:rPr>
          <w:rFonts w:hint="eastAsia" w:ascii="宋体" w:hAnsi="宋体" w:eastAsia="宋体" w:cs="宋体"/>
          <w:bCs/>
          <w:sz w:val="24"/>
          <w:lang w:val="en-US" w:eastAsia="zh-CN"/>
        </w:rPr>
        <w:t>1.项目背景</w:t>
      </w:r>
      <w:bookmarkEnd w:id="18"/>
      <w:bookmarkEnd w:id="19"/>
      <w:bookmarkEnd w:id="20"/>
    </w:p>
    <w:p w14:paraId="37523BB4">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为深入践行文化惠民、文化乐民、文化育民理念，全面丰富临空港区域群众精神文化生活，提升城市文化软实力与市民幸福感，武汉临空港大剧院精心策划2026年度文化惠民系列活动。活动贯穿全年（5月-12月），以四大主题系列为核心，覆盖戏曲传承、亲子美育、红色经典、公益普及四大板块，精准对接五一、五四、护士节、教师节等重要时间节点，面向企业家、企业职工、医护人员、青少年、新业态从业者、老年群体、返乡人员等社会各界群体，推出定制化、高品质、普惠性文化服务。通过艺术启蒙、红色教育、公益分享等多元形式，打造有温度、有深度、有广度的临空港文化名片，让高雅艺术走进千家万户，让文化红利惠及全体市民。</w:t>
      </w:r>
    </w:p>
    <w:p w14:paraId="06A932C1">
      <w:pPr>
        <w:snapToGrid w:val="0"/>
        <w:spacing w:line="360" w:lineRule="auto"/>
        <w:ind w:firstLine="480" w:firstLineChars="200"/>
        <w:rPr>
          <w:rFonts w:hint="eastAsia" w:ascii="宋体" w:hAnsi="宋体" w:eastAsia="宋体" w:cs="宋体"/>
          <w:bCs/>
          <w:sz w:val="24"/>
          <w:lang w:val="en-US" w:eastAsia="zh-CN"/>
        </w:rPr>
      </w:pPr>
      <w:bookmarkStart w:id="21" w:name="_Toc8257"/>
      <w:bookmarkStart w:id="22" w:name="_Toc16846"/>
      <w:bookmarkStart w:id="23" w:name="_Toc11209"/>
      <w:r>
        <w:rPr>
          <w:rFonts w:hint="eastAsia" w:ascii="宋体" w:hAnsi="宋体" w:eastAsia="宋体" w:cs="宋体"/>
          <w:bCs/>
          <w:sz w:val="24"/>
          <w:lang w:val="en-US" w:eastAsia="zh-CN"/>
        </w:rPr>
        <w:t>2.惠民演出活动内容</w:t>
      </w:r>
      <w:bookmarkEnd w:id="21"/>
      <w:bookmarkEnd w:id="22"/>
      <w:bookmarkEnd w:id="23"/>
    </w:p>
    <w:p w14:paraId="0CE825AB">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（1）戏曲、舞剧文化惠民系列</w:t>
      </w:r>
    </w:p>
    <w:p w14:paraId="6827834D">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a.活动时间：2026年5月至6月</w:t>
      </w:r>
    </w:p>
    <w:p w14:paraId="435B3A82">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b.活动地点：武汉临空港大剧院</w:t>
      </w:r>
    </w:p>
    <w:p w14:paraId="5503B830">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c.活动内容：拟计划开展6场惠民演出，秉持传承中华戏曲瑰宝、弘扬传统艺术魅力的宗旨，精心挑选京剧、越剧、豫剧等全国经典剧种、邀请知名舞蹈艺术家，上演广为人知的剧目，使群众能够近距离领略传统艺术在唱腔、身段方面及优美深厚的文化底蕴。</w:t>
      </w:r>
    </w:p>
    <w:p w14:paraId="7AF04390">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紧密围绕五一国际劳动节、五四青年节、护士节这三大重要节点，针对企业家和企业职工推出“文化助力发展”专属福利，向城市建设者致以敬意；激发传统文化传承的活力；为医护工作者开设公益专场，传递社会关怀。借助精准化的惠民服务。</w:t>
      </w:r>
    </w:p>
    <w:p w14:paraId="0EE3BE7F">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（2）青少年家庭亲子系列</w:t>
      </w:r>
    </w:p>
    <w:p w14:paraId="3FA0CB16">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a.活动时间：2026年6月至8月</w:t>
      </w:r>
    </w:p>
    <w:p w14:paraId="5ADCC79A">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b.活动地点：武汉临空港大剧院</w:t>
      </w:r>
    </w:p>
    <w:p w14:paraId="259AD849">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c.活动内容：拟计划开展16场惠民演出，借助暑期黄金时段，构建一站式亲子艺术体验平台，使孩子于欢乐氛围中领略艺术魅力，培育审美素养与艺术兴趣。</w:t>
      </w:r>
    </w:p>
    <w:p w14:paraId="47B21BED">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（3）红色、经典文化惠民系列</w:t>
      </w:r>
    </w:p>
    <w:p w14:paraId="6B4A3205">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a.活动时间：2026年9月至12月</w:t>
      </w:r>
    </w:p>
    <w:p w14:paraId="3A73C989">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b.活动地点：武汉临空港大剧院</w:t>
      </w:r>
    </w:p>
    <w:p w14:paraId="455EBA79">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c.活动内容：拟计划组织开展8场惠民演出活动，以传承红色基因、弘扬时代正能量为核心目标，推出红色、经典题材剧目，引导广大群众感悟初心使命，厚植爱国情怀。联动教师节、国庆节、元旦等重要节日，聚焦全体社会群体的文化需求，向育人园丁致以敬意；针对快递员、外卖员、新业态从业者等城市服务者推出惠民专享福利；通过常态化、高品质的经典文化供给，持续丰富群众的精神世界，使红色文化深入人心，经典艺术得以代代相传。</w:t>
      </w:r>
    </w:p>
    <w:p w14:paraId="69DA7B00">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（4）文化公益工坊系列</w:t>
      </w:r>
    </w:p>
    <w:p w14:paraId="0C3DAF66">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a.活动时间：2026年5月至12月</w:t>
      </w:r>
    </w:p>
    <w:p w14:paraId="3C1433BC">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b.活动地点：武汉临空港大剧院</w:t>
      </w:r>
    </w:p>
    <w:p w14:paraId="71472B90">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c.活动内容：拟计划举办4场文化公益活动，搭建艺术交流与知识普及的平台。活动包含公益艺术讲座、高雅艺术进校园、剧目分享会等类型，旨在拉近群众与艺术之间的距离。推动文化普惠实现长效性、常态化，营造全民参与、全民共享的优良文化生态。</w:t>
      </w:r>
    </w:p>
    <w:p w14:paraId="4A63066B">
      <w:pPr>
        <w:snapToGrid w:val="0"/>
        <w:spacing w:line="360" w:lineRule="auto"/>
        <w:ind w:firstLine="480" w:firstLineChars="200"/>
        <w:rPr>
          <w:rFonts w:hint="eastAsia" w:ascii="宋体" w:hAnsi="宋体" w:eastAsia="宋体" w:cs="宋体"/>
          <w:bCs/>
          <w:sz w:val="24"/>
          <w:lang w:val="en-US" w:eastAsia="zh-CN"/>
        </w:rPr>
      </w:pPr>
      <w:bookmarkStart w:id="24" w:name="_Toc7401"/>
      <w:bookmarkStart w:id="25" w:name="_Toc15021"/>
      <w:bookmarkStart w:id="26" w:name="_Toc4646"/>
      <w:r>
        <w:rPr>
          <w:rFonts w:hint="eastAsia" w:ascii="宋体" w:hAnsi="宋体" w:eastAsia="宋体" w:cs="宋体"/>
          <w:bCs/>
          <w:sz w:val="24"/>
          <w:lang w:val="en-US" w:eastAsia="zh-CN"/>
        </w:rPr>
        <w:t>3.服务要求</w:t>
      </w:r>
      <w:bookmarkEnd w:id="24"/>
      <w:bookmarkEnd w:id="25"/>
    </w:p>
    <w:p w14:paraId="083B60F3">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（1）本项目采用按需分配方式实施文化惠民演出服务。</w:t>
      </w:r>
    </w:p>
    <w:p w14:paraId="12A05543">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（2）中标人须按采购人要求提供合规、可入场的正规演出票，确保票源真实有效、无虚假、无溢价、无二次销售。</w:t>
      </w:r>
    </w:p>
    <w:p w14:paraId="46D88DD3">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（3）演出票须包含：演出名称、时间、地点、座位信息、主办方信息等，符合演出场所入场管理要求。</w:t>
      </w:r>
    </w:p>
    <w:p w14:paraId="40A150AA">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（4）中标人须确保演出活动正常举办，如遇不可控因素取消、延期、变更，须第一时间通知采购人并配合做好退票、换票等事宜，相关费用由中标人承担。</w:t>
      </w:r>
    </w:p>
    <w:p w14:paraId="74AFC562">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（5）中标人须遵守政府采购相关规定，保证票源合法、价格透明、服务规范，不得设置任何附加条件。</w:t>
      </w:r>
    </w:p>
    <w:bookmarkEnd w:id="26"/>
    <w:p w14:paraId="17BB9B45">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6）中标人需签订惠民活动人员健康状况以及安全责任确认书。活动期间安全第一，由中标人活动组织不当、安全责任意识不强等原因造成意外和安全事故由中标人承担。如发生劳资或工伤等纠纷不得影响活动。（须提供格式自拟的承诺函）</w:t>
      </w:r>
    </w:p>
    <w:p w14:paraId="57FE9F86">
      <w:pPr>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（7）中标人须制定好每场活动具体执行方案，并制定安保方案、应急预案，做好安全防范措施，确保活动安全开展。</w:t>
      </w:r>
    </w:p>
    <w:p w14:paraId="33C1F8CC">
      <w:pPr>
        <w:snapToGrid w:val="0"/>
        <w:spacing w:line="360" w:lineRule="auto"/>
        <w:ind w:firstLine="480" w:firstLineChars="200"/>
        <w:rPr>
          <w:rFonts w:hint="eastAsia" w:ascii="宋体" w:hAnsi="宋体" w:eastAsia="宋体" w:cs="宋体"/>
          <w:bCs/>
          <w:sz w:val="24"/>
          <w:lang w:eastAsia="zh-CN"/>
        </w:rPr>
      </w:pPr>
      <w:bookmarkStart w:id="27" w:name="_Toc3467"/>
      <w:bookmarkStart w:id="28" w:name="_Toc11100"/>
      <w:bookmarkStart w:id="29" w:name="_Toc19345"/>
      <w:bookmarkStart w:id="30" w:name="_Toc22309"/>
      <w:bookmarkStart w:id="31" w:name="_Toc11507"/>
      <w:r>
        <w:rPr>
          <w:rFonts w:hint="eastAsia" w:ascii="宋体" w:hAnsi="宋体" w:eastAsia="宋体" w:cs="宋体"/>
          <w:bCs/>
          <w:sz w:val="24"/>
          <w:lang w:val="en-US" w:eastAsia="zh-CN"/>
        </w:rPr>
        <w:t>（四）项目主要</w:t>
      </w:r>
      <w:r>
        <w:rPr>
          <w:rFonts w:hint="eastAsia" w:ascii="宋体" w:hAnsi="宋体" w:eastAsia="宋体" w:cs="宋体"/>
          <w:bCs/>
          <w:sz w:val="24"/>
          <w:lang w:eastAsia="zh-CN"/>
        </w:rPr>
        <w:t>商务要求</w:t>
      </w:r>
    </w:p>
    <w:p w14:paraId="6FF58498">
      <w:pPr>
        <w:snapToGrid w:val="0"/>
        <w:spacing w:line="360" w:lineRule="auto"/>
        <w:ind w:firstLine="480" w:firstLineChars="200"/>
        <w:rPr>
          <w:rFonts w:hint="eastAsia" w:ascii="宋体" w:hAnsi="宋体" w:eastAsia="宋体" w:cs="宋体"/>
          <w:bCs/>
          <w:sz w:val="24"/>
          <w:lang w:eastAsia="zh-CN"/>
        </w:rPr>
      </w:pPr>
      <w:bookmarkStart w:id="32" w:name="_Toc19047"/>
      <w:bookmarkStart w:id="33" w:name="_Toc21904"/>
      <w:bookmarkStart w:id="34" w:name="_Toc16919"/>
      <w:bookmarkStart w:id="35" w:name="_Toc12854"/>
      <w:bookmarkStart w:id="36" w:name="_Toc28973"/>
      <w:bookmarkStart w:id="37" w:name="_Toc14714"/>
      <w:bookmarkStart w:id="38" w:name="_Toc1584"/>
      <w:bookmarkStart w:id="39" w:name="_Toc24372"/>
      <w:bookmarkStart w:id="40" w:name="_Toc17347"/>
      <w:bookmarkStart w:id="41" w:name="_Toc14383"/>
      <w:bookmarkStart w:id="42" w:name="_Toc25346"/>
      <w:bookmarkStart w:id="43" w:name="_Toc15459"/>
      <w:bookmarkStart w:id="44" w:name="_Toc61851039"/>
      <w:bookmarkStart w:id="45" w:name="_Toc14486"/>
      <w:bookmarkStart w:id="46" w:name="_Toc9598"/>
      <w:r>
        <w:rPr>
          <w:rFonts w:hint="eastAsia" w:ascii="宋体" w:hAnsi="宋体" w:eastAsia="宋体" w:cs="宋体"/>
          <w:bCs/>
          <w:sz w:val="24"/>
          <w:lang w:eastAsia="zh-CN"/>
        </w:rPr>
        <w:t>1.服务期</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5784ABC">
      <w:pPr>
        <w:snapToGrid w:val="0"/>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eastAsia="zh-CN"/>
        </w:rPr>
        <w:t>服务期：合同签订之日起至全部活动结束。</w:t>
      </w:r>
    </w:p>
    <w:p w14:paraId="05B2ACD3">
      <w:pPr>
        <w:snapToGrid w:val="0"/>
        <w:spacing w:line="360" w:lineRule="auto"/>
        <w:ind w:firstLine="480" w:firstLineChars="200"/>
        <w:rPr>
          <w:rFonts w:hint="eastAsia" w:ascii="宋体" w:hAnsi="宋体" w:eastAsia="宋体" w:cs="宋体"/>
          <w:bCs/>
          <w:sz w:val="24"/>
          <w:lang w:eastAsia="zh-CN"/>
        </w:rPr>
      </w:pPr>
      <w:bookmarkStart w:id="47" w:name="_Toc20414"/>
      <w:bookmarkStart w:id="48" w:name="_Toc19592"/>
      <w:bookmarkStart w:id="49" w:name="_Toc7721"/>
      <w:bookmarkStart w:id="50" w:name="_Toc61851040"/>
      <w:bookmarkStart w:id="51" w:name="_Toc26726"/>
      <w:bookmarkStart w:id="52" w:name="_Toc14914"/>
      <w:bookmarkStart w:id="53" w:name="_Toc16641"/>
      <w:bookmarkStart w:id="54" w:name="_Toc19801"/>
      <w:bookmarkStart w:id="55" w:name="_Toc32508"/>
      <w:bookmarkStart w:id="56" w:name="_Toc32356"/>
      <w:bookmarkStart w:id="57" w:name="_Toc22422"/>
      <w:bookmarkStart w:id="58" w:name="_Toc12315"/>
      <w:bookmarkStart w:id="59" w:name="_Toc2280"/>
      <w:bookmarkStart w:id="60" w:name="_Toc25264"/>
      <w:bookmarkStart w:id="61" w:name="_Toc32426"/>
      <w:bookmarkStart w:id="62" w:name="_Toc31597"/>
      <w:r>
        <w:rPr>
          <w:rFonts w:hint="eastAsia" w:ascii="宋体" w:hAnsi="宋体" w:eastAsia="宋体" w:cs="宋体"/>
          <w:bCs/>
          <w:sz w:val="24"/>
          <w:lang w:eastAsia="zh-CN"/>
        </w:rPr>
        <w:t>2.服务地点</w:t>
      </w:r>
      <w:bookmarkEnd w:id="47"/>
      <w:bookmarkEnd w:id="48"/>
      <w:bookmarkEnd w:id="49"/>
      <w:bookmarkEnd w:id="50"/>
      <w:bookmarkEnd w:id="51"/>
      <w:bookmarkEnd w:id="52"/>
      <w:bookmarkEnd w:id="53"/>
      <w:bookmarkEnd w:id="54"/>
      <w:bookmarkEnd w:id="55"/>
      <w:bookmarkEnd w:id="56"/>
      <w:bookmarkEnd w:id="57"/>
      <w:bookmarkEnd w:id="58"/>
      <w:bookmarkEnd w:id="59"/>
    </w:p>
    <w:p w14:paraId="751985A0">
      <w:pPr>
        <w:snapToGrid w:val="0"/>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eastAsia="zh-CN"/>
        </w:rPr>
        <w:t>服务地点：武汉临空港大剧院，如需调整以采购人要求为准。</w:t>
      </w:r>
      <w:bookmarkEnd w:id="60"/>
      <w:bookmarkEnd w:id="61"/>
      <w:bookmarkEnd w:id="62"/>
      <w:bookmarkStart w:id="63" w:name="_Toc61851041"/>
    </w:p>
    <w:p w14:paraId="37C1DD6E">
      <w:pPr>
        <w:snapToGrid w:val="0"/>
        <w:spacing w:line="360" w:lineRule="auto"/>
        <w:ind w:firstLine="480" w:firstLineChars="200"/>
        <w:rPr>
          <w:rFonts w:hint="eastAsia" w:ascii="宋体" w:hAnsi="宋体" w:eastAsia="宋体" w:cs="宋体"/>
          <w:bCs/>
          <w:sz w:val="24"/>
          <w:lang w:eastAsia="zh-CN"/>
        </w:rPr>
      </w:pPr>
      <w:bookmarkStart w:id="64" w:name="_Toc20719"/>
      <w:bookmarkStart w:id="65" w:name="_Toc29212"/>
      <w:bookmarkStart w:id="66" w:name="_Toc4159"/>
      <w:bookmarkStart w:id="67" w:name="_Toc31382"/>
      <w:bookmarkStart w:id="68" w:name="_Toc24377"/>
      <w:bookmarkStart w:id="69" w:name="_Toc615"/>
      <w:bookmarkStart w:id="70" w:name="_Toc21347"/>
      <w:bookmarkStart w:id="71" w:name="_Toc1030"/>
      <w:bookmarkStart w:id="72" w:name="_Toc376"/>
      <w:bookmarkStart w:id="73" w:name="_Toc29932"/>
      <w:bookmarkStart w:id="74" w:name="_Toc29511"/>
      <w:bookmarkStart w:id="75" w:name="_Toc814"/>
      <w:bookmarkStart w:id="76" w:name="_Toc32472"/>
      <w:bookmarkStart w:id="77" w:name="_Toc13788"/>
      <w:bookmarkStart w:id="78" w:name="_Toc31911"/>
      <w:r>
        <w:rPr>
          <w:rFonts w:hint="eastAsia" w:ascii="宋体" w:hAnsi="宋体" w:eastAsia="宋体" w:cs="宋体"/>
          <w:bCs/>
          <w:sz w:val="24"/>
          <w:lang w:eastAsia="zh-CN"/>
        </w:rPr>
        <w:t>3.付款方式</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5BCB316E">
      <w:pPr>
        <w:snapToGrid w:val="0"/>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eastAsia="zh-CN"/>
        </w:rPr>
        <w:t>合同签订后支付中标金额的70%，剩余30%在收到完整结算资料后15个工作日内完成审核支付。</w:t>
      </w:r>
    </w:p>
    <w:p w14:paraId="5F62ED3A">
      <w:pPr>
        <w:snapToGrid w:val="0"/>
        <w:spacing w:line="360" w:lineRule="auto"/>
        <w:ind w:firstLine="480" w:firstLineChars="200"/>
        <w:rPr>
          <w:rFonts w:hint="eastAsia" w:ascii="宋体" w:hAnsi="宋体" w:eastAsia="宋体" w:cs="宋体"/>
          <w:bCs/>
          <w:sz w:val="24"/>
          <w:lang w:eastAsia="zh-CN"/>
        </w:rPr>
      </w:pPr>
      <w:bookmarkStart w:id="79" w:name="_Toc30060"/>
      <w:bookmarkStart w:id="80" w:name="_Toc24083"/>
      <w:r>
        <w:rPr>
          <w:rFonts w:hint="eastAsia" w:ascii="宋体" w:hAnsi="宋体" w:eastAsia="宋体" w:cs="宋体"/>
          <w:bCs/>
          <w:sz w:val="24"/>
          <w:lang w:eastAsia="zh-CN"/>
        </w:rPr>
        <w:t>4.结算方式</w:t>
      </w:r>
      <w:bookmarkEnd w:id="79"/>
      <w:bookmarkEnd w:id="80"/>
    </w:p>
    <w:p w14:paraId="37993751">
      <w:pPr>
        <w:snapToGrid w:val="0"/>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eastAsia="zh-CN"/>
        </w:rPr>
        <w:t>（1）中标人按演出项目实时票价提供演出票。每场演出活动结束后，中标人提交票据明细、验收确认单，采购人审核无误后办理结算。因不可控因素导致结算费用高于或低于中标金额，以实际票数据实结算（</w:t>
      </w:r>
      <w:r>
        <w:rPr>
          <w:rFonts w:hint="eastAsia" w:ascii="宋体" w:hAnsi="宋体" w:eastAsia="宋体" w:cs="宋体"/>
          <w:bCs/>
          <w:sz w:val="24"/>
          <w:lang w:val="en-US" w:eastAsia="zh-CN"/>
        </w:rPr>
        <w:t>不超过本次采购预算360万元</w:t>
      </w:r>
      <w:r>
        <w:rPr>
          <w:rFonts w:hint="eastAsia" w:ascii="宋体" w:hAnsi="宋体" w:eastAsia="宋体" w:cs="宋体"/>
          <w:bCs/>
          <w:sz w:val="24"/>
          <w:lang w:eastAsia="zh-CN"/>
        </w:rPr>
        <w:t>），采购人按审核确认金额支付剩余款项。</w:t>
      </w:r>
    </w:p>
    <w:p w14:paraId="63702D72">
      <w:pPr>
        <w:snapToGrid w:val="0"/>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eastAsia="zh-CN"/>
        </w:rPr>
        <w:t>（2）中标人须配合采购人完成票券发放、登记、统计、归档等工作，提供每场演出的购票明细情况报表。</w:t>
      </w:r>
    </w:p>
    <w:p w14:paraId="23A84DAA">
      <w:pPr>
        <w:snapToGrid w:val="0"/>
        <w:spacing w:line="360" w:lineRule="auto"/>
        <w:ind w:firstLine="480" w:firstLineChars="200"/>
        <w:rPr>
          <w:rFonts w:hint="eastAsia" w:ascii="宋体" w:hAnsi="宋体" w:eastAsia="宋体" w:cs="宋体"/>
          <w:bCs/>
          <w:sz w:val="24"/>
          <w:lang w:eastAsia="zh-CN"/>
        </w:rPr>
      </w:pPr>
      <w:bookmarkStart w:id="81" w:name="_Toc11840"/>
      <w:bookmarkStart w:id="82" w:name="_Toc29730"/>
      <w:bookmarkStart w:id="83" w:name="_Toc7818"/>
      <w:bookmarkStart w:id="84" w:name="_Toc14641"/>
      <w:bookmarkStart w:id="85" w:name="_Toc12864"/>
      <w:bookmarkStart w:id="86" w:name="_Toc10044"/>
      <w:bookmarkStart w:id="87" w:name="_Toc19233"/>
      <w:bookmarkStart w:id="88" w:name="_Toc14376"/>
      <w:bookmarkStart w:id="89" w:name="_Toc11371"/>
      <w:bookmarkStart w:id="90" w:name="_Toc4262"/>
      <w:bookmarkStart w:id="91" w:name="_Toc3582"/>
      <w:r>
        <w:rPr>
          <w:rFonts w:hint="eastAsia" w:ascii="宋体" w:hAnsi="宋体" w:eastAsia="宋体" w:cs="宋体"/>
          <w:bCs/>
          <w:sz w:val="24"/>
          <w:lang w:eastAsia="zh-CN"/>
        </w:rPr>
        <w:t>5.报价要求</w:t>
      </w:r>
      <w:bookmarkEnd w:id="81"/>
      <w:bookmarkEnd w:id="82"/>
      <w:bookmarkEnd w:id="83"/>
      <w:bookmarkEnd w:id="84"/>
      <w:bookmarkEnd w:id="85"/>
      <w:bookmarkEnd w:id="86"/>
      <w:bookmarkEnd w:id="87"/>
      <w:bookmarkEnd w:id="88"/>
      <w:bookmarkEnd w:id="89"/>
      <w:bookmarkEnd w:id="90"/>
      <w:bookmarkEnd w:id="91"/>
    </w:p>
    <w:p w14:paraId="4D8D8448">
      <w:pPr>
        <w:snapToGrid w:val="0"/>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eastAsia="zh-CN"/>
        </w:rPr>
        <w:t>（1）以人民币方式进行报价，单位万元。</w:t>
      </w:r>
    </w:p>
    <w:p w14:paraId="52C32814">
      <w:pPr>
        <w:snapToGrid w:val="0"/>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eastAsia="zh-CN"/>
        </w:rPr>
        <w:t>（2）投标人的投标报价应包含全部服务、实施等各项费用（包含但不限于设备租赁、物料、人员食宿、方案设计、宣传、场地使用费、税金、保险等），投标人对报价的准确性负责，任何漏报、错报等均是投标人的风险，采购人不再支付任何费用。</w:t>
      </w:r>
    </w:p>
    <w:p w14:paraId="1B398604">
      <w:pPr>
        <w:snapToGrid w:val="0"/>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eastAsia="zh-CN"/>
        </w:rPr>
        <w:t>（3）投标人须考虑突发应急事件所需的服务及伴随所产生的费用。</w:t>
      </w:r>
    </w:p>
    <w:p w14:paraId="672C62A9">
      <w:pPr>
        <w:snapToGrid w:val="0"/>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eastAsia="zh-CN"/>
        </w:rPr>
        <w:t>（4）完成活动所需的一切物料，包含灯会布置、氛围布置、灯光音响、舞美制作、舞台搭建、工作证设计制作等。</w:t>
      </w:r>
    </w:p>
    <w:p w14:paraId="186328A8">
      <w:pPr>
        <w:snapToGrid w:val="0"/>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eastAsia="zh-CN"/>
        </w:rPr>
        <w:t>（5）活动宣传，包括制作短视频、图片直播、视频直播、宣传稿撰写等。</w:t>
      </w:r>
    </w:p>
    <w:p w14:paraId="2D9D1E6B">
      <w:pPr>
        <w:snapToGrid w:val="0"/>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eastAsia="zh-CN"/>
        </w:rPr>
        <w:t>（6）投标报价超出采购预算为无效投标。</w:t>
      </w:r>
    </w:p>
    <w:p w14:paraId="578DFE72">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eastAsia="zh-CN"/>
        </w:rPr>
        <w:t>（五）</w:t>
      </w:r>
      <w:r>
        <w:rPr>
          <w:rFonts w:hint="eastAsia" w:ascii="宋体" w:hAnsi="宋体" w:eastAsia="宋体" w:cs="宋体"/>
          <w:bCs/>
          <w:sz w:val="24"/>
        </w:rPr>
        <w:t>项目验收（考核）标准</w:t>
      </w:r>
      <w:bookmarkEnd w:id="16"/>
      <w:bookmarkEnd w:id="17"/>
      <w:bookmarkEnd w:id="27"/>
      <w:bookmarkEnd w:id="28"/>
      <w:bookmarkEnd w:id="29"/>
      <w:bookmarkEnd w:id="30"/>
      <w:bookmarkEnd w:id="31"/>
    </w:p>
    <w:p w14:paraId="1B9A5568">
      <w:pPr>
        <w:snapToGrid w:val="0"/>
        <w:spacing w:line="360" w:lineRule="auto"/>
        <w:ind w:firstLine="480" w:firstLineChars="200"/>
        <w:rPr>
          <w:rFonts w:hint="eastAsia" w:ascii="宋体" w:hAnsi="宋体" w:eastAsia="宋体" w:cs="宋体"/>
          <w:bCs/>
          <w:sz w:val="24"/>
          <w:lang w:val="en-US" w:eastAsia="zh-CN"/>
        </w:rPr>
      </w:pPr>
      <w:bookmarkStart w:id="92" w:name="_Toc61851050"/>
      <w:r>
        <w:rPr>
          <w:rFonts w:hint="eastAsia" w:ascii="宋体" w:hAnsi="宋体" w:eastAsia="宋体" w:cs="宋体"/>
          <w:bCs/>
          <w:sz w:val="24"/>
          <w:lang w:val="en-US" w:eastAsia="zh-CN"/>
        </w:rPr>
        <w:t>采购人按照本项目采购需求、响应承诺等对投标人履约情况进行考核。主要考核内容以合同签订为准。</w:t>
      </w:r>
    </w:p>
    <w:bookmarkEnd w:id="92"/>
    <w:p w14:paraId="1CA341EA">
      <w:pPr>
        <w:pStyle w:val="5"/>
        <w:spacing w:line="360" w:lineRule="auto"/>
        <w:ind w:firstLine="482" w:firstLineChars="200"/>
        <w:rPr>
          <w:rFonts w:hint="eastAsia" w:ascii="宋体" w:hAnsi="宋体" w:eastAsia="宋体" w:cs="宋体"/>
          <w:sz w:val="24"/>
        </w:rPr>
      </w:pPr>
      <w:r>
        <w:rPr>
          <w:rFonts w:hint="eastAsia" w:ascii="宋体" w:hAnsi="宋体" w:eastAsia="宋体" w:cs="宋体"/>
          <w:sz w:val="24"/>
        </w:rPr>
        <w:t>五、采购实施计划</w:t>
      </w:r>
    </w:p>
    <w:p w14:paraId="241055F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lang w:val="en-US" w:eastAsia="zh-CN"/>
        </w:rPr>
      </w:pPr>
      <w:r>
        <w:rPr>
          <w:rFonts w:hint="eastAsia" w:ascii="宋体" w:hAnsi="宋体" w:eastAsia="宋体" w:cs="宋体"/>
          <w:bCs/>
          <w:sz w:val="24"/>
          <w:lang w:val="en-US" w:eastAsia="zh-CN"/>
        </w:rPr>
        <w:t>5.1 合同订立安排</w:t>
      </w:r>
    </w:p>
    <w:p w14:paraId="668243E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lang w:val="en-US" w:eastAsia="zh-CN"/>
        </w:rPr>
      </w:pPr>
      <w:r>
        <w:rPr>
          <w:rFonts w:hint="eastAsia" w:ascii="宋体" w:hAnsi="宋体" w:eastAsia="宋体" w:cs="宋体"/>
          <w:bCs/>
          <w:sz w:val="24"/>
          <w:lang w:val="en-US" w:eastAsia="zh-CN"/>
        </w:rPr>
        <w:t>5.1.1 采购项目预（概）算、最高限价：</w:t>
      </w:r>
      <w:r>
        <w:rPr>
          <w:rFonts w:hint="eastAsia" w:ascii="宋体" w:hAnsi="宋体" w:eastAsia="宋体"/>
          <w:sz w:val="24"/>
          <w:lang w:val="en-US" w:eastAsia="zh-CN"/>
        </w:rPr>
        <w:t>360</w:t>
      </w:r>
      <w:r>
        <w:rPr>
          <w:rFonts w:hint="eastAsia" w:ascii="宋体" w:hAnsi="宋体" w:eastAsia="宋体" w:cs="宋体"/>
          <w:bCs/>
          <w:sz w:val="24"/>
          <w:lang w:val="en-US" w:eastAsia="zh-CN"/>
        </w:rPr>
        <w:t>万元。</w:t>
      </w:r>
    </w:p>
    <w:p w14:paraId="21E023A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lang w:val="en-US" w:eastAsia="zh-CN"/>
        </w:rPr>
      </w:pPr>
      <w:r>
        <w:rPr>
          <w:rFonts w:hint="eastAsia" w:ascii="宋体" w:hAnsi="宋体" w:eastAsia="宋体" w:cs="宋体"/>
          <w:bCs/>
          <w:sz w:val="24"/>
          <w:lang w:val="en-US" w:eastAsia="zh-CN"/>
        </w:rPr>
        <w:t>5.1.2开展采购活动的时间安排：因本次采购时间紧，已向区财政局申请不公开采购意向，拟定于2026年4月正式进行公开招标采购。</w:t>
      </w:r>
    </w:p>
    <w:p w14:paraId="5FEA5F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lang w:val="en-US" w:eastAsia="zh-CN"/>
        </w:rPr>
      </w:pPr>
      <w:r>
        <w:rPr>
          <w:rFonts w:hint="eastAsia" w:ascii="宋体" w:hAnsi="宋体" w:eastAsia="宋体" w:cs="宋体"/>
          <w:bCs/>
          <w:sz w:val="24"/>
          <w:lang w:val="en-US" w:eastAsia="zh-CN"/>
        </w:rPr>
        <w:t>5.1.3落实政府采购政策功能情况：</w:t>
      </w:r>
    </w:p>
    <w:p w14:paraId="502BE9A7">
      <w:pPr>
        <w:tabs>
          <w:tab w:val="left" w:pos="1155"/>
        </w:tabs>
        <w:spacing w:line="360" w:lineRule="auto"/>
        <w:ind w:firstLine="480" w:firstLineChars="200"/>
        <w:rPr>
          <w:rFonts w:hint="eastAsia" w:ascii="宋体" w:hAnsi="宋体" w:eastAsia="Calibri"/>
          <w:sz w:val="24"/>
          <w:lang w:val="en-US" w:eastAsia="zh-CN"/>
        </w:rPr>
      </w:pPr>
      <w:r>
        <w:rPr>
          <w:rFonts w:hint="eastAsia" w:ascii="宋体" w:hAnsi="宋体" w:eastAsia="Calibri"/>
          <w:sz w:val="24"/>
          <w:lang w:val="en-US" w:eastAsia="zh-CN"/>
        </w:rPr>
        <w:t>根据《中小企业划型标准规定》（工信部联企业〔2011〕300号）的规定，本项目采购标的对应的所属行业为其他未列明行业。投标人声明为中小企业的，应对照《中小企业划型标准规定的通知》（工信部联企业〔2011〕300号）的标准，准确划分并确定企业类型；投标人声明为《残疾人福利性单位声明函》或监狱企业的，应按要求提供《残疾人福利性单位声明函》或监狱企业证明。投标人对其提供的证明材料（《中小企业声明函》或《残疾人福利性单位声明函》或监狱企业证明）的内容真实性负责，证明材料不实的，属于提供虚假材料谋取中标、成交，依照《中华人民共和国政府采购法》等国家有关规定追究相应责任。</w:t>
      </w:r>
    </w:p>
    <w:p w14:paraId="0C34391D">
      <w:pPr>
        <w:tabs>
          <w:tab w:val="left" w:pos="1155"/>
        </w:tabs>
        <w:spacing w:line="360" w:lineRule="auto"/>
        <w:ind w:firstLine="480" w:firstLineChars="200"/>
        <w:rPr>
          <w:rFonts w:ascii="宋体" w:hAnsi="宋体" w:eastAsia="Calibri"/>
          <w:sz w:val="24"/>
        </w:rPr>
      </w:pPr>
      <w:r>
        <w:rPr>
          <w:rFonts w:hint="eastAsia" w:ascii="宋体" w:hAnsi="宋体" w:eastAsia="Calibri"/>
          <w:sz w:val="24"/>
        </w:rPr>
        <w:t>5.1.4采购组织形式和委托代理安排：</w:t>
      </w:r>
    </w:p>
    <w:p w14:paraId="21F3565D">
      <w:pPr>
        <w:tabs>
          <w:tab w:val="left" w:pos="1155"/>
        </w:tabs>
        <w:spacing w:line="360" w:lineRule="auto"/>
        <w:ind w:firstLine="480" w:firstLineChars="200"/>
        <w:rPr>
          <w:rFonts w:ascii="宋体" w:hAnsi="宋体" w:eastAsia="Calibri"/>
          <w:sz w:val="24"/>
        </w:rPr>
      </w:pPr>
      <w:r>
        <w:rPr>
          <w:rFonts w:hint="eastAsia" w:ascii="宋体" w:hAnsi="宋体" w:eastAsia="Calibri"/>
          <w:sz w:val="24"/>
        </w:rPr>
        <w:t>1．本项目采购组织形式为分散采购</w:t>
      </w:r>
    </w:p>
    <w:p w14:paraId="7254D2FA">
      <w:pPr>
        <w:tabs>
          <w:tab w:val="left" w:pos="1155"/>
        </w:tabs>
        <w:spacing w:line="360" w:lineRule="auto"/>
        <w:ind w:firstLine="480" w:firstLineChars="200"/>
        <w:rPr>
          <w:rFonts w:ascii="宋体" w:hAnsi="宋体" w:eastAsia="Calibri"/>
          <w:sz w:val="24"/>
        </w:rPr>
      </w:pPr>
      <w:r>
        <w:rPr>
          <w:rFonts w:hint="eastAsia" w:ascii="宋体" w:hAnsi="宋体" w:eastAsia="Calibri"/>
          <w:sz w:val="24"/>
        </w:rPr>
        <w:t>选择理由：根据</w:t>
      </w:r>
      <w:bookmarkStart w:id="93" w:name="_GoBack"/>
      <w:bookmarkEnd w:id="93"/>
      <w:r>
        <w:rPr>
          <w:rFonts w:hint="eastAsia" w:ascii="宋体" w:hAnsi="宋体" w:eastAsia="宋体"/>
          <w:sz w:val="24"/>
          <w:lang w:eastAsia="zh-CN"/>
        </w:rPr>
        <w:t>《湖北省政府集中采购目录及标准（2026 版）》（鄂财采发[2025]9 号）</w:t>
      </w:r>
      <w:r>
        <w:rPr>
          <w:rFonts w:hint="eastAsia" w:ascii="宋体" w:hAnsi="宋体" w:eastAsia="Calibri"/>
          <w:sz w:val="24"/>
        </w:rPr>
        <w:t>，本项目不属于集中采购目录内容，拟采用分散采购方式组织实施。</w:t>
      </w:r>
    </w:p>
    <w:p w14:paraId="697FDB98">
      <w:pPr>
        <w:tabs>
          <w:tab w:val="left" w:pos="1155"/>
        </w:tabs>
        <w:spacing w:line="360" w:lineRule="auto"/>
        <w:ind w:firstLine="480" w:firstLineChars="200"/>
        <w:rPr>
          <w:rFonts w:ascii="宋体" w:hAnsi="宋体" w:eastAsia="Calibri"/>
          <w:sz w:val="24"/>
        </w:rPr>
      </w:pPr>
      <w:r>
        <w:rPr>
          <w:rFonts w:hint="eastAsia" w:ascii="宋体" w:hAnsi="宋体" w:eastAsia="Calibri"/>
          <w:sz w:val="24"/>
        </w:rPr>
        <w:t>2．委托代理安排</w:t>
      </w:r>
    </w:p>
    <w:p w14:paraId="27C8195C">
      <w:pPr>
        <w:tabs>
          <w:tab w:val="left" w:pos="1155"/>
        </w:tabs>
        <w:spacing w:line="360" w:lineRule="auto"/>
        <w:ind w:firstLine="480" w:firstLineChars="200"/>
        <w:rPr>
          <w:rFonts w:ascii="宋体" w:hAnsi="宋体" w:eastAsia="Calibri"/>
          <w:sz w:val="24"/>
        </w:rPr>
      </w:pPr>
      <w:r>
        <w:rPr>
          <w:rFonts w:hint="eastAsia" w:ascii="宋体" w:hAnsi="宋体" w:eastAsia="Calibri"/>
          <w:sz w:val="24"/>
        </w:rPr>
        <w:t>根据</w:t>
      </w:r>
      <w:r>
        <w:rPr>
          <w:rFonts w:hint="eastAsia" w:ascii="宋体" w:hAnsi="宋体" w:eastAsia="宋体"/>
          <w:sz w:val="24"/>
          <w:lang w:eastAsia="zh-CN"/>
        </w:rPr>
        <w:t>《湖北省政府集中采购目录及标准（2026 版）》（鄂财采发[2025]9 号）</w:t>
      </w:r>
      <w:r>
        <w:rPr>
          <w:rFonts w:hint="eastAsia" w:ascii="宋体" w:hAnsi="宋体" w:eastAsia="Calibri"/>
          <w:sz w:val="24"/>
        </w:rPr>
        <w:t>和采购人相关内控制度，本项目委托社会采购代理机构组织采购。</w:t>
      </w:r>
    </w:p>
    <w:p w14:paraId="60D67BFD">
      <w:pPr>
        <w:tabs>
          <w:tab w:val="left" w:pos="1155"/>
        </w:tabs>
        <w:spacing w:line="360" w:lineRule="auto"/>
        <w:ind w:firstLine="480" w:firstLineChars="200"/>
        <w:rPr>
          <w:rFonts w:ascii="宋体" w:hAnsi="宋体" w:eastAsia="Calibri"/>
          <w:sz w:val="24"/>
        </w:rPr>
      </w:pPr>
      <w:r>
        <w:rPr>
          <w:rFonts w:hint="eastAsia" w:ascii="宋体" w:hAnsi="宋体" w:eastAsia="Calibri"/>
          <w:sz w:val="24"/>
        </w:rPr>
        <w:t>5.1.5采购包划分与合同分包：</w:t>
      </w:r>
    </w:p>
    <w:p w14:paraId="2F0D24E2">
      <w:pPr>
        <w:tabs>
          <w:tab w:val="left" w:pos="1155"/>
        </w:tabs>
        <w:spacing w:line="360" w:lineRule="auto"/>
        <w:ind w:firstLine="480" w:firstLineChars="200"/>
        <w:rPr>
          <w:rFonts w:ascii="宋体" w:hAnsi="宋体" w:eastAsia="Calibri"/>
          <w:sz w:val="24"/>
        </w:rPr>
      </w:pPr>
      <w:r>
        <w:rPr>
          <w:rFonts w:hint="eastAsia" w:ascii="宋体" w:hAnsi="宋体" w:eastAsia="Calibri"/>
          <w:sz w:val="24"/>
        </w:rPr>
        <w:t>5.1.5.1本项目按照有利于采购项目实施的原则划分为</w:t>
      </w:r>
      <w:r>
        <w:rPr>
          <w:rFonts w:hint="eastAsia" w:ascii="宋体" w:hAnsi="宋体" w:eastAsia="宋体"/>
          <w:sz w:val="24"/>
          <w:lang w:val="en-US" w:eastAsia="zh-CN"/>
        </w:rPr>
        <w:t>1</w:t>
      </w:r>
      <w:r>
        <w:rPr>
          <w:rFonts w:hint="eastAsia" w:ascii="宋体" w:hAnsi="宋体" w:eastAsia="Calibri"/>
          <w:sz w:val="24"/>
        </w:rPr>
        <w:t>个项目包。</w:t>
      </w:r>
    </w:p>
    <w:p w14:paraId="1DA1C413">
      <w:pPr>
        <w:tabs>
          <w:tab w:val="left" w:pos="1155"/>
        </w:tabs>
        <w:spacing w:line="360" w:lineRule="auto"/>
        <w:ind w:firstLine="480" w:firstLineChars="200"/>
        <w:rPr>
          <w:rFonts w:ascii="宋体" w:hAnsi="宋体" w:eastAsia="Calibri"/>
          <w:sz w:val="24"/>
        </w:rPr>
      </w:pPr>
      <w:r>
        <w:rPr>
          <w:rFonts w:hint="eastAsia" w:ascii="宋体" w:hAnsi="宋体" w:eastAsia="Calibri"/>
          <w:sz w:val="24"/>
        </w:rPr>
        <w:t>5.1.5.2合同分包规定：不允许分包。</w:t>
      </w:r>
    </w:p>
    <w:p w14:paraId="30D412CE">
      <w:pPr>
        <w:tabs>
          <w:tab w:val="left" w:pos="1155"/>
        </w:tabs>
        <w:spacing w:line="360" w:lineRule="auto"/>
        <w:ind w:firstLine="480" w:firstLineChars="200"/>
        <w:rPr>
          <w:rFonts w:ascii="宋体" w:hAnsi="宋体" w:eastAsia="Calibri"/>
          <w:sz w:val="24"/>
        </w:rPr>
      </w:pPr>
      <w:r>
        <w:rPr>
          <w:rFonts w:hint="eastAsia" w:ascii="宋体" w:hAnsi="宋体" w:eastAsia="Calibri"/>
          <w:sz w:val="24"/>
        </w:rPr>
        <w:t>5.1.6供应商资格条件：</w:t>
      </w:r>
    </w:p>
    <w:p w14:paraId="64320ACD">
      <w:pPr>
        <w:snapToGrid w:val="0"/>
        <w:spacing w:line="360" w:lineRule="auto"/>
        <w:ind w:firstLine="480" w:firstLineChars="200"/>
        <w:rPr>
          <w:rFonts w:hint="eastAsia" w:ascii="宋体" w:hAnsi="宋体" w:eastAsia="Calibri"/>
          <w:sz w:val="24"/>
        </w:rPr>
      </w:pPr>
      <w:r>
        <w:rPr>
          <w:rFonts w:hint="eastAsia" w:ascii="宋体" w:hAnsi="宋体" w:eastAsia="Calibri"/>
          <w:sz w:val="24"/>
        </w:rPr>
        <w:t>1.满足《中华人民共和国政府采购法》第二十二条规定，即：</w:t>
      </w:r>
    </w:p>
    <w:p w14:paraId="016FCB37">
      <w:pPr>
        <w:snapToGrid w:val="0"/>
        <w:spacing w:line="360" w:lineRule="auto"/>
        <w:ind w:firstLine="480" w:firstLineChars="200"/>
        <w:rPr>
          <w:rFonts w:hint="eastAsia" w:ascii="宋体" w:hAnsi="宋体" w:eastAsia="Calibri"/>
          <w:sz w:val="24"/>
        </w:rPr>
      </w:pPr>
      <w:r>
        <w:rPr>
          <w:rFonts w:hint="eastAsia" w:ascii="宋体" w:hAnsi="宋体" w:eastAsia="Calibri"/>
          <w:sz w:val="24"/>
        </w:rPr>
        <w:t>（1）具有独立承担民事责任的能力；</w:t>
      </w:r>
    </w:p>
    <w:p w14:paraId="68C8A856">
      <w:pPr>
        <w:snapToGrid w:val="0"/>
        <w:spacing w:line="360" w:lineRule="auto"/>
        <w:ind w:firstLine="480" w:firstLineChars="200"/>
        <w:rPr>
          <w:rFonts w:hint="eastAsia" w:ascii="宋体" w:hAnsi="宋体" w:eastAsia="Calibri"/>
          <w:sz w:val="24"/>
        </w:rPr>
      </w:pPr>
      <w:r>
        <w:rPr>
          <w:rFonts w:hint="eastAsia" w:ascii="宋体" w:hAnsi="宋体" w:eastAsia="Calibri"/>
          <w:sz w:val="24"/>
        </w:rPr>
        <w:t>（2）具有良好的商业信誉和健全的财务会计制度；</w:t>
      </w:r>
    </w:p>
    <w:p w14:paraId="20C49E09">
      <w:pPr>
        <w:snapToGrid w:val="0"/>
        <w:spacing w:line="360" w:lineRule="auto"/>
        <w:ind w:firstLine="480" w:firstLineChars="200"/>
        <w:rPr>
          <w:rFonts w:hint="eastAsia" w:ascii="宋体" w:hAnsi="宋体" w:eastAsia="Calibri"/>
          <w:sz w:val="24"/>
        </w:rPr>
      </w:pPr>
      <w:r>
        <w:rPr>
          <w:rFonts w:hint="eastAsia" w:ascii="宋体" w:hAnsi="宋体" w:eastAsia="Calibri"/>
          <w:sz w:val="24"/>
        </w:rPr>
        <w:t>（3）具有履行合同所必需的设备和专业技术能力；</w:t>
      </w:r>
    </w:p>
    <w:p w14:paraId="5659662A">
      <w:pPr>
        <w:snapToGrid w:val="0"/>
        <w:spacing w:line="360" w:lineRule="auto"/>
        <w:ind w:firstLine="480" w:firstLineChars="200"/>
        <w:rPr>
          <w:rFonts w:hint="eastAsia" w:ascii="宋体" w:hAnsi="宋体" w:eastAsia="Calibri"/>
          <w:sz w:val="24"/>
        </w:rPr>
      </w:pPr>
      <w:r>
        <w:rPr>
          <w:rFonts w:hint="eastAsia" w:ascii="宋体" w:hAnsi="宋体" w:eastAsia="Calibri"/>
          <w:sz w:val="24"/>
        </w:rPr>
        <w:t>（4）有依法缴纳税收和社会保障资金的良好记录；</w:t>
      </w:r>
    </w:p>
    <w:p w14:paraId="58242A26">
      <w:pPr>
        <w:snapToGrid w:val="0"/>
        <w:spacing w:line="360" w:lineRule="auto"/>
        <w:ind w:firstLine="480" w:firstLineChars="200"/>
        <w:rPr>
          <w:rFonts w:hint="eastAsia" w:ascii="宋体" w:hAnsi="宋体" w:eastAsia="Calibri"/>
          <w:sz w:val="24"/>
        </w:rPr>
      </w:pPr>
      <w:r>
        <w:rPr>
          <w:rFonts w:hint="eastAsia" w:ascii="宋体" w:hAnsi="宋体" w:eastAsia="Calibri"/>
          <w:sz w:val="24"/>
        </w:rPr>
        <w:t>（5）参加政府采购活动前三年内，在经营活动中没有重大违法记录；</w:t>
      </w:r>
    </w:p>
    <w:p w14:paraId="73B9AC5E">
      <w:pPr>
        <w:snapToGrid w:val="0"/>
        <w:spacing w:line="360" w:lineRule="auto"/>
        <w:ind w:firstLine="480" w:firstLineChars="200"/>
        <w:rPr>
          <w:rFonts w:hint="eastAsia" w:ascii="宋体" w:hAnsi="宋体" w:eastAsia="Calibri"/>
          <w:sz w:val="24"/>
        </w:rPr>
      </w:pPr>
      <w:r>
        <w:rPr>
          <w:rFonts w:hint="eastAsia" w:ascii="宋体" w:hAnsi="宋体" w:eastAsia="Calibri"/>
          <w:sz w:val="24"/>
        </w:rPr>
        <w:t>（6）法律、行政法规规定的其他条件。</w:t>
      </w:r>
    </w:p>
    <w:p w14:paraId="1CEDAEE9">
      <w:pPr>
        <w:snapToGrid w:val="0"/>
        <w:spacing w:line="360" w:lineRule="auto"/>
        <w:ind w:firstLine="480" w:firstLineChars="200"/>
        <w:rPr>
          <w:rFonts w:hint="eastAsia" w:ascii="宋体" w:hAnsi="宋体" w:eastAsia="Calibri"/>
          <w:sz w:val="24"/>
        </w:rPr>
      </w:pPr>
      <w:r>
        <w:rPr>
          <w:rFonts w:hint="eastAsia" w:ascii="宋体" w:hAnsi="宋体" w:eastAsia="Calibri"/>
          <w:sz w:val="24"/>
        </w:rPr>
        <w:t>2.单位负责人为同一人或者存在直接控股、管理关系的不同投标人，不得参加本项目同一合同项下的政府采购活动。</w:t>
      </w:r>
    </w:p>
    <w:p w14:paraId="2F3EA6D9">
      <w:pPr>
        <w:snapToGrid w:val="0"/>
        <w:spacing w:line="360" w:lineRule="auto"/>
        <w:ind w:firstLine="480" w:firstLineChars="200"/>
        <w:rPr>
          <w:rFonts w:hint="eastAsia" w:ascii="宋体" w:hAnsi="宋体" w:eastAsia="Calibri"/>
          <w:sz w:val="24"/>
        </w:rPr>
      </w:pPr>
      <w:r>
        <w:rPr>
          <w:rFonts w:hint="eastAsia" w:ascii="宋体" w:hAnsi="宋体" w:eastAsia="Calibri"/>
          <w:sz w:val="24"/>
        </w:rPr>
        <w:t>3.为本采购项目提供整体设计、规范编制或者项目管理、监理、检测等服务的，不得再参加本项目的其他招标采购活动。</w:t>
      </w:r>
    </w:p>
    <w:p w14:paraId="51BE25D7">
      <w:pPr>
        <w:snapToGrid w:val="0"/>
        <w:spacing w:line="360" w:lineRule="auto"/>
        <w:ind w:firstLine="480" w:firstLineChars="200"/>
        <w:rPr>
          <w:rFonts w:hint="eastAsia" w:ascii="宋体" w:hAnsi="宋体" w:eastAsia="Calibri"/>
          <w:sz w:val="24"/>
        </w:rPr>
      </w:pPr>
      <w:r>
        <w:rPr>
          <w:rFonts w:hint="eastAsia" w:ascii="宋体" w:hAnsi="宋体" w:eastAsia="Calibri"/>
          <w:sz w:val="24"/>
        </w:rPr>
        <w:t>4.未被列入失信被执行人、重大税收违法失信主体，未被列入政府采购严重违法失信行为记录名单。</w:t>
      </w:r>
    </w:p>
    <w:p w14:paraId="20298075">
      <w:pPr>
        <w:snapToGrid w:val="0"/>
        <w:spacing w:line="360" w:lineRule="auto"/>
        <w:ind w:firstLine="480" w:firstLineChars="200"/>
        <w:rPr>
          <w:rFonts w:hint="eastAsia" w:ascii="宋体" w:hAnsi="宋体" w:eastAsia="Calibri"/>
          <w:sz w:val="24"/>
        </w:rPr>
      </w:pPr>
      <w:r>
        <w:rPr>
          <w:rFonts w:hint="eastAsia" w:ascii="宋体" w:hAnsi="宋体" w:eastAsia="Calibri"/>
          <w:sz w:val="24"/>
        </w:rPr>
        <w:t>5.落实政府采购政策需满足的资格要求：本项目为专门面向中小企业预留份额采购，投标人应为中小微企业（或监狱企业，或残疾人福利性单位，监狱企业、残疾人福利性单位视为小微企业）。</w:t>
      </w:r>
    </w:p>
    <w:p w14:paraId="7A57E216">
      <w:pPr>
        <w:snapToGrid w:val="0"/>
        <w:spacing w:line="360" w:lineRule="auto"/>
        <w:ind w:firstLine="480" w:firstLineChars="200"/>
        <w:rPr>
          <w:rFonts w:hint="eastAsia" w:ascii="宋体" w:hAnsi="宋体" w:eastAsia="宋体"/>
          <w:sz w:val="24"/>
          <w:lang w:val="en-US" w:eastAsia="zh-CN"/>
        </w:rPr>
      </w:pPr>
      <w:r>
        <w:rPr>
          <w:rFonts w:hint="eastAsia" w:ascii="宋体" w:hAnsi="宋体" w:eastAsia="Calibri"/>
          <w:sz w:val="24"/>
        </w:rPr>
        <w:t>6.本项目的特定资格要求：</w:t>
      </w:r>
      <w:r>
        <w:rPr>
          <w:rFonts w:hint="eastAsia" w:ascii="宋体" w:hAnsi="宋体" w:eastAsia="宋体"/>
          <w:sz w:val="24"/>
          <w:lang w:val="en-US" w:eastAsia="zh-CN"/>
        </w:rPr>
        <w:t>/</w:t>
      </w:r>
    </w:p>
    <w:p w14:paraId="43AB481C">
      <w:pPr>
        <w:snapToGrid w:val="0"/>
        <w:spacing w:line="360" w:lineRule="auto"/>
        <w:ind w:firstLine="480" w:firstLineChars="200"/>
        <w:rPr>
          <w:rFonts w:ascii="宋体" w:hAnsi="宋体" w:eastAsia="宋体" w:cs="宋体"/>
          <w:kern w:val="0"/>
          <w:sz w:val="24"/>
        </w:rPr>
      </w:pPr>
      <w:r>
        <w:rPr>
          <w:rFonts w:hint="eastAsia" w:ascii="宋体" w:hAnsi="宋体" w:eastAsia="宋体" w:cs="宋体"/>
          <w:bCs/>
          <w:sz w:val="24"/>
        </w:rPr>
        <w:t>5.1.7</w:t>
      </w:r>
      <w:r>
        <w:rPr>
          <w:rFonts w:hint="eastAsia" w:ascii="宋体" w:hAnsi="宋体" w:eastAsia="宋体" w:cs="宋体"/>
          <w:kern w:val="0"/>
          <w:sz w:val="24"/>
        </w:rPr>
        <w:t>采购方式：公开招标</w:t>
      </w:r>
    </w:p>
    <w:p w14:paraId="35F82948">
      <w:pPr>
        <w:snapToGrid w:val="0"/>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选择采购方式的理由：根据</w:t>
      </w:r>
      <w:r>
        <w:rPr>
          <w:rFonts w:hint="eastAsia" w:ascii="宋体" w:hAnsi="宋体" w:eastAsia="宋体" w:cs="宋体"/>
          <w:bCs/>
          <w:sz w:val="24"/>
          <w:lang w:eastAsia="zh-CN"/>
        </w:rPr>
        <w:t>《湖北省政府集中采购目录及标准（2026 版）》（鄂财采发[2025]9 号）</w:t>
      </w:r>
      <w:r>
        <w:rPr>
          <w:rFonts w:hint="eastAsia" w:ascii="宋体" w:hAnsi="宋体" w:eastAsia="宋体" w:cs="宋体"/>
          <w:bCs/>
          <w:sz w:val="24"/>
        </w:rPr>
        <w:t>，市县级货物类或服务类项目200万元以上的应当采用公开招标方式</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故本项目</w:t>
      </w:r>
      <w:r>
        <w:rPr>
          <w:rFonts w:hint="eastAsia" w:ascii="宋体" w:hAnsi="宋体" w:eastAsia="宋体" w:cs="宋体"/>
          <w:bCs/>
          <w:color w:val="auto"/>
          <w:sz w:val="24"/>
        </w:rPr>
        <w:t>拟采用公开招标组织采购</w:t>
      </w:r>
      <w:r>
        <w:rPr>
          <w:rFonts w:hint="eastAsia" w:ascii="宋体" w:hAnsi="宋体" w:eastAsia="宋体" w:cs="宋体"/>
          <w:bCs/>
          <w:color w:val="auto"/>
          <w:sz w:val="24"/>
          <w:lang w:eastAsia="zh-CN"/>
        </w:rPr>
        <w:t>。</w:t>
      </w:r>
    </w:p>
    <w:p w14:paraId="695D81B0">
      <w:pPr>
        <w:snapToGrid w:val="0"/>
        <w:spacing w:line="360" w:lineRule="auto"/>
        <w:ind w:firstLine="480" w:firstLineChars="200"/>
        <w:rPr>
          <w:rFonts w:ascii="宋体" w:hAnsi="宋体" w:eastAsia="宋体" w:cs="宋体"/>
          <w:kern w:val="0"/>
          <w:sz w:val="24"/>
        </w:rPr>
      </w:pPr>
      <w:r>
        <w:rPr>
          <w:rFonts w:hint="eastAsia" w:ascii="宋体" w:hAnsi="宋体" w:eastAsia="宋体" w:cs="宋体"/>
          <w:bCs/>
          <w:sz w:val="24"/>
        </w:rPr>
        <w:t>5.1.8</w:t>
      </w:r>
      <w:r>
        <w:rPr>
          <w:rFonts w:hint="eastAsia" w:ascii="宋体" w:hAnsi="宋体" w:eastAsia="宋体" w:cs="宋体"/>
          <w:kern w:val="0"/>
          <w:sz w:val="24"/>
        </w:rPr>
        <w:t>竞争范围：公开方式</w:t>
      </w:r>
    </w:p>
    <w:p w14:paraId="263723AA">
      <w:pPr>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选择竞争范围的理由：本项目不属于有限范围内竞争或者只能从唯一供应商处采购的情形，故选择以公开（发布公告）方式邀请供应商参与。</w:t>
      </w:r>
    </w:p>
    <w:p w14:paraId="4E8B0C0A">
      <w:pPr>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公告发布媒体：湖北省政府采购网、武汉市东西湖区政府采购电子交易系统。</w:t>
      </w:r>
    </w:p>
    <w:p w14:paraId="1AEB8DA0">
      <w:pPr>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5.1.9评审规则：综合评分法</w:t>
      </w:r>
    </w:p>
    <w:p w14:paraId="78D45D4A">
      <w:pPr>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选择综合评分法的理由：本项目无法仅评价格因素进行判断，需要通过价格、技术服务水平、履约能力、服务团队情况人员等方面进行综合评审。</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249"/>
        <w:gridCol w:w="831"/>
        <w:gridCol w:w="5386"/>
      </w:tblGrid>
      <w:tr w14:paraId="39ED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31" w:type="pct"/>
            <w:shd w:val="clear" w:color="auto" w:fill="D8D8D8" w:themeFill="background1" w:themeFillShade="D9"/>
            <w:vAlign w:val="center"/>
          </w:tcPr>
          <w:p w14:paraId="1B1F7E33">
            <w:pPr>
              <w:pStyle w:val="45"/>
              <w:jc w:val="center"/>
              <w:rPr>
                <w:b/>
                <w:bCs/>
              </w:rPr>
            </w:pPr>
            <w:r>
              <w:rPr>
                <w:rFonts w:hint="eastAsia"/>
                <w:b/>
                <w:bCs/>
              </w:rPr>
              <w:t>评标项目</w:t>
            </w:r>
          </w:p>
        </w:tc>
        <w:tc>
          <w:tcPr>
            <w:tcW w:w="714" w:type="pct"/>
            <w:shd w:val="clear" w:color="auto" w:fill="D8D8D8" w:themeFill="background1" w:themeFillShade="D9"/>
            <w:vAlign w:val="center"/>
          </w:tcPr>
          <w:p w14:paraId="628ED58D">
            <w:pPr>
              <w:pStyle w:val="45"/>
              <w:jc w:val="center"/>
              <w:rPr>
                <w:b/>
                <w:bCs/>
              </w:rPr>
            </w:pPr>
            <w:r>
              <w:rPr>
                <w:rFonts w:hint="eastAsia"/>
                <w:b/>
                <w:bCs/>
              </w:rPr>
              <w:t>评标分项</w:t>
            </w:r>
          </w:p>
        </w:tc>
        <w:tc>
          <w:tcPr>
            <w:tcW w:w="475" w:type="pct"/>
            <w:shd w:val="clear" w:color="auto" w:fill="D8D8D8" w:themeFill="background1" w:themeFillShade="D9"/>
            <w:vAlign w:val="center"/>
          </w:tcPr>
          <w:p w14:paraId="799F8143">
            <w:pPr>
              <w:pStyle w:val="45"/>
              <w:jc w:val="center"/>
              <w:rPr>
                <w:b/>
                <w:bCs/>
              </w:rPr>
            </w:pPr>
            <w:r>
              <w:rPr>
                <w:rFonts w:hint="eastAsia"/>
                <w:b/>
                <w:bCs/>
              </w:rPr>
              <w:t>分值</w:t>
            </w:r>
          </w:p>
        </w:tc>
        <w:tc>
          <w:tcPr>
            <w:tcW w:w="3079" w:type="pct"/>
            <w:shd w:val="clear" w:color="auto" w:fill="D8D8D8" w:themeFill="background1" w:themeFillShade="D9"/>
            <w:vAlign w:val="center"/>
          </w:tcPr>
          <w:p w14:paraId="7BB308F4">
            <w:pPr>
              <w:pStyle w:val="45"/>
              <w:jc w:val="center"/>
              <w:rPr>
                <w:b/>
                <w:bCs/>
              </w:rPr>
            </w:pPr>
            <w:r>
              <w:rPr>
                <w:rFonts w:hint="eastAsia"/>
                <w:b/>
                <w:bCs/>
              </w:rPr>
              <w:t>子项目及分值</w:t>
            </w:r>
          </w:p>
        </w:tc>
      </w:tr>
      <w:tr w14:paraId="4F74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pct"/>
            <w:vAlign w:val="center"/>
          </w:tcPr>
          <w:p w14:paraId="3B98C812">
            <w:pPr>
              <w:pStyle w:val="14"/>
              <w:jc w:val="center"/>
              <w:rPr>
                <w:rFonts w:hAnsi="宋体" w:cs="宋体"/>
                <w:kern w:val="0"/>
              </w:rPr>
            </w:pPr>
            <w:r>
              <w:rPr>
                <w:rFonts w:hint="eastAsia" w:hAnsi="宋体" w:cs="宋体"/>
                <w:kern w:val="0"/>
              </w:rPr>
              <w:t>价格部分</w:t>
            </w:r>
          </w:p>
          <w:p w14:paraId="46DFE4F6">
            <w:pPr>
              <w:pStyle w:val="14"/>
              <w:jc w:val="center"/>
              <w:rPr>
                <w:rFonts w:hAnsi="宋体" w:cs="宋体"/>
                <w:kern w:val="0"/>
              </w:rPr>
            </w:pPr>
            <w:r>
              <w:rPr>
                <w:rFonts w:hint="eastAsia" w:hAnsi="宋体" w:cs="宋体"/>
                <w:kern w:val="0"/>
              </w:rPr>
              <w:t>（20分）</w:t>
            </w:r>
          </w:p>
        </w:tc>
        <w:tc>
          <w:tcPr>
            <w:tcW w:w="714" w:type="pct"/>
            <w:tcBorders>
              <w:bottom w:val="single" w:color="auto" w:sz="4" w:space="0"/>
            </w:tcBorders>
            <w:vAlign w:val="center"/>
          </w:tcPr>
          <w:p w14:paraId="42CD99FE">
            <w:pPr>
              <w:pStyle w:val="14"/>
              <w:jc w:val="center"/>
              <w:rPr>
                <w:rFonts w:hAnsi="宋体" w:cs="宋体"/>
                <w:kern w:val="0"/>
              </w:rPr>
            </w:pPr>
            <w:r>
              <w:rPr>
                <w:rFonts w:hint="eastAsia" w:hAnsi="宋体" w:cs="宋体"/>
                <w:kern w:val="0"/>
              </w:rPr>
              <w:t>投标价格</w:t>
            </w:r>
          </w:p>
        </w:tc>
        <w:tc>
          <w:tcPr>
            <w:tcW w:w="475" w:type="pct"/>
            <w:vAlign w:val="center"/>
          </w:tcPr>
          <w:p w14:paraId="21C2AA6F">
            <w:pPr>
              <w:pStyle w:val="14"/>
              <w:jc w:val="center"/>
              <w:rPr>
                <w:rFonts w:hAnsi="宋体" w:cs="宋体"/>
                <w:kern w:val="0"/>
              </w:rPr>
            </w:pPr>
            <w:r>
              <w:rPr>
                <w:rFonts w:hint="eastAsia" w:hAnsi="宋体" w:cs="宋体"/>
                <w:kern w:val="0"/>
              </w:rPr>
              <w:t>20</w:t>
            </w:r>
          </w:p>
        </w:tc>
        <w:tc>
          <w:tcPr>
            <w:tcW w:w="3079" w:type="pct"/>
            <w:vAlign w:val="center"/>
          </w:tcPr>
          <w:p w14:paraId="02109EA1">
            <w:pPr>
              <w:pStyle w:val="14"/>
              <w:rPr>
                <w:rFonts w:hAnsi="宋体" w:cs="宋体"/>
                <w:kern w:val="0"/>
              </w:rPr>
            </w:pPr>
            <w:r>
              <w:rPr>
                <w:rFonts w:hint="eastAsia" w:hAnsi="宋体" w:cs="宋体"/>
                <w:kern w:val="0"/>
              </w:rPr>
              <w:t>价格分统一采用低价优先法计算，即满足招标文件要求且投标价格最低的投标报价为评标基准价，其价格分为满分。其他投标人的价格分统一按照下列公式计算：投标报价得分=(评标基准价／投标报价)×20%。</w:t>
            </w:r>
          </w:p>
        </w:tc>
      </w:tr>
      <w:tr w14:paraId="628F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31" w:type="pct"/>
            <w:vMerge w:val="restart"/>
            <w:vAlign w:val="center"/>
          </w:tcPr>
          <w:p w14:paraId="622872A6">
            <w:pPr>
              <w:pStyle w:val="14"/>
              <w:jc w:val="center"/>
              <w:rPr>
                <w:rFonts w:hAnsi="宋体" w:cs="宋体"/>
                <w:kern w:val="0"/>
              </w:rPr>
            </w:pPr>
            <w:r>
              <w:rPr>
                <w:rFonts w:hint="eastAsia" w:hAnsi="宋体" w:cs="宋体"/>
                <w:kern w:val="0"/>
              </w:rPr>
              <w:t>商务部分</w:t>
            </w:r>
          </w:p>
          <w:p w14:paraId="460FB741">
            <w:pPr>
              <w:pStyle w:val="14"/>
              <w:jc w:val="center"/>
              <w:rPr>
                <w:rFonts w:hAnsi="宋体" w:cs="宋体"/>
                <w:kern w:val="0"/>
              </w:rPr>
            </w:pPr>
            <w:r>
              <w:rPr>
                <w:rFonts w:hint="eastAsia" w:hAnsi="宋体" w:cs="宋体"/>
                <w:kern w:val="0"/>
              </w:rPr>
              <w:t>（20分）</w:t>
            </w:r>
          </w:p>
        </w:tc>
        <w:tc>
          <w:tcPr>
            <w:tcW w:w="714" w:type="pct"/>
            <w:tcBorders>
              <w:top w:val="single" w:color="auto" w:sz="4" w:space="0"/>
            </w:tcBorders>
            <w:vAlign w:val="center"/>
          </w:tcPr>
          <w:p w14:paraId="4FEE2115">
            <w:pPr>
              <w:pStyle w:val="14"/>
              <w:jc w:val="center"/>
              <w:rPr>
                <w:rFonts w:hAnsi="宋体" w:cs="宋体"/>
                <w:kern w:val="0"/>
              </w:rPr>
            </w:pPr>
            <w:r>
              <w:rPr>
                <w:rFonts w:hint="eastAsia" w:hAnsi="宋体" w:cs="宋体"/>
                <w:kern w:val="0"/>
              </w:rPr>
              <w:t>类似业绩</w:t>
            </w:r>
          </w:p>
        </w:tc>
        <w:tc>
          <w:tcPr>
            <w:tcW w:w="475" w:type="pct"/>
            <w:vAlign w:val="center"/>
          </w:tcPr>
          <w:p w14:paraId="7A040B7A">
            <w:pPr>
              <w:pStyle w:val="14"/>
              <w:jc w:val="center"/>
              <w:rPr>
                <w:rFonts w:hAnsi="宋体" w:cs="宋体"/>
                <w:kern w:val="0"/>
              </w:rPr>
            </w:pPr>
            <w:r>
              <w:rPr>
                <w:rFonts w:hint="eastAsia" w:hAnsi="宋体" w:cs="宋体"/>
                <w:kern w:val="0"/>
              </w:rPr>
              <w:t>15</w:t>
            </w:r>
          </w:p>
        </w:tc>
        <w:tc>
          <w:tcPr>
            <w:tcW w:w="5386" w:type="dxa"/>
            <w:vAlign w:val="center"/>
          </w:tcPr>
          <w:p w14:paraId="0CC4127A">
            <w:pPr>
              <w:pStyle w:val="14"/>
              <w:rPr>
                <w:rFonts w:hAnsi="宋体" w:cs="宋体"/>
                <w:kern w:val="0"/>
              </w:rPr>
            </w:pPr>
            <w:r>
              <w:rPr>
                <w:rFonts w:hint="eastAsia" w:hAnsi="宋体" w:cs="宋体"/>
                <w:kern w:val="0"/>
              </w:rPr>
              <w:t>投标人2022年以来（以合同签订时间为准）</w:t>
            </w:r>
            <w:r>
              <w:rPr>
                <w:rFonts w:hint="eastAsia" w:hAnsi="宋体" w:cs="宋体"/>
                <w:kern w:val="0"/>
                <w:lang w:val="en-US" w:eastAsia="zh-CN"/>
              </w:rPr>
              <w:t>组织过类似文化演出活动</w:t>
            </w:r>
            <w:r>
              <w:rPr>
                <w:rFonts w:hint="eastAsia" w:hAnsi="宋体" w:cs="宋体"/>
                <w:kern w:val="0"/>
              </w:rPr>
              <w:t>的业绩，每提供一个业绩得3分，满分15分。（须提供合同复印件，复印件至少包含合同签订主信息页、服务内容页、签章页，未提供或未按要求提供的不得分。）</w:t>
            </w:r>
          </w:p>
        </w:tc>
      </w:tr>
      <w:tr w14:paraId="6844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pct"/>
            <w:vMerge w:val="continue"/>
            <w:vAlign w:val="center"/>
          </w:tcPr>
          <w:p w14:paraId="22F909E9">
            <w:pPr>
              <w:pStyle w:val="14"/>
              <w:jc w:val="center"/>
              <w:rPr>
                <w:rFonts w:hAnsi="宋体" w:cs="宋体"/>
                <w:kern w:val="0"/>
              </w:rPr>
            </w:pPr>
          </w:p>
        </w:tc>
        <w:tc>
          <w:tcPr>
            <w:tcW w:w="1249" w:type="dxa"/>
            <w:tcBorders>
              <w:top w:val="single" w:color="auto" w:sz="4" w:space="0"/>
            </w:tcBorders>
            <w:shd w:val="clear" w:color="auto" w:fill="auto"/>
            <w:vAlign w:val="center"/>
          </w:tcPr>
          <w:p w14:paraId="4A114B9F">
            <w:pPr>
              <w:pStyle w:val="14"/>
              <w:jc w:val="center"/>
              <w:rPr>
                <w:rFonts w:hAnsi="宋体" w:cs="宋体"/>
                <w:kern w:val="0"/>
              </w:rPr>
            </w:pPr>
            <w:r>
              <w:rPr>
                <w:rFonts w:hint="eastAsia" w:hAnsi="宋体" w:cs="宋体"/>
                <w:kern w:val="0"/>
              </w:rPr>
              <w:t>业主评价</w:t>
            </w:r>
          </w:p>
        </w:tc>
        <w:tc>
          <w:tcPr>
            <w:tcW w:w="831" w:type="dxa"/>
            <w:vAlign w:val="center"/>
          </w:tcPr>
          <w:p w14:paraId="4204F7AB">
            <w:pPr>
              <w:pStyle w:val="14"/>
              <w:jc w:val="center"/>
              <w:rPr>
                <w:rFonts w:hAnsi="宋体" w:cs="宋体"/>
                <w:kern w:val="0"/>
              </w:rPr>
            </w:pPr>
            <w:r>
              <w:rPr>
                <w:rFonts w:hint="eastAsia" w:hAnsi="宋体" w:cs="宋体"/>
                <w:kern w:val="0"/>
              </w:rPr>
              <w:t>5</w:t>
            </w:r>
          </w:p>
        </w:tc>
        <w:tc>
          <w:tcPr>
            <w:tcW w:w="5386" w:type="dxa"/>
            <w:vAlign w:val="center"/>
          </w:tcPr>
          <w:p w14:paraId="6C3745D9">
            <w:pPr>
              <w:pStyle w:val="14"/>
              <w:rPr>
                <w:rFonts w:hAnsi="宋体" w:cs="宋体"/>
                <w:kern w:val="0"/>
              </w:rPr>
            </w:pPr>
            <w:r>
              <w:rPr>
                <w:rFonts w:hint="eastAsia" w:hAnsi="宋体" w:cs="宋体"/>
                <w:kern w:val="0"/>
              </w:rPr>
              <w:t>投标人得到</w:t>
            </w:r>
            <w:r>
              <w:rPr>
                <w:rFonts w:hint="eastAsia" w:hAnsi="宋体" w:cs="宋体"/>
                <w:kern w:val="0"/>
                <w:lang w:val="en-US" w:eastAsia="zh-CN"/>
              </w:rPr>
              <w:t>业主</w:t>
            </w:r>
            <w:r>
              <w:rPr>
                <w:rFonts w:hint="eastAsia" w:hAnsi="宋体" w:cs="宋体"/>
                <w:kern w:val="0"/>
              </w:rPr>
              <w:t>正面评价（如“好”、“满意”等）的，每提供一个得</w:t>
            </w:r>
            <w:r>
              <w:rPr>
                <w:rFonts w:hint="eastAsia" w:hAnsi="宋体" w:cs="宋体"/>
                <w:kern w:val="0"/>
                <w:lang w:val="en-US" w:eastAsia="zh-CN"/>
              </w:rPr>
              <w:t>2.5</w:t>
            </w:r>
            <w:r>
              <w:rPr>
                <w:rFonts w:hint="eastAsia" w:hAnsi="宋体" w:cs="宋体"/>
                <w:kern w:val="0"/>
              </w:rPr>
              <w:t>分，最高得5分。</w:t>
            </w:r>
          </w:p>
          <w:p w14:paraId="7F6E7E5C">
            <w:pPr>
              <w:pStyle w:val="14"/>
              <w:rPr>
                <w:rFonts w:hAnsi="宋体" w:cs="宋体"/>
                <w:kern w:val="0"/>
              </w:rPr>
            </w:pPr>
            <w:r>
              <w:rPr>
                <w:rFonts w:hint="eastAsia" w:hAnsi="宋体" w:cs="宋体"/>
                <w:kern w:val="0"/>
              </w:rPr>
              <w:t>证明材料：提供盖</w:t>
            </w:r>
            <w:r>
              <w:rPr>
                <w:rFonts w:hint="eastAsia" w:hAnsi="宋体" w:cs="宋体"/>
                <w:kern w:val="0"/>
                <w:lang w:val="en-US" w:eastAsia="zh-CN"/>
              </w:rPr>
              <w:t>业主</w:t>
            </w:r>
            <w:r>
              <w:rPr>
                <w:rFonts w:hint="eastAsia" w:hAnsi="宋体" w:cs="宋体"/>
                <w:kern w:val="0"/>
              </w:rPr>
              <w:t>单位公章的评价复印件，未提供的不得分。</w:t>
            </w:r>
          </w:p>
        </w:tc>
      </w:tr>
      <w:tr w14:paraId="4A3C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pct"/>
            <w:vMerge w:val="restart"/>
            <w:vAlign w:val="center"/>
          </w:tcPr>
          <w:p w14:paraId="7B4A5B6E">
            <w:pPr>
              <w:pStyle w:val="14"/>
              <w:jc w:val="center"/>
              <w:rPr>
                <w:rFonts w:hAnsi="宋体" w:cs="宋体"/>
                <w:kern w:val="0"/>
              </w:rPr>
            </w:pPr>
            <w:r>
              <w:rPr>
                <w:rFonts w:hint="eastAsia" w:hAnsi="宋体" w:cs="宋体"/>
                <w:kern w:val="0"/>
              </w:rPr>
              <w:t>技术部分</w:t>
            </w:r>
          </w:p>
          <w:p w14:paraId="26B952FC">
            <w:pPr>
              <w:pStyle w:val="14"/>
              <w:jc w:val="center"/>
              <w:rPr>
                <w:rFonts w:hAnsi="宋体" w:cs="宋体"/>
                <w:kern w:val="0"/>
              </w:rPr>
            </w:pPr>
            <w:r>
              <w:rPr>
                <w:rFonts w:hint="eastAsia" w:hAnsi="宋体" w:cs="宋体"/>
                <w:kern w:val="0"/>
              </w:rPr>
              <w:t>（60分）</w:t>
            </w:r>
          </w:p>
        </w:tc>
        <w:tc>
          <w:tcPr>
            <w:tcW w:w="714" w:type="pct"/>
            <w:tcBorders>
              <w:top w:val="single" w:color="auto" w:sz="4" w:space="0"/>
            </w:tcBorders>
            <w:vAlign w:val="center"/>
          </w:tcPr>
          <w:p w14:paraId="1ADFAFAB">
            <w:pPr>
              <w:pStyle w:val="14"/>
              <w:jc w:val="center"/>
              <w:rPr>
                <w:rFonts w:hAnsi="宋体" w:cs="宋体"/>
                <w:kern w:val="0"/>
              </w:rPr>
            </w:pPr>
            <w:r>
              <w:rPr>
                <w:rFonts w:hint="eastAsia" w:hAnsi="宋体" w:cs="宋体"/>
                <w:kern w:val="0"/>
              </w:rPr>
              <w:t>活动策划方案</w:t>
            </w:r>
          </w:p>
        </w:tc>
        <w:tc>
          <w:tcPr>
            <w:tcW w:w="475" w:type="pct"/>
            <w:vAlign w:val="center"/>
          </w:tcPr>
          <w:p w14:paraId="158AF0F2">
            <w:pPr>
              <w:widowControl/>
              <w:spacing w:line="320" w:lineRule="exact"/>
              <w:jc w:val="center"/>
              <w:rPr>
                <w:rFonts w:cs="宋体"/>
                <w:kern w:val="0"/>
                <w:sz w:val="21"/>
                <w:szCs w:val="21"/>
              </w:rPr>
            </w:pPr>
            <w:r>
              <w:rPr>
                <w:rFonts w:hint="eastAsia" w:cs="宋体"/>
                <w:kern w:val="0"/>
                <w:sz w:val="21"/>
                <w:szCs w:val="21"/>
              </w:rPr>
              <w:t>20</w:t>
            </w:r>
          </w:p>
        </w:tc>
        <w:tc>
          <w:tcPr>
            <w:tcW w:w="3079" w:type="pct"/>
            <w:vAlign w:val="center"/>
          </w:tcPr>
          <w:p w14:paraId="3C6765F8">
            <w:pPr>
              <w:pStyle w:val="14"/>
              <w:rPr>
                <w:rFonts w:hAnsi="宋体" w:cs="宋体"/>
                <w:kern w:val="0"/>
              </w:rPr>
            </w:pPr>
            <w:r>
              <w:rPr>
                <w:rFonts w:hint="eastAsia" w:hAnsi="宋体" w:cs="宋体"/>
                <w:kern w:val="0"/>
              </w:rPr>
              <w:t>一、评审内容</w:t>
            </w:r>
          </w:p>
          <w:p w14:paraId="287B47BA">
            <w:pPr>
              <w:pStyle w:val="14"/>
              <w:ind w:firstLine="210" w:firstLineChars="100"/>
              <w:rPr>
                <w:rFonts w:hAnsi="宋体" w:cs="宋体"/>
                <w:kern w:val="0"/>
              </w:rPr>
            </w:pPr>
            <w:r>
              <w:rPr>
                <w:rFonts w:hint="eastAsia" w:hAnsi="宋体" w:cs="宋体"/>
                <w:kern w:val="0"/>
              </w:rPr>
              <w:t>1.</w:t>
            </w:r>
            <w:r>
              <w:rPr>
                <w:rFonts w:hint="eastAsia"/>
                <w:szCs w:val="32"/>
              </w:rPr>
              <w:t>戏曲、舞剧文化惠民系列；</w:t>
            </w:r>
            <w:r>
              <w:rPr>
                <w:rFonts w:hint="eastAsia" w:hAnsi="宋体" w:cs="宋体"/>
                <w:kern w:val="0"/>
              </w:rPr>
              <w:t>（5分）</w:t>
            </w:r>
          </w:p>
          <w:p w14:paraId="7DEA1634">
            <w:pPr>
              <w:pStyle w:val="14"/>
              <w:ind w:firstLine="210" w:firstLineChars="100"/>
              <w:rPr>
                <w:rFonts w:hAnsi="宋体" w:cs="宋体"/>
                <w:kern w:val="0"/>
              </w:rPr>
            </w:pPr>
            <w:r>
              <w:rPr>
                <w:rFonts w:hint="eastAsia" w:hAnsi="宋体" w:cs="宋体"/>
                <w:kern w:val="0"/>
              </w:rPr>
              <w:t>2.</w:t>
            </w:r>
            <w:r>
              <w:rPr>
                <w:rFonts w:hint="eastAsia"/>
                <w:szCs w:val="32"/>
              </w:rPr>
              <w:t>青少年家庭亲子系列</w:t>
            </w:r>
            <w:r>
              <w:rPr>
                <w:rFonts w:hint="eastAsia" w:hAnsi="宋体" w:cs="宋体"/>
                <w:kern w:val="0"/>
              </w:rPr>
              <w:t>；（5分）</w:t>
            </w:r>
          </w:p>
          <w:p w14:paraId="71BB38DF">
            <w:pPr>
              <w:pStyle w:val="14"/>
              <w:ind w:firstLine="210" w:firstLineChars="100"/>
              <w:rPr>
                <w:rFonts w:hAnsi="宋体" w:cs="宋体"/>
                <w:kern w:val="0"/>
              </w:rPr>
            </w:pPr>
            <w:r>
              <w:rPr>
                <w:rFonts w:hint="eastAsia" w:hAnsi="宋体" w:cs="宋体"/>
                <w:kern w:val="0"/>
              </w:rPr>
              <w:t>3.</w:t>
            </w:r>
            <w:r>
              <w:rPr>
                <w:rFonts w:hint="eastAsia"/>
                <w:szCs w:val="32"/>
              </w:rPr>
              <w:t>红色、经典文化惠民系列</w:t>
            </w:r>
            <w:r>
              <w:rPr>
                <w:rFonts w:hint="eastAsia" w:hAnsi="宋体" w:cs="宋体"/>
                <w:kern w:val="0"/>
              </w:rPr>
              <w:t>；（5分）</w:t>
            </w:r>
          </w:p>
          <w:p w14:paraId="36168FC7">
            <w:pPr>
              <w:pStyle w:val="14"/>
              <w:ind w:firstLine="210" w:firstLineChars="100"/>
              <w:rPr>
                <w:rFonts w:hAnsi="宋体" w:cs="宋体"/>
                <w:kern w:val="0"/>
              </w:rPr>
            </w:pPr>
            <w:r>
              <w:rPr>
                <w:rFonts w:hint="eastAsia" w:hAnsi="宋体" w:cs="宋体"/>
                <w:kern w:val="0"/>
              </w:rPr>
              <w:t>4.文化公益工坊系列。（5分）</w:t>
            </w:r>
          </w:p>
          <w:p w14:paraId="7EF2321C">
            <w:pPr>
              <w:pStyle w:val="14"/>
              <w:rPr>
                <w:rFonts w:hAnsi="宋体" w:cs="宋体"/>
                <w:kern w:val="0"/>
              </w:rPr>
            </w:pPr>
            <w:r>
              <w:rPr>
                <w:rFonts w:hint="eastAsia" w:hAnsi="宋体" w:cs="宋体"/>
                <w:kern w:val="0"/>
              </w:rPr>
              <w:t>二、评审标准：</w:t>
            </w:r>
          </w:p>
          <w:p w14:paraId="2E974184">
            <w:pPr>
              <w:pStyle w:val="14"/>
              <w:ind w:firstLine="210" w:firstLineChars="100"/>
              <w:rPr>
                <w:rFonts w:hAnsi="宋体" w:cs="宋体"/>
                <w:kern w:val="0"/>
              </w:rPr>
            </w:pPr>
            <w:r>
              <w:rPr>
                <w:rFonts w:hint="eastAsia" w:hAnsi="宋体" w:cs="宋体"/>
                <w:kern w:val="0"/>
              </w:rPr>
              <w:t>1.符合度：是否进行充分响应，不得提供与本评标项无关内容；</w:t>
            </w:r>
          </w:p>
          <w:p w14:paraId="34F06B0F">
            <w:pPr>
              <w:pStyle w:val="14"/>
              <w:ind w:firstLine="210" w:firstLineChars="100"/>
              <w:rPr>
                <w:rFonts w:hAnsi="宋体" w:cs="宋体"/>
                <w:kern w:val="0"/>
              </w:rPr>
            </w:pPr>
            <w:r>
              <w:rPr>
                <w:rFonts w:hint="eastAsia" w:hAnsi="宋体" w:cs="宋体"/>
                <w:kern w:val="0"/>
              </w:rPr>
              <w:t>2.完整性：需结合整体需求，进行全方面的描述，不得缺项；</w:t>
            </w:r>
          </w:p>
          <w:p w14:paraId="0880F239">
            <w:pPr>
              <w:pStyle w:val="14"/>
              <w:ind w:firstLine="210" w:firstLineChars="100"/>
              <w:rPr>
                <w:rFonts w:hAnsi="宋体" w:cs="宋体"/>
                <w:kern w:val="0"/>
              </w:rPr>
            </w:pPr>
            <w:r>
              <w:rPr>
                <w:rFonts w:hint="eastAsia" w:hAnsi="宋体" w:cs="宋体"/>
                <w:kern w:val="0"/>
              </w:rPr>
              <w:t>3.合理性：需依据本项目阐述，措施可落地。</w:t>
            </w:r>
          </w:p>
          <w:p w14:paraId="0C85339C">
            <w:pPr>
              <w:pStyle w:val="14"/>
              <w:rPr>
                <w:rFonts w:hAnsi="宋体" w:cs="宋体"/>
                <w:kern w:val="0"/>
              </w:rPr>
            </w:pPr>
            <w:r>
              <w:rPr>
                <w:rFonts w:hint="eastAsia" w:hAnsi="宋体" w:cs="宋体"/>
                <w:kern w:val="0"/>
              </w:rPr>
              <w:t>三、给分标准</w:t>
            </w:r>
          </w:p>
          <w:p w14:paraId="56CAE35C">
            <w:pPr>
              <w:pStyle w:val="14"/>
              <w:ind w:firstLine="210" w:firstLineChars="100"/>
              <w:rPr>
                <w:rFonts w:hAnsi="宋体" w:cs="宋体"/>
                <w:kern w:val="0"/>
              </w:rPr>
            </w:pPr>
            <w:r>
              <w:rPr>
                <w:rFonts w:hint="eastAsia" w:hAnsi="宋体" w:cs="宋体"/>
                <w:kern w:val="0"/>
              </w:rPr>
              <w:t>对上述4项评审内容进行打分，每项评审内容完全满足3项评审标准的得5分，满足2项的得3分，满足1项的得1分。最高得20分，不满足或未提供不得分。</w:t>
            </w:r>
          </w:p>
        </w:tc>
      </w:tr>
      <w:tr w14:paraId="3CC0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pct"/>
            <w:vMerge w:val="continue"/>
            <w:vAlign w:val="center"/>
          </w:tcPr>
          <w:p w14:paraId="23DBC32B">
            <w:pPr>
              <w:pStyle w:val="14"/>
              <w:jc w:val="center"/>
              <w:rPr>
                <w:rFonts w:hAnsi="宋体" w:cs="宋体"/>
                <w:kern w:val="0"/>
              </w:rPr>
            </w:pPr>
          </w:p>
        </w:tc>
        <w:tc>
          <w:tcPr>
            <w:tcW w:w="1249" w:type="dxa"/>
            <w:tcBorders>
              <w:top w:val="single" w:color="auto" w:sz="4" w:space="0"/>
            </w:tcBorders>
            <w:vAlign w:val="center"/>
          </w:tcPr>
          <w:p w14:paraId="52DACC49">
            <w:pPr>
              <w:pStyle w:val="14"/>
              <w:jc w:val="center"/>
              <w:rPr>
                <w:rFonts w:hAnsi="宋体" w:cs="宋体"/>
                <w:kern w:val="0"/>
              </w:rPr>
            </w:pPr>
            <w:r>
              <w:rPr>
                <w:rFonts w:hint="eastAsia" w:hAnsi="宋体" w:cs="宋体"/>
                <w:kern w:val="0"/>
              </w:rPr>
              <w:t>活动执行方案</w:t>
            </w:r>
          </w:p>
        </w:tc>
        <w:tc>
          <w:tcPr>
            <w:tcW w:w="831" w:type="dxa"/>
            <w:vAlign w:val="center"/>
          </w:tcPr>
          <w:p w14:paraId="5C883033">
            <w:pPr>
              <w:widowControl/>
              <w:spacing w:line="320" w:lineRule="exact"/>
              <w:jc w:val="center"/>
              <w:rPr>
                <w:rFonts w:cs="宋体"/>
                <w:kern w:val="0"/>
                <w:sz w:val="21"/>
                <w:szCs w:val="21"/>
              </w:rPr>
            </w:pPr>
            <w:r>
              <w:rPr>
                <w:rFonts w:hint="eastAsia" w:cs="宋体"/>
                <w:kern w:val="0"/>
                <w:sz w:val="21"/>
                <w:szCs w:val="21"/>
              </w:rPr>
              <w:t>12</w:t>
            </w:r>
          </w:p>
        </w:tc>
        <w:tc>
          <w:tcPr>
            <w:tcW w:w="5386" w:type="dxa"/>
            <w:vAlign w:val="center"/>
          </w:tcPr>
          <w:p w14:paraId="423E13AB">
            <w:pPr>
              <w:pStyle w:val="14"/>
              <w:rPr>
                <w:rFonts w:hAnsi="宋体" w:cs="宋体"/>
                <w:kern w:val="0"/>
              </w:rPr>
            </w:pPr>
            <w:r>
              <w:rPr>
                <w:rFonts w:hint="eastAsia" w:hAnsi="宋体" w:cs="宋体"/>
                <w:kern w:val="0"/>
              </w:rPr>
              <w:t>一、评审内容</w:t>
            </w:r>
          </w:p>
          <w:p w14:paraId="31F2B2E0">
            <w:pPr>
              <w:pStyle w:val="14"/>
              <w:ind w:firstLine="210" w:firstLineChars="100"/>
              <w:rPr>
                <w:rFonts w:hAnsi="宋体" w:cs="宋体"/>
                <w:kern w:val="0"/>
              </w:rPr>
            </w:pPr>
            <w:r>
              <w:rPr>
                <w:rFonts w:hint="eastAsia" w:hAnsi="宋体" w:cs="宋体"/>
                <w:kern w:val="0"/>
              </w:rPr>
              <w:t>1.各系列活动流程；（</w:t>
            </w:r>
            <w:r>
              <w:rPr>
                <w:rFonts w:hint="eastAsia" w:hAnsi="宋体" w:cs="宋体"/>
                <w:kern w:val="0"/>
                <w:lang w:val="en-US" w:eastAsia="zh-CN"/>
              </w:rPr>
              <w:t>4</w:t>
            </w:r>
            <w:r>
              <w:rPr>
                <w:rFonts w:hint="eastAsia" w:hAnsi="宋体" w:cs="宋体"/>
                <w:kern w:val="0"/>
              </w:rPr>
              <w:t>分）</w:t>
            </w:r>
          </w:p>
          <w:p w14:paraId="370F247A">
            <w:pPr>
              <w:pStyle w:val="14"/>
              <w:ind w:firstLine="210" w:firstLineChars="100"/>
              <w:rPr>
                <w:rFonts w:hAnsi="宋体" w:cs="宋体"/>
                <w:kern w:val="0"/>
              </w:rPr>
            </w:pPr>
            <w:r>
              <w:rPr>
                <w:rFonts w:hint="eastAsia" w:hAnsi="宋体" w:cs="宋体"/>
                <w:kern w:val="0"/>
              </w:rPr>
              <w:t>2.</w:t>
            </w:r>
            <w:r>
              <w:rPr>
                <w:rFonts w:hint="eastAsia" w:hAnsi="宋体" w:cs="宋体"/>
                <w:kern w:val="0"/>
                <w:lang w:val="en-US" w:eastAsia="zh-CN"/>
              </w:rPr>
              <w:t>拟定</w:t>
            </w:r>
            <w:r>
              <w:rPr>
                <w:rFonts w:hint="eastAsia" w:hAnsi="宋体" w:cs="宋体"/>
                <w:kern w:val="0"/>
              </w:rPr>
              <w:t>节目安排</w:t>
            </w:r>
            <w:r>
              <w:rPr>
                <w:rFonts w:hint="eastAsia" w:hAnsi="宋体" w:cs="宋体"/>
                <w:kern w:val="0"/>
                <w:lang w:val="en-US" w:eastAsia="zh-CN"/>
              </w:rPr>
              <w:t>及时间计划</w:t>
            </w:r>
            <w:r>
              <w:rPr>
                <w:rFonts w:hint="eastAsia" w:hAnsi="宋体" w:cs="宋体"/>
                <w:kern w:val="0"/>
              </w:rPr>
              <w:t>；（</w:t>
            </w:r>
            <w:r>
              <w:rPr>
                <w:rFonts w:hint="eastAsia" w:hAnsi="宋体" w:cs="宋体"/>
                <w:kern w:val="0"/>
                <w:lang w:val="en-US" w:eastAsia="zh-CN"/>
              </w:rPr>
              <w:t>4</w:t>
            </w:r>
            <w:r>
              <w:rPr>
                <w:rFonts w:hint="eastAsia" w:hAnsi="宋体" w:cs="宋体"/>
                <w:kern w:val="0"/>
              </w:rPr>
              <w:t>分）</w:t>
            </w:r>
          </w:p>
          <w:p w14:paraId="01891A17">
            <w:pPr>
              <w:pStyle w:val="14"/>
              <w:ind w:firstLine="210" w:firstLineChars="100"/>
              <w:rPr>
                <w:rFonts w:hAnsi="宋体" w:cs="宋体"/>
                <w:kern w:val="0"/>
              </w:rPr>
            </w:pPr>
            <w:r>
              <w:rPr>
                <w:rFonts w:hint="eastAsia" w:hAnsi="宋体" w:cs="宋体"/>
                <w:kern w:val="0"/>
              </w:rPr>
              <w:t>3.工作进展情况。（</w:t>
            </w:r>
            <w:r>
              <w:rPr>
                <w:rFonts w:hint="eastAsia" w:hAnsi="宋体" w:cs="宋体"/>
                <w:kern w:val="0"/>
                <w:lang w:val="en-US" w:eastAsia="zh-CN"/>
              </w:rPr>
              <w:t>4</w:t>
            </w:r>
            <w:r>
              <w:rPr>
                <w:rFonts w:hint="eastAsia" w:hAnsi="宋体" w:cs="宋体"/>
                <w:kern w:val="0"/>
              </w:rPr>
              <w:t>分）</w:t>
            </w:r>
          </w:p>
          <w:p w14:paraId="686758FF">
            <w:pPr>
              <w:pStyle w:val="14"/>
              <w:rPr>
                <w:rFonts w:hAnsi="宋体" w:cs="宋体"/>
                <w:kern w:val="0"/>
              </w:rPr>
            </w:pPr>
            <w:r>
              <w:rPr>
                <w:rFonts w:hint="eastAsia" w:hAnsi="宋体" w:cs="宋体"/>
                <w:kern w:val="0"/>
              </w:rPr>
              <w:t>二、评审标准：</w:t>
            </w:r>
          </w:p>
          <w:p w14:paraId="1F212EF1">
            <w:pPr>
              <w:pStyle w:val="14"/>
              <w:ind w:firstLine="210" w:firstLineChars="100"/>
              <w:rPr>
                <w:rFonts w:hAnsi="宋体" w:cs="宋体"/>
                <w:kern w:val="0"/>
              </w:rPr>
            </w:pPr>
            <w:r>
              <w:rPr>
                <w:rFonts w:hint="eastAsia" w:hAnsi="宋体" w:cs="宋体"/>
                <w:kern w:val="0"/>
              </w:rPr>
              <w:t>1.符合度：是否进行充分响应，不得提供与本评标项无关内容；</w:t>
            </w:r>
          </w:p>
          <w:p w14:paraId="0ADE1EB5">
            <w:pPr>
              <w:pStyle w:val="14"/>
              <w:ind w:firstLine="210" w:firstLineChars="100"/>
              <w:rPr>
                <w:rFonts w:hAnsi="宋体" w:cs="宋体"/>
                <w:kern w:val="0"/>
              </w:rPr>
            </w:pPr>
            <w:r>
              <w:rPr>
                <w:rFonts w:hint="eastAsia" w:hAnsi="宋体" w:cs="宋体"/>
                <w:kern w:val="0"/>
              </w:rPr>
              <w:t>2.完整性：需结合整体需求，进行全方面的描述，不得缺项；</w:t>
            </w:r>
          </w:p>
          <w:p w14:paraId="5E5C83AF">
            <w:pPr>
              <w:pStyle w:val="14"/>
              <w:ind w:firstLine="210" w:firstLineChars="100"/>
              <w:rPr>
                <w:rFonts w:hAnsi="宋体" w:cs="宋体"/>
                <w:kern w:val="0"/>
              </w:rPr>
            </w:pPr>
            <w:r>
              <w:rPr>
                <w:rFonts w:hint="eastAsia" w:hAnsi="宋体" w:cs="宋体"/>
                <w:kern w:val="0"/>
              </w:rPr>
              <w:t>3.合理性：需依据本项目阐述，措施可落地。</w:t>
            </w:r>
          </w:p>
          <w:p w14:paraId="2F8B7890">
            <w:pPr>
              <w:pStyle w:val="14"/>
              <w:rPr>
                <w:rFonts w:hAnsi="宋体" w:cs="宋体"/>
                <w:kern w:val="0"/>
              </w:rPr>
            </w:pPr>
            <w:r>
              <w:rPr>
                <w:rFonts w:hint="eastAsia" w:hAnsi="宋体" w:cs="宋体"/>
                <w:kern w:val="0"/>
              </w:rPr>
              <w:t>三、给分标准</w:t>
            </w:r>
          </w:p>
          <w:p w14:paraId="17C8BB30">
            <w:pPr>
              <w:pStyle w:val="14"/>
              <w:ind w:firstLine="210" w:firstLineChars="100"/>
              <w:rPr>
                <w:rFonts w:hAnsi="宋体" w:cs="宋体"/>
                <w:kern w:val="0"/>
              </w:rPr>
            </w:pPr>
            <w:r>
              <w:rPr>
                <w:rFonts w:hint="eastAsia" w:hAnsi="宋体" w:cs="宋体"/>
                <w:kern w:val="0"/>
              </w:rPr>
              <w:t>对上述4项评审内容进行打分，每项评审内容完全满足3项评审标准的得</w:t>
            </w:r>
            <w:r>
              <w:rPr>
                <w:rFonts w:hint="eastAsia" w:hAnsi="宋体" w:cs="宋体"/>
                <w:kern w:val="0"/>
                <w:lang w:val="en-US" w:eastAsia="zh-CN"/>
              </w:rPr>
              <w:t>4</w:t>
            </w:r>
            <w:r>
              <w:rPr>
                <w:rFonts w:hint="eastAsia" w:hAnsi="宋体" w:cs="宋体"/>
                <w:kern w:val="0"/>
              </w:rPr>
              <w:t>分，满足2项的得2分，满足1项的得1分。最高得12分，不满足或未提供不得分。</w:t>
            </w:r>
          </w:p>
        </w:tc>
      </w:tr>
      <w:tr w14:paraId="2336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vMerge w:val="continue"/>
            <w:vAlign w:val="center"/>
          </w:tcPr>
          <w:p w14:paraId="23881CA6">
            <w:pPr>
              <w:pStyle w:val="14"/>
              <w:jc w:val="center"/>
              <w:rPr>
                <w:rFonts w:hAnsi="宋体" w:cs="宋体"/>
                <w:kern w:val="0"/>
              </w:rPr>
            </w:pPr>
          </w:p>
        </w:tc>
        <w:tc>
          <w:tcPr>
            <w:tcW w:w="714" w:type="pct"/>
            <w:tcBorders>
              <w:top w:val="single" w:color="auto" w:sz="4" w:space="0"/>
            </w:tcBorders>
            <w:vAlign w:val="center"/>
          </w:tcPr>
          <w:p w14:paraId="21849A68">
            <w:pPr>
              <w:pStyle w:val="14"/>
              <w:jc w:val="center"/>
              <w:rPr>
                <w:rFonts w:hAnsi="宋体" w:cs="宋体"/>
                <w:kern w:val="0"/>
              </w:rPr>
            </w:pPr>
            <w:r>
              <w:rPr>
                <w:rFonts w:hint="eastAsia" w:hAnsi="宋体" w:cs="宋体"/>
                <w:kern w:val="0"/>
              </w:rPr>
              <w:t>视觉设计方案</w:t>
            </w:r>
          </w:p>
        </w:tc>
        <w:tc>
          <w:tcPr>
            <w:tcW w:w="475" w:type="pct"/>
            <w:vAlign w:val="center"/>
          </w:tcPr>
          <w:p w14:paraId="7EFDC7C3">
            <w:pPr>
              <w:widowControl/>
              <w:spacing w:line="320" w:lineRule="exact"/>
              <w:jc w:val="center"/>
              <w:rPr>
                <w:rFonts w:cs="宋体"/>
                <w:kern w:val="0"/>
                <w:sz w:val="21"/>
                <w:szCs w:val="21"/>
              </w:rPr>
            </w:pPr>
            <w:r>
              <w:rPr>
                <w:rFonts w:hint="eastAsia" w:cs="宋体"/>
                <w:kern w:val="0"/>
                <w:sz w:val="21"/>
                <w:szCs w:val="21"/>
              </w:rPr>
              <w:t>10</w:t>
            </w:r>
          </w:p>
        </w:tc>
        <w:tc>
          <w:tcPr>
            <w:tcW w:w="3079" w:type="pct"/>
            <w:vAlign w:val="center"/>
          </w:tcPr>
          <w:p w14:paraId="12B289F2">
            <w:pPr>
              <w:pStyle w:val="14"/>
              <w:rPr>
                <w:rFonts w:hAnsi="宋体" w:cs="宋体"/>
                <w:kern w:val="0"/>
              </w:rPr>
            </w:pPr>
            <w:r>
              <w:rPr>
                <w:rFonts w:hint="eastAsia" w:hAnsi="宋体" w:cs="宋体"/>
                <w:kern w:val="0"/>
              </w:rPr>
              <w:t xml:space="preserve">一、评审内容 </w:t>
            </w:r>
          </w:p>
          <w:p w14:paraId="1331E3AF">
            <w:pPr>
              <w:pStyle w:val="14"/>
              <w:ind w:firstLine="210" w:firstLineChars="100"/>
              <w:rPr>
                <w:rFonts w:hAnsi="宋体" w:cs="宋体"/>
                <w:kern w:val="0"/>
              </w:rPr>
            </w:pPr>
            <w:r>
              <w:rPr>
                <w:rFonts w:hint="eastAsia" w:hAnsi="宋体" w:cs="宋体"/>
                <w:kern w:val="0"/>
              </w:rPr>
              <w:t>1.各系列活动主题设计；（5分）</w:t>
            </w:r>
          </w:p>
          <w:p w14:paraId="355E6C1D">
            <w:pPr>
              <w:pStyle w:val="14"/>
              <w:ind w:firstLine="210" w:firstLineChars="100"/>
              <w:rPr>
                <w:rFonts w:hAnsi="宋体" w:cs="宋体"/>
                <w:kern w:val="0"/>
              </w:rPr>
            </w:pPr>
            <w:r>
              <w:rPr>
                <w:rFonts w:hint="eastAsia" w:hAnsi="宋体" w:cs="宋体"/>
                <w:kern w:val="0"/>
              </w:rPr>
              <w:t>2.区域布局设计。（5分）</w:t>
            </w:r>
          </w:p>
          <w:p w14:paraId="79954423">
            <w:pPr>
              <w:pStyle w:val="14"/>
              <w:rPr>
                <w:rFonts w:hAnsi="宋体" w:cs="宋体"/>
                <w:kern w:val="0"/>
              </w:rPr>
            </w:pPr>
            <w:r>
              <w:rPr>
                <w:rFonts w:hint="eastAsia" w:hAnsi="宋体" w:cs="宋体"/>
                <w:kern w:val="0"/>
              </w:rPr>
              <w:t>二、评审标准：</w:t>
            </w:r>
          </w:p>
          <w:p w14:paraId="6067F83F">
            <w:pPr>
              <w:pStyle w:val="14"/>
              <w:ind w:firstLine="210" w:firstLineChars="100"/>
              <w:rPr>
                <w:rFonts w:hAnsi="宋体" w:cs="宋体"/>
                <w:kern w:val="0"/>
              </w:rPr>
            </w:pPr>
            <w:r>
              <w:rPr>
                <w:rFonts w:hint="eastAsia" w:hAnsi="宋体" w:cs="宋体"/>
                <w:kern w:val="0"/>
              </w:rPr>
              <w:t>1.符合度：是否进行充分响应，不得提供与本评标项无关内容；</w:t>
            </w:r>
          </w:p>
          <w:p w14:paraId="18234B22">
            <w:pPr>
              <w:pStyle w:val="14"/>
              <w:ind w:firstLine="210" w:firstLineChars="100"/>
              <w:rPr>
                <w:rFonts w:hAnsi="宋体" w:cs="宋体"/>
                <w:kern w:val="0"/>
              </w:rPr>
            </w:pPr>
            <w:r>
              <w:rPr>
                <w:rFonts w:hint="eastAsia" w:hAnsi="宋体" w:cs="宋体"/>
                <w:kern w:val="0"/>
              </w:rPr>
              <w:t>2.完整性：需结合整体需求，进行全方面的描述，不得缺项；</w:t>
            </w:r>
          </w:p>
          <w:p w14:paraId="461B5113">
            <w:pPr>
              <w:pStyle w:val="14"/>
              <w:ind w:firstLine="210" w:firstLineChars="100"/>
              <w:rPr>
                <w:rFonts w:hAnsi="宋体" w:cs="宋体"/>
                <w:kern w:val="0"/>
              </w:rPr>
            </w:pPr>
            <w:r>
              <w:rPr>
                <w:rFonts w:hint="eastAsia" w:hAnsi="宋体" w:cs="宋体"/>
                <w:kern w:val="0"/>
              </w:rPr>
              <w:t>3.合理性：需依据本项目阐述，措施可落地。</w:t>
            </w:r>
          </w:p>
          <w:p w14:paraId="27AF045C">
            <w:pPr>
              <w:pStyle w:val="14"/>
              <w:rPr>
                <w:rFonts w:hAnsi="宋体" w:cs="宋体"/>
                <w:kern w:val="0"/>
              </w:rPr>
            </w:pPr>
            <w:r>
              <w:rPr>
                <w:rFonts w:hint="eastAsia" w:hAnsi="宋体" w:cs="宋体"/>
                <w:kern w:val="0"/>
              </w:rPr>
              <w:t>三、给分标准</w:t>
            </w:r>
          </w:p>
          <w:p w14:paraId="30D24A6B">
            <w:pPr>
              <w:pStyle w:val="14"/>
              <w:ind w:firstLine="210" w:firstLineChars="100"/>
              <w:rPr>
                <w:rFonts w:hAnsi="宋体" w:cs="宋体"/>
                <w:kern w:val="0"/>
              </w:rPr>
            </w:pPr>
            <w:r>
              <w:rPr>
                <w:rFonts w:hint="eastAsia" w:hAnsi="宋体" w:cs="宋体"/>
                <w:kern w:val="0"/>
              </w:rPr>
              <w:t>对上述2项评审内容进行打分，每项评审内容完全满足3项评审标准的得5分，满足2项的得3分，满足1项的得1分。最高得10分，不满足或未提供不得分。</w:t>
            </w:r>
          </w:p>
        </w:tc>
      </w:tr>
      <w:tr w14:paraId="5FA9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vMerge w:val="continue"/>
            <w:vAlign w:val="center"/>
          </w:tcPr>
          <w:p w14:paraId="60897BDC">
            <w:pPr>
              <w:pStyle w:val="14"/>
              <w:jc w:val="center"/>
              <w:rPr>
                <w:rFonts w:hAnsi="宋体" w:cs="宋体"/>
                <w:kern w:val="0"/>
              </w:rPr>
            </w:pPr>
          </w:p>
        </w:tc>
        <w:tc>
          <w:tcPr>
            <w:tcW w:w="714" w:type="pct"/>
            <w:tcBorders>
              <w:top w:val="single" w:color="auto" w:sz="4" w:space="0"/>
            </w:tcBorders>
            <w:vAlign w:val="center"/>
          </w:tcPr>
          <w:p w14:paraId="5BA29D53">
            <w:pPr>
              <w:pStyle w:val="14"/>
              <w:jc w:val="center"/>
              <w:rPr>
                <w:rFonts w:hAnsi="宋体" w:cs="宋体"/>
                <w:kern w:val="0"/>
              </w:rPr>
            </w:pPr>
            <w:r>
              <w:rPr>
                <w:rFonts w:hint="eastAsia" w:hAnsi="宋体" w:cs="宋体"/>
                <w:kern w:val="0"/>
              </w:rPr>
              <w:t>美陈物料方案</w:t>
            </w:r>
          </w:p>
        </w:tc>
        <w:tc>
          <w:tcPr>
            <w:tcW w:w="475" w:type="pct"/>
            <w:vAlign w:val="center"/>
          </w:tcPr>
          <w:p w14:paraId="15972741">
            <w:pPr>
              <w:widowControl/>
              <w:spacing w:line="320" w:lineRule="exact"/>
              <w:jc w:val="center"/>
              <w:rPr>
                <w:rFonts w:cs="宋体"/>
                <w:kern w:val="0"/>
                <w:sz w:val="21"/>
                <w:szCs w:val="21"/>
              </w:rPr>
            </w:pPr>
            <w:r>
              <w:rPr>
                <w:rFonts w:hint="eastAsia" w:cs="宋体"/>
                <w:kern w:val="0"/>
                <w:sz w:val="21"/>
                <w:szCs w:val="21"/>
              </w:rPr>
              <w:t>6</w:t>
            </w:r>
          </w:p>
        </w:tc>
        <w:tc>
          <w:tcPr>
            <w:tcW w:w="3079" w:type="pct"/>
            <w:vAlign w:val="center"/>
          </w:tcPr>
          <w:p w14:paraId="2E5DF653">
            <w:pPr>
              <w:pStyle w:val="14"/>
              <w:rPr>
                <w:rFonts w:hAnsi="宋体" w:cs="宋体"/>
                <w:kern w:val="0"/>
              </w:rPr>
            </w:pPr>
            <w:r>
              <w:rPr>
                <w:rFonts w:hint="eastAsia" w:hAnsi="宋体" w:cs="宋体"/>
                <w:kern w:val="0"/>
              </w:rPr>
              <w:t>一、评审内容</w:t>
            </w:r>
          </w:p>
          <w:p w14:paraId="39589215">
            <w:pPr>
              <w:pStyle w:val="14"/>
              <w:ind w:firstLine="210" w:firstLineChars="100"/>
              <w:rPr>
                <w:rFonts w:hAnsi="宋体" w:cs="宋体"/>
                <w:kern w:val="0"/>
              </w:rPr>
            </w:pPr>
            <w:r>
              <w:rPr>
                <w:rFonts w:hint="eastAsia" w:hAnsi="宋体" w:cs="宋体"/>
                <w:kern w:val="0"/>
              </w:rPr>
              <w:t>1.各系列活动美陈设计；（3分）</w:t>
            </w:r>
          </w:p>
          <w:p w14:paraId="76F8E3E7">
            <w:pPr>
              <w:pStyle w:val="14"/>
              <w:ind w:firstLine="210" w:firstLineChars="100"/>
              <w:rPr>
                <w:rFonts w:hAnsi="宋体" w:cs="宋体"/>
                <w:kern w:val="0"/>
              </w:rPr>
            </w:pPr>
            <w:r>
              <w:rPr>
                <w:rFonts w:hint="eastAsia" w:hAnsi="宋体" w:cs="宋体"/>
                <w:kern w:val="0"/>
              </w:rPr>
              <w:t>2.各系列活动物料设计方案。（3分）</w:t>
            </w:r>
          </w:p>
          <w:p w14:paraId="5E57A998">
            <w:pPr>
              <w:pStyle w:val="14"/>
              <w:rPr>
                <w:rFonts w:hAnsi="宋体" w:cs="宋体"/>
                <w:kern w:val="0"/>
              </w:rPr>
            </w:pPr>
            <w:r>
              <w:rPr>
                <w:rFonts w:hint="eastAsia" w:hAnsi="宋体" w:cs="宋体"/>
                <w:kern w:val="0"/>
              </w:rPr>
              <w:t>二、评审标准：</w:t>
            </w:r>
          </w:p>
          <w:p w14:paraId="0BC139FE">
            <w:pPr>
              <w:pStyle w:val="14"/>
              <w:ind w:firstLine="210" w:firstLineChars="100"/>
              <w:rPr>
                <w:rFonts w:hAnsi="宋体" w:cs="宋体"/>
                <w:kern w:val="0"/>
              </w:rPr>
            </w:pPr>
            <w:r>
              <w:rPr>
                <w:rFonts w:hint="eastAsia" w:hAnsi="宋体" w:cs="宋体"/>
                <w:kern w:val="0"/>
              </w:rPr>
              <w:t>1.符合度：是否进行充分响应，不得提供与本评标项无关内容；</w:t>
            </w:r>
          </w:p>
          <w:p w14:paraId="57887C62">
            <w:pPr>
              <w:pStyle w:val="14"/>
              <w:ind w:firstLine="210" w:firstLineChars="100"/>
              <w:rPr>
                <w:rFonts w:hAnsi="宋体" w:cs="宋体"/>
                <w:kern w:val="0"/>
              </w:rPr>
            </w:pPr>
            <w:r>
              <w:rPr>
                <w:rFonts w:hint="eastAsia" w:hAnsi="宋体" w:cs="宋体"/>
                <w:kern w:val="0"/>
              </w:rPr>
              <w:t>2.完整性：需结合整体需求，进行全方面的描述，不得缺项；</w:t>
            </w:r>
          </w:p>
          <w:p w14:paraId="250025DD">
            <w:pPr>
              <w:pStyle w:val="14"/>
              <w:ind w:firstLine="210" w:firstLineChars="100"/>
              <w:rPr>
                <w:rFonts w:hAnsi="宋体" w:cs="宋体"/>
                <w:kern w:val="0"/>
              </w:rPr>
            </w:pPr>
            <w:r>
              <w:rPr>
                <w:rFonts w:hint="eastAsia" w:hAnsi="宋体" w:cs="宋体"/>
                <w:kern w:val="0"/>
              </w:rPr>
              <w:t>3.合理性：需依据本项目阐述，措施可落地。</w:t>
            </w:r>
          </w:p>
          <w:p w14:paraId="5096DBE8">
            <w:pPr>
              <w:pStyle w:val="14"/>
              <w:rPr>
                <w:rFonts w:hAnsi="宋体" w:cs="宋体"/>
                <w:kern w:val="0"/>
              </w:rPr>
            </w:pPr>
            <w:r>
              <w:rPr>
                <w:rFonts w:hint="eastAsia" w:hAnsi="宋体" w:cs="宋体"/>
                <w:kern w:val="0"/>
              </w:rPr>
              <w:t>三、给分标准</w:t>
            </w:r>
          </w:p>
          <w:p w14:paraId="05BE91F1">
            <w:pPr>
              <w:pStyle w:val="14"/>
              <w:ind w:firstLine="210" w:firstLineChars="100"/>
              <w:rPr>
                <w:rFonts w:hAnsi="宋体" w:cs="宋体"/>
                <w:kern w:val="0"/>
              </w:rPr>
            </w:pPr>
            <w:r>
              <w:rPr>
                <w:rFonts w:hint="eastAsia" w:hAnsi="宋体" w:cs="宋体"/>
                <w:kern w:val="0"/>
              </w:rPr>
              <w:t>对上述2项评审内容进行打分，每项评审内容完全满足3项评审标准的得3分，满足2项的得2分，满足1项的得1分。最高得6分，不满足或未提供不得分。</w:t>
            </w:r>
          </w:p>
        </w:tc>
      </w:tr>
      <w:tr w14:paraId="6ED7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vMerge w:val="continue"/>
            <w:vAlign w:val="center"/>
          </w:tcPr>
          <w:p w14:paraId="59E9670C">
            <w:pPr>
              <w:pStyle w:val="14"/>
              <w:jc w:val="center"/>
              <w:rPr>
                <w:rFonts w:hAnsi="宋体" w:cs="宋体"/>
                <w:kern w:val="0"/>
              </w:rPr>
            </w:pPr>
          </w:p>
        </w:tc>
        <w:tc>
          <w:tcPr>
            <w:tcW w:w="714" w:type="pct"/>
            <w:tcBorders>
              <w:top w:val="single" w:color="auto" w:sz="4" w:space="0"/>
            </w:tcBorders>
            <w:vAlign w:val="center"/>
          </w:tcPr>
          <w:p w14:paraId="046A4930">
            <w:pPr>
              <w:pStyle w:val="14"/>
              <w:jc w:val="center"/>
              <w:rPr>
                <w:rFonts w:hAnsi="宋体" w:cs="宋体"/>
                <w:kern w:val="0"/>
              </w:rPr>
            </w:pPr>
            <w:r>
              <w:rPr>
                <w:rFonts w:hint="eastAsia" w:hAnsi="宋体" w:cs="宋体"/>
                <w:kern w:val="0"/>
              </w:rPr>
              <w:t>服务质量及进度保证措施</w:t>
            </w:r>
          </w:p>
        </w:tc>
        <w:tc>
          <w:tcPr>
            <w:tcW w:w="810" w:type="dxa"/>
            <w:vAlign w:val="center"/>
          </w:tcPr>
          <w:p w14:paraId="33EB7F8A">
            <w:pPr>
              <w:widowControl/>
              <w:spacing w:line="320" w:lineRule="exact"/>
              <w:jc w:val="center"/>
              <w:rPr>
                <w:rFonts w:cs="宋体"/>
                <w:kern w:val="0"/>
                <w:sz w:val="21"/>
                <w:szCs w:val="21"/>
              </w:rPr>
            </w:pPr>
            <w:r>
              <w:rPr>
                <w:rFonts w:hint="eastAsia" w:cs="宋体"/>
                <w:kern w:val="0"/>
                <w:sz w:val="21"/>
                <w:szCs w:val="21"/>
              </w:rPr>
              <w:t>6</w:t>
            </w:r>
          </w:p>
        </w:tc>
        <w:tc>
          <w:tcPr>
            <w:tcW w:w="5249" w:type="dxa"/>
            <w:vAlign w:val="center"/>
          </w:tcPr>
          <w:p w14:paraId="6E4063EE">
            <w:pPr>
              <w:pStyle w:val="14"/>
              <w:rPr>
                <w:rFonts w:hAnsi="宋体" w:cs="宋体"/>
                <w:kern w:val="0"/>
              </w:rPr>
            </w:pPr>
            <w:r>
              <w:rPr>
                <w:rFonts w:hint="eastAsia" w:hAnsi="宋体" w:cs="宋体"/>
                <w:kern w:val="0"/>
              </w:rPr>
              <w:t>一、评审内容</w:t>
            </w:r>
          </w:p>
          <w:p w14:paraId="138870DC">
            <w:pPr>
              <w:pStyle w:val="14"/>
              <w:ind w:firstLine="210" w:firstLineChars="100"/>
              <w:rPr>
                <w:rFonts w:hAnsi="宋体" w:cs="宋体"/>
                <w:kern w:val="0"/>
              </w:rPr>
            </w:pPr>
            <w:r>
              <w:rPr>
                <w:rFonts w:hint="eastAsia" w:hAnsi="宋体" w:cs="宋体"/>
                <w:kern w:val="0"/>
              </w:rPr>
              <w:t>1.质量管理方案及保证措施；（3分）</w:t>
            </w:r>
          </w:p>
          <w:p w14:paraId="7F7F55BF">
            <w:pPr>
              <w:pStyle w:val="14"/>
              <w:ind w:firstLine="210" w:firstLineChars="100"/>
              <w:rPr>
                <w:rFonts w:hAnsi="宋体" w:cs="宋体"/>
                <w:kern w:val="0"/>
              </w:rPr>
            </w:pPr>
            <w:r>
              <w:rPr>
                <w:rFonts w:hint="eastAsia" w:hAnsi="宋体" w:cs="宋体"/>
                <w:kern w:val="0"/>
              </w:rPr>
              <w:t>2.进度管理方案及保证措施。（3分）</w:t>
            </w:r>
          </w:p>
          <w:p w14:paraId="07599C9E">
            <w:pPr>
              <w:pStyle w:val="14"/>
              <w:rPr>
                <w:rFonts w:hAnsi="宋体" w:cs="宋体"/>
                <w:kern w:val="0"/>
              </w:rPr>
            </w:pPr>
            <w:r>
              <w:rPr>
                <w:rFonts w:hint="eastAsia" w:hAnsi="宋体" w:cs="宋体"/>
                <w:kern w:val="0"/>
              </w:rPr>
              <w:t>二、评审标准：</w:t>
            </w:r>
          </w:p>
          <w:p w14:paraId="364F1ED8">
            <w:pPr>
              <w:pStyle w:val="14"/>
              <w:ind w:firstLine="210" w:firstLineChars="100"/>
              <w:rPr>
                <w:rFonts w:hAnsi="宋体" w:cs="宋体"/>
                <w:kern w:val="0"/>
              </w:rPr>
            </w:pPr>
            <w:r>
              <w:rPr>
                <w:rFonts w:hint="eastAsia" w:hAnsi="宋体" w:cs="宋体"/>
                <w:kern w:val="0"/>
              </w:rPr>
              <w:t>1.符合度：是否进行充分响应，不得提供与本评标项无关内容；</w:t>
            </w:r>
          </w:p>
          <w:p w14:paraId="7467BE5C">
            <w:pPr>
              <w:pStyle w:val="14"/>
              <w:ind w:firstLine="210" w:firstLineChars="100"/>
              <w:rPr>
                <w:rFonts w:hAnsi="宋体" w:cs="宋体"/>
                <w:kern w:val="0"/>
              </w:rPr>
            </w:pPr>
            <w:r>
              <w:rPr>
                <w:rFonts w:hint="eastAsia" w:hAnsi="宋体" w:cs="宋体"/>
                <w:kern w:val="0"/>
              </w:rPr>
              <w:t>2.完整性：需结合整体需求，进行全方面的描述，不得缺项；</w:t>
            </w:r>
          </w:p>
          <w:p w14:paraId="38B44D61">
            <w:pPr>
              <w:pStyle w:val="14"/>
              <w:ind w:firstLine="210" w:firstLineChars="100"/>
              <w:rPr>
                <w:rFonts w:hAnsi="宋体" w:cs="宋体"/>
                <w:kern w:val="0"/>
              </w:rPr>
            </w:pPr>
            <w:r>
              <w:rPr>
                <w:rFonts w:hint="eastAsia" w:hAnsi="宋体" w:cs="宋体"/>
                <w:kern w:val="0"/>
              </w:rPr>
              <w:t>3.合理性：需依据本项目阐述，措施可落地。</w:t>
            </w:r>
          </w:p>
          <w:p w14:paraId="2F5D8C34">
            <w:pPr>
              <w:pStyle w:val="14"/>
              <w:rPr>
                <w:rFonts w:hAnsi="宋体" w:cs="宋体"/>
                <w:kern w:val="0"/>
              </w:rPr>
            </w:pPr>
            <w:r>
              <w:rPr>
                <w:rFonts w:hint="eastAsia" w:hAnsi="宋体" w:cs="宋体"/>
                <w:kern w:val="0"/>
              </w:rPr>
              <w:t>三、给分标准</w:t>
            </w:r>
          </w:p>
          <w:p w14:paraId="057CCD35">
            <w:pPr>
              <w:pStyle w:val="14"/>
              <w:ind w:firstLine="210" w:firstLineChars="100"/>
              <w:rPr>
                <w:rFonts w:hAnsi="宋体" w:cs="宋体"/>
                <w:kern w:val="0"/>
              </w:rPr>
            </w:pPr>
            <w:r>
              <w:rPr>
                <w:rFonts w:hint="eastAsia" w:hAnsi="宋体" w:cs="宋体"/>
                <w:kern w:val="0"/>
              </w:rPr>
              <w:t>对上述2项评审内容进行打分，每项评审内容完全满足3项评审标准的得3分，满足2项的得2分，满足1项的得1分。最高得6分，不满足或未提供不得分。</w:t>
            </w:r>
          </w:p>
        </w:tc>
      </w:tr>
      <w:tr w14:paraId="5306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pct"/>
            <w:vMerge w:val="continue"/>
            <w:vAlign w:val="center"/>
          </w:tcPr>
          <w:p w14:paraId="1A9E848E">
            <w:pPr>
              <w:pStyle w:val="14"/>
              <w:jc w:val="center"/>
              <w:rPr>
                <w:rFonts w:hAnsi="宋体" w:cs="宋体"/>
                <w:kern w:val="0"/>
              </w:rPr>
            </w:pPr>
          </w:p>
        </w:tc>
        <w:tc>
          <w:tcPr>
            <w:tcW w:w="714" w:type="pct"/>
            <w:tcBorders>
              <w:top w:val="single" w:color="auto" w:sz="4" w:space="0"/>
            </w:tcBorders>
            <w:vAlign w:val="center"/>
          </w:tcPr>
          <w:p w14:paraId="3E09D25C">
            <w:pPr>
              <w:pStyle w:val="14"/>
              <w:jc w:val="center"/>
              <w:rPr>
                <w:rFonts w:hAnsi="宋体" w:cs="宋体"/>
                <w:kern w:val="0"/>
              </w:rPr>
            </w:pPr>
            <w:r>
              <w:rPr>
                <w:rFonts w:hint="eastAsia" w:hAnsi="宋体" w:cs="宋体"/>
                <w:kern w:val="0"/>
              </w:rPr>
              <w:t>应急预案</w:t>
            </w:r>
          </w:p>
        </w:tc>
        <w:tc>
          <w:tcPr>
            <w:tcW w:w="475" w:type="pct"/>
            <w:vAlign w:val="center"/>
          </w:tcPr>
          <w:p w14:paraId="320461B6">
            <w:pPr>
              <w:widowControl/>
              <w:spacing w:line="320" w:lineRule="exact"/>
              <w:jc w:val="center"/>
              <w:rPr>
                <w:rFonts w:cs="宋体"/>
                <w:kern w:val="0"/>
                <w:sz w:val="21"/>
                <w:szCs w:val="21"/>
              </w:rPr>
            </w:pPr>
            <w:r>
              <w:rPr>
                <w:rFonts w:hint="eastAsia" w:cs="宋体"/>
                <w:kern w:val="0"/>
                <w:sz w:val="21"/>
                <w:szCs w:val="21"/>
              </w:rPr>
              <w:t>6</w:t>
            </w:r>
          </w:p>
        </w:tc>
        <w:tc>
          <w:tcPr>
            <w:tcW w:w="3079" w:type="pct"/>
            <w:vAlign w:val="center"/>
          </w:tcPr>
          <w:p w14:paraId="627F1906">
            <w:pPr>
              <w:pStyle w:val="14"/>
              <w:rPr>
                <w:rFonts w:hAnsi="宋体" w:cs="宋体"/>
                <w:kern w:val="0"/>
              </w:rPr>
            </w:pPr>
            <w:r>
              <w:rPr>
                <w:rFonts w:hint="eastAsia" w:hAnsi="宋体" w:cs="宋体"/>
                <w:kern w:val="0"/>
              </w:rPr>
              <w:t>一、评审内容</w:t>
            </w:r>
          </w:p>
          <w:p w14:paraId="43C0823A">
            <w:pPr>
              <w:pStyle w:val="14"/>
              <w:ind w:firstLine="210" w:firstLineChars="100"/>
              <w:rPr>
                <w:rFonts w:hAnsi="宋体" w:cs="宋体"/>
                <w:kern w:val="0"/>
              </w:rPr>
            </w:pPr>
            <w:r>
              <w:rPr>
                <w:rFonts w:hint="eastAsia" w:hAnsi="宋体" w:cs="宋体"/>
                <w:kern w:val="0"/>
              </w:rPr>
              <w:t>1.可能出现的突发情况分析；（2分）</w:t>
            </w:r>
          </w:p>
          <w:p w14:paraId="3E40483C">
            <w:pPr>
              <w:pStyle w:val="14"/>
              <w:ind w:firstLine="210" w:firstLineChars="100"/>
              <w:rPr>
                <w:rFonts w:hAnsi="宋体" w:cs="宋体"/>
                <w:kern w:val="0"/>
              </w:rPr>
            </w:pPr>
            <w:r>
              <w:rPr>
                <w:rFonts w:hint="eastAsia" w:hAnsi="宋体" w:cs="宋体"/>
                <w:kern w:val="0"/>
              </w:rPr>
              <w:t>2.应急体系及制度措施；（2分）</w:t>
            </w:r>
          </w:p>
          <w:p w14:paraId="2DB20F55">
            <w:pPr>
              <w:pStyle w:val="14"/>
              <w:ind w:firstLine="210" w:firstLineChars="100"/>
              <w:rPr>
                <w:rFonts w:hAnsi="宋体" w:cs="宋体"/>
                <w:kern w:val="0"/>
              </w:rPr>
            </w:pPr>
            <w:r>
              <w:rPr>
                <w:rFonts w:hint="eastAsia" w:hAnsi="宋体" w:cs="宋体"/>
                <w:kern w:val="0"/>
              </w:rPr>
              <w:t>3.应对突发事件的响应时间承诺。（2分）</w:t>
            </w:r>
          </w:p>
          <w:p w14:paraId="3E252E37">
            <w:pPr>
              <w:pStyle w:val="14"/>
              <w:rPr>
                <w:rFonts w:hAnsi="宋体" w:cs="宋体"/>
                <w:kern w:val="0"/>
              </w:rPr>
            </w:pPr>
            <w:r>
              <w:rPr>
                <w:rFonts w:hint="eastAsia" w:hAnsi="宋体" w:cs="宋体"/>
                <w:kern w:val="0"/>
              </w:rPr>
              <w:t>二、评审标准：</w:t>
            </w:r>
          </w:p>
          <w:p w14:paraId="4A3A32A0">
            <w:pPr>
              <w:pStyle w:val="14"/>
              <w:ind w:firstLine="210" w:firstLineChars="100"/>
              <w:rPr>
                <w:rFonts w:hAnsi="宋体" w:cs="宋体"/>
                <w:kern w:val="0"/>
              </w:rPr>
            </w:pPr>
            <w:r>
              <w:rPr>
                <w:rFonts w:hint="eastAsia" w:hAnsi="宋体" w:cs="宋体"/>
                <w:kern w:val="0"/>
              </w:rPr>
              <w:t>1.符合度：是否进行充分响应，不得提供与本评标项无关内容；</w:t>
            </w:r>
          </w:p>
          <w:p w14:paraId="4A63AA2F">
            <w:pPr>
              <w:pStyle w:val="14"/>
              <w:ind w:firstLine="210" w:firstLineChars="100"/>
              <w:rPr>
                <w:rFonts w:hAnsi="宋体" w:cs="宋体"/>
                <w:kern w:val="0"/>
              </w:rPr>
            </w:pPr>
            <w:r>
              <w:rPr>
                <w:rFonts w:hint="eastAsia" w:hAnsi="宋体" w:cs="宋体"/>
                <w:kern w:val="0"/>
              </w:rPr>
              <w:t>2.完整性：需结合整体需求，进行全方面的描述，不得缺项；</w:t>
            </w:r>
          </w:p>
          <w:p w14:paraId="13A77528">
            <w:pPr>
              <w:pStyle w:val="14"/>
              <w:ind w:firstLine="210" w:firstLineChars="100"/>
              <w:rPr>
                <w:rFonts w:hAnsi="宋体" w:cs="宋体"/>
                <w:kern w:val="0"/>
              </w:rPr>
            </w:pPr>
            <w:r>
              <w:rPr>
                <w:rFonts w:hint="eastAsia" w:hAnsi="宋体" w:cs="宋体"/>
                <w:kern w:val="0"/>
              </w:rPr>
              <w:t>3.合理性：需依据本项目阐述，措施可落地。</w:t>
            </w:r>
          </w:p>
          <w:p w14:paraId="6BCA35E4">
            <w:pPr>
              <w:pStyle w:val="14"/>
              <w:rPr>
                <w:rFonts w:hAnsi="宋体" w:cs="宋体"/>
                <w:kern w:val="0"/>
              </w:rPr>
            </w:pPr>
            <w:r>
              <w:rPr>
                <w:rFonts w:hint="eastAsia" w:hAnsi="宋体" w:cs="宋体"/>
                <w:kern w:val="0"/>
              </w:rPr>
              <w:t>三、给分标准</w:t>
            </w:r>
          </w:p>
          <w:p w14:paraId="60E43E44">
            <w:pPr>
              <w:pStyle w:val="14"/>
              <w:ind w:firstLine="210" w:firstLineChars="100"/>
              <w:rPr>
                <w:rFonts w:hAnsi="宋体" w:cs="宋体"/>
                <w:kern w:val="0"/>
              </w:rPr>
            </w:pPr>
            <w:r>
              <w:rPr>
                <w:rFonts w:hint="eastAsia" w:hAnsi="宋体" w:cs="宋体"/>
                <w:kern w:val="0"/>
              </w:rPr>
              <w:t>对上述4项评审内容进行打分，每项评审内容完全满足3项评审标准的得2分，满足2项的得1分，满足1项的得0.5分。最高得6分，不满足或未提供不得分。</w:t>
            </w:r>
          </w:p>
        </w:tc>
      </w:tr>
      <w:tr w14:paraId="14BF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5" w:type="pct"/>
            <w:gridSpan w:val="2"/>
            <w:vAlign w:val="center"/>
          </w:tcPr>
          <w:p w14:paraId="19B8AC87">
            <w:pPr>
              <w:pStyle w:val="14"/>
              <w:jc w:val="center"/>
              <w:rPr>
                <w:rFonts w:hAnsi="宋体" w:cs="宋体"/>
                <w:kern w:val="0"/>
              </w:rPr>
            </w:pPr>
            <w:r>
              <w:rPr>
                <w:rFonts w:hint="eastAsia" w:hAnsi="宋体" w:cs="宋体"/>
                <w:kern w:val="0"/>
              </w:rPr>
              <w:t>合计</w:t>
            </w:r>
          </w:p>
        </w:tc>
        <w:tc>
          <w:tcPr>
            <w:tcW w:w="475" w:type="pct"/>
            <w:tcBorders>
              <w:bottom w:val="single" w:color="auto" w:sz="4" w:space="0"/>
            </w:tcBorders>
            <w:vAlign w:val="center"/>
          </w:tcPr>
          <w:p w14:paraId="0A13C0D0">
            <w:pPr>
              <w:pStyle w:val="14"/>
              <w:jc w:val="center"/>
              <w:rPr>
                <w:rFonts w:hAnsi="宋体" w:cs="宋体"/>
                <w:kern w:val="0"/>
              </w:rPr>
            </w:pPr>
            <w:r>
              <w:rPr>
                <w:rFonts w:hint="eastAsia" w:hAnsi="宋体" w:cs="宋体"/>
                <w:kern w:val="0"/>
              </w:rPr>
              <w:fldChar w:fldCharType="begin"/>
            </w:r>
            <w:r>
              <w:rPr>
                <w:rFonts w:hint="eastAsia" w:hAnsi="宋体" w:cs="宋体"/>
                <w:kern w:val="0"/>
              </w:rPr>
              <w:instrText xml:space="preserve"> =SUM(ABOVE) </w:instrText>
            </w:r>
            <w:r>
              <w:rPr>
                <w:rFonts w:hint="eastAsia" w:hAnsi="宋体" w:cs="宋体"/>
                <w:kern w:val="0"/>
              </w:rPr>
              <w:fldChar w:fldCharType="separate"/>
            </w:r>
            <w:r>
              <w:rPr>
                <w:rFonts w:hint="eastAsia" w:hAnsi="宋体" w:cs="宋体"/>
                <w:kern w:val="0"/>
              </w:rPr>
              <w:t>100</w:t>
            </w:r>
            <w:r>
              <w:rPr>
                <w:rFonts w:hint="eastAsia" w:hAnsi="宋体" w:cs="宋体"/>
                <w:kern w:val="0"/>
              </w:rPr>
              <w:fldChar w:fldCharType="end"/>
            </w:r>
          </w:p>
        </w:tc>
        <w:tc>
          <w:tcPr>
            <w:tcW w:w="3079" w:type="pct"/>
            <w:tcBorders>
              <w:bottom w:val="single" w:color="auto" w:sz="4" w:space="0"/>
            </w:tcBorders>
            <w:vAlign w:val="center"/>
          </w:tcPr>
          <w:p w14:paraId="2D73CBBE">
            <w:pPr>
              <w:pStyle w:val="45"/>
            </w:pPr>
          </w:p>
        </w:tc>
      </w:tr>
    </w:tbl>
    <w:p w14:paraId="4AD98B4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5.1.10其它：无</w:t>
      </w:r>
    </w:p>
    <w:p w14:paraId="7795B79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5.2 合同管理安排</w:t>
      </w:r>
    </w:p>
    <w:p w14:paraId="67FBB2C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5.2.1合同类型：委托合同</w:t>
      </w:r>
    </w:p>
    <w:p w14:paraId="70EC1EC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选择合同类型的理由：本项目性质为采购人委托服务，因此选择委托合同。</w:t>
      </w:r>
    </w:p>
    <w:p w14:paraId="72C59BED">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5.2.2定价方式：固定总价</w:t>
      </w:r>
    </w:p>
    <w:p w14:paraId="0070CE2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选择定价方式的理由：本项目采购内容客观、明确，专业性较强，因此选择固定总价的定价方式。</w:t>
      </w:r>
    </w:p>
    <w:p w14:paraId="0B3DA5F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5.2.3合同文本的主要条款：详见附件。</w:t>
      </w:r>
    </w:p>
    <w:p w14:paraId="47BC2A2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5.2.4履约验收方案：</w:t>
      </w:r>
    </w:p>
    <w:p w14:paraId="1908D17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采购人按照本项目采购需求、响应承诺等对投标人履约情况进行考核。主要考核内容以合同签订为准。</w:t>
      </w:r>
    </w:p>
    <w:p w14:paraId="605F3DE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5.2.5风险管控措施：</w:t>
      </w:r>
    </w:p>
    <w:p w14:paraId="0B593EFE">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w:t>
      </w:r>
      <w:r>
        <w:rPr>
          <w:rFonts w:hint="eastAsia" w:ascii="宋体" w:hAnsi="宋体" w:eastAsia="宋体" w:cs="宋体"/>
          <w:bCs/>
          <w:sz w:val="24"/>
          <w:lang w:eastAsia="zh-CN"/>
        </w:rPr>
        <w:t>.</w:t>
      </w:r>
      <w:r>
        <w:rPr>
          <w:rFonts w:hint="eastAsia" w:ascii="宋体" w:hAnsi="宋体" w:eastAsia="宋体" w:cs="宋体"/>
          <w:bCs/>
          <w:sz w:val="24"/>
        </w:rPr>
        <w:t>国家政策变化应对措施：如因国家政策变化导致项目无法实施，双方应采取友好协商的办法解决，若协商不成，任何一方均有权向武汉仲裁委员会提出仲裁申请。</w:t>
      </w:r>
    </w:p>
    <w:p w14:paraId="39C2D0C8">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w:t>
      </w:r>
      <w:r>
        <w:rPr>
          <w:rFonts w:hint="eastAsia" w:ascii="宋体" w:hAnsi="宋体" w:eastAsia="宋体" w:cs="宋体"/>
          <w:bCs/>
          <w:sz w:val="24"/>
          <w:lang w:eastAsia="zh-CN"/>
        </w:rPr>
        <w:t>.</w:t>
      </w:r>
      <w:r>
        <w:rPr>
          <w:rFonts w:hint="eastAsia" w:ascii="宋体" w:hAnsi="宋体" w:eastAsia="宋体" w:cs="宋体"/>
          <w:bCs/>
          <w:sz w:val="24"/>
        </w:rPr>
        <w:t>实施环境变化应对措施：项目开展过程中，如因特殊情况导致相关内容无法实施时，应向采购人报告后，优先寻求合适的变更方式继续实施服务。</w:t>
      </w:r>
    </w:p>
    <w:p w14:paraId="23D2EB19">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lang w:eastAsia="zh-CN"/>
        </w:rPr>
        <w:t>.</w:t>
      </w:r>
      <w:r>
        <w:rPr>
          <w:rFonts w:hint="eastAsia" w:ascii="宋体" w:hAnsi="宋体" w:eastAsia="宋体" w:cs="宋体"/>
          <w:bCs/>
          <w:sz w:val="24"/>
        </w:rPr>
        <w:t>重大技术变化应对措施：如因重大技术变化导致实施内容存在安全隐患时，应聘请专业机构进行风险评估，如评估不通过，则双方应友好协商解决办法。</w:t>
      </w:r>
    </w:p>
    <w:p w14:paraId="01B1EA92">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w:t>
      </w:r>
      <w:r>
        <w:rPr>
          <w:rFonts w:hint="eastAsia" w:ascii="宋体" w:hAnsi="宋体" w:eastAsia="宋体" w:cs="宋体"/>
          <w:bCs/>
          <w:sz w:val="24"/>
          <w:lang w:eastAsia="zh-CN"/>
        </w:rPr>
        <w:t>.</w:t>
      </w:r>
      <w:r>
        <w:rPr>
          <w:rFonts w:hint="eastAsia" w:ascii="宋体" w:hAnsi="宋体" w:eastAsia="宋体" w:cs="宋体"/>
          <w:bCs/>
          <w:sz w:val="24"/>
        </w:rPr>
        <w:t>预算项目调整应对措施：在项目准备阶段会充分做好前期调查工作，确保项目预算的合理性与准确性，如项目预算因客观原因需要进行调整，会立即组织开展需求调整工作，优先保障重点工作，确保项目重心不偏移。</w:t>
      </w:r>
    </w:p>
    <w:p w14:paraId="1BFB7331">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w:t>
      </w:r>
      <w:r>
        <w:rPr>
          <w:rFonts w:hint="eastAsia" w:ascii="宋体" w:hAnsi="宋体" w:eastAsia="宋体" w:cs="宋体"/>
          <w:bCs/>
          <w:sz w:val="24"/>
          <w:lang w:eastAsia="zh-CN"/>
        </w:rPr>
        <w:t>.</w:t>
      </w:r>
      <w:r>
        <w:rPr>
          <w:rFonts w:hint="eastAsia" w:ascii="宋体" w:hAnsi="宋体" w:eastAsia="宋体" w:cs="宋体"/>
          <w:bCs/>
          <w:sz w:val="24"/>
        </w:rPr>
        <w:t>因质疑投诉影响采购进度应对措施：项目前期准备阶段，会严格按照实际需要拟定采购需求，确保需求的准确性与可行性，保证磋商文件合法合规，如确因质疑投诉影响采购进度，会优先与质疑方沟通了解实际情况，然后根据质疑投诉内容分析原因，力求快速达成双方均认可的处理结果。</w:t>
      </w:r>
    </w:p>
    <w:p w14:paraId="54895319">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w:t>
      </w:r>
      <w:r>
        <w:rPr>
          <w:rFonts w:hint="eastAsia" w:ascii="宋体" w:hAnsi="宋体" w:eastAsia="宋体" w:cs="宋体"/>
          <w:bCs/>
          <w:sz w:val="24"/>
          <w:lang w:eastAsia="zh-CN"/>
        </w:rPr>
        <w:t>.</w:t>
      </w:r>
      <w:r>
        <w:rPr>
          <w:rFonts w:hint="eastAsia" w:ascii="宋体" w:hAnsi="宋体" w:eastAsia="宋体" w:cs="宋体"/>
          <w:bCs/>
          <w:sz w:val="24"/>
        </w:rPr>
        <w:t>采购失败应对措施：</w:t>
      </w:r>
    </w:p>
    <w:p w14:paraId="25F8B705">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1</w:t>
      </w:r>
      <w:r>
        <w:rPr>
          <w:rFonts w:hint="eastAsia" w:ascii="宋体" w:hAnsi="宋体" w:eastAsia="宋体" w:cs="宋体"/>
          <w:bCs/>
          <w:sz w:val="24"/>
          <w:lang w:eastAsia="zh-CN"/>
        </w:rPr>
        <w:t>）</w:t>
      </w:r>
      <w:r>
        <w:rPr>
          <w:rFonts w:hint="eastAsia" w:ascii="宋体" w:hAnsi="宋体" w:eastAsia="宋体" w:cs="宋体"/>
          <w:bCs/>
          <w:sz w:val="24"/>
        </w:rPr>
        <w:t>采购人在签订合同时，应严格执行内部财务管理审批程序，及时发现并纠正不按采购文件确定事项签订合同的行为。</w:t>
      </w:r>
    </w:p>
    <w:p w14:paraId="473D5677">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2</w:t>
      </w:r>
      <w:r>
        <w:rPr>
          <w:rFonts w:hint="eastAsia" w:ascii="宋体" w:hAnsi="宋体" w:eastAsia="宋体" w:cs="宋体"/>
          <w:bCs/>
          <w:sz w:val="24"/>
          <w:lang w:eastAsia="zh-CN"/>
        </w:rPr>
        <w:t>）</w:t>
      </w:r>
      <w:r>
        <w:rPr>
          <w:rFonts w:hint="eastAsia" w:ascii="宋体" w:hAnsi="宋体" w:eastAsia="宋体" w:cs="宋体"/>
          <w:bCs/>
          <w:sz w:val="24"/>
        </w:rPr>
        <w:t>代理机构要精心指导，加强合同管理。采购代理机构要发挥行业专业优势，精心指导采购人与成交供应商严格按照</w:t>
      </w:r>
      <w:r>
        <w:rPr>
          <w:rFonts w:hint="eastAsia" w:ascii="宋体" w:hAnsi="宋体" w:eastAsia="宋体" w:cs="宋体"/>
          <w:bCs/>
          <w:sz w:val="24"/>
          <w:lang w:eastAsia="zh-CN"/>
        </w:rPr>
        <w:t>招标</w:t>
      </w:r>
      <w:r>
        <w:rPr>
          <w:rFonts w:hint="eastAsia" w:ascii="宋体" w:hAnsi="宋体" w:eastAsia="宋体" w:cs="宋体"/>
          <w:bCs/>
          <w:sz w:val="24"/>
        </w:rPr>
        <w:t>文件和</w:t>
      </w:r>
      <w:r>
        <w:rPr>
          <w:rFonts w:hint="eastAsia" w:ascii="宋体" w:hAnsi="宋体" w:eastAsia="宋体" w:cs="宋体"/>
          <w:bCs/>
          <w:sz w:val="24"/>
          <w:lang w:eastAsia="zh-CN"/>
        </w:rPr>
        <w:t>投标</w:t>
      </w:r>
      <w:r>
        <w:rPr>
          <w:rFonts w:hint="eastAsia" w:ascii="宋体" w:hAnsi="宋体" w:eastAsia="宋体" w:cs="宋体"/>
          <w:bCs/>
          <w:sz w:val="24"/>
        </w:rPr>
        <w:t>文件的约定事项签订政府采购合同。对合同履约中存在的问题和风险，要给采购人及时指出，帮助采购人补齐短板。</w:t>
      </w:r>
    </w:p>
    <w:p w14:paraId="2C5A06AA">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7</w:t>
      </w:r>
      <w:r>
        <w:rPr>
          <w:rFonts w:hint="eastAsia" w:ascii="宋体" w:hAnsi="宋体" w:eastAsia="宋体" w:cs="宋体"/>
          <w:bCs/>
          <w:sz w:val="24"/>
          <w:lang w:eastAsia="zh-CN"/>
        </w:rPr>
        <w:t>.</w:t>
      </w:r>
      <w:r>
        <w:rPr>
          <w:rFonts w:hint="eastAsia" w:ascii="宋体" w:hAnsi="宋体" w:eastAsia="宋体" w:cs="宋体"/>
          <w:bCs/>
          <w:sz w:val="24"/>
        </w:rPr>
        <w:t>不按规定签订或者履行合同应对措施：行政主管部门对不按采购文件签订合同的采购人和无正当理由拒签合同的供应商依法惩处。</w:t>
      </w:r>
    </w:p>
    <w:p w14:paraId="08A4C589">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8</w:t>
      </w:r>
      <w:r>
        <w:rPr>
          <w:rFonts w:hint="eastAsia" w:ascii="宋体" w:hAnsi="宋体" w:eastAsia="宋体" w:cs="宋体"/>
          <w:bCs/>
          <w:sz w:val="24"/>
          <w:lang w:eastAsia="zh-CN"/>
        </w:rPr>
        <w:t>.</w:t>
      </w:r>
      <w:r>
        <w:rPr>
          <w:rFonts w:hint="eastAsia" w:ascii="宋体" w:hAnsi="宋体" w:eastAsia="宋体" w:cs="宋体"/>
          <w:bCs/>
          <w:sz w:val="24"/>
        </w:rPr>
        <w:t>出现损害国家利益和社会公共利益情形应对措施：</w:t>
      </w:r>
    </w:p>
    <w:p w14:paraId="35E2D041">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项目实施全程将对成交供应商实施安全、质量和社会影响进行监督和把控，如项目实施过程中存在损害国家利益和社会公共利益的行为，采购人将根据合同条款进行处罚，情节严重者，直接终止合同。</w:t>
      </w:r>
    </w:p>
    <w:p w14:paraId="7DCFDD3A">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5.1.6其他：无</w:t>
      </w:r>
    </w:p>
    <w:p w14:paraId="394096BA">
      <w:pPr>
        <w:pStyle w:val="5"/>
        <w:spacing w:line="360" w:lineRule="auto"/>
        <w:ind w:firstLine="482" w:firstLineChars="200"/>
        <w:rPr>
          <w:rFonts w:ascii="宋体" w:hAnsi="宋体" w:eastAsia="宋体" w:cs="宋体"/>
          <w:sz w:val="24"/>
        </w:rPr>
      </w:pPr>
      <w:r>
        <w:rPr>
          <w:rFonts w:hint="eastAsia" w:ascii="宋体" w:hAnsi="宋体" w:eastAsia="宋体" w:cs="宋体"/>
          <w:sz w:val="24"/>
        </w:rPr>
        <w:t>六、审查情况</w:t>
      </w:r>
    </w:p>
    <w:p w14:paraId="7290B74A">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6.1审查意见</w:t>
      </w:r>
    </w:p>
    <w:p w14:paraId="04FD90C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6.1.1 对采购需求的审查意见：详见专家咨询审核意见。</w:t>
      </w:r>
    </w:p>
    <w:p w14:paraId="1AA105B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6.1.2 对采购实施计划的审查意见：详见专家咨询审核意见。</w:t>
      </w:r>
    </w:p>
    <w:p w14:paraId="197828C0">
      <w:pPr>
        <w:rPr>
          <w:rFonts w:hint="eastAsia" w:ascii="宋体" w:hAnsi="宋体" w:eastAsia="宋体" w:cs="宋体"/>
          <w:sz w:val="24"/>
        </w:rPr>
      </w:pPr>
      <w:r>
        <w:rPr>
          <w:rFonts w:hint="eastAsia" w:ascii="宋体" w:hAnsi="宋体" w:eastAsia="宋体" w:cs="宋体"/>
          <w:sz w:val="24"/>
        </w:rPr>
        <w:br w:type="page"/>
      </w:r>
    </w:p>
    <w:p w14:paraId="4EAB890D">
      <w:pPr>
        <w:pStyle w:val="5"/>
        <w:spacing w:line="360" w:lineRule="auto"/>
        <w:rPr>
          <w:rFonts w:ascii="宋体" w:hAnsi="宋体" w:eastAsia="宋体" w:cs="宋体"/>
          <w:sz w:val="24"/>
        </w:rPr>
      </w:pPr>
      <w:r>
        <w:rPr>
          <w:rFonts w:hint="eastAsia" w:ascii="宋体" w:hAnsi="宋体" w:eastAsia="宋体" w:cs="宋体"/>
          <w:sz w:val="24"/>
        </w:rPr>
        <w:t>附件：合同文本</w:t>
      </w:r>
    </w:p>
    <w:p w14:paraId="7026875F">
      <w:pPr>
        <w:jc w:val="center"/>
      </w:pPr>
    </w:p>
    <w:p w14:paraId="45864E1C">
      <w:pPr>
        <w:jc w:val="center"/>
      </w:pPr>
      <w:r>
        <w:rPr>
          <w:rFonts w:hint="eastAsia"/>
        </w:rPr>
        <w:t>(此合同条款作为签订正式合同时的参考，最终以甲乙双方签订的合同为准。)</w:t>
      </w:r>
    </w:p>
    <w:p w14:paraId="34C8502C">
      <w:pPr>
        <w:spacing w:line="500" w:lineRule="exact"/>
        <w:jc w:val="center"/>
        <w:rPr>
          <w:color w:val="000000"/>
        </w:rPr>
      </w:pPr>
    </w:p>
    <w:p w14:paraId="019C7B14">
      <w:pPr>
        <w:spacing w:line="480" w:lineRule="exact"/>
        <w:ind w:firstLine="420" w:firstLineChars="200"/>
        <w:rPr>
          <w:rFonts w:cs="宋体"/>
          <w:kern w:val="0"/>
        </w:rPr>
      </w:pPr>
      <w:r>
        <w:rPr>
          <w:rFonts w:hint="eastAsia" w:cs="宋体"/>
          <w:kern w:val="0"/>
        </w:rPr>
        <w:t>甲方（全称）：</w:t>
      </w:r>
    </w:p>
    <w:p w14:paraId="3409260B">
      <w:pPr>
        <w:spacing w:line="480" w:lineRule="exact"/>
        <w:ind w:firstLine="420" w:firstLineChars="200"/>
        <w:rPr>
          <w:rFonts w:cs="宋体"/>
          <w:kern w:val="0"/>
        </w:rPr>
      </w:pPr>
      <w:r>
        <w:rPr>
          <w:rFonts w:hint="eastAsia" w:cs="宋体"/>
          <w:kern w:val="0"/>
        </w:rPr>
        <w:t>乙方（全称）：</w:t>
      </w:r>
    </w:p>
    <w:p w14:paraId="06785EF4">
      <w:pPr>
        <w:spacing w:line="480" w:lineRule="exact"/>
        <w:ind w:firstLine="420" w:firstLineChars="200"/>
        <w:rPr>
          <w:rFonts w:cs="宋体"/>
          <w:kern w:val="0"/>
        </w:rPr>
      </w:pPr>
      <w:r>
        <w:rPr>
          <w:rFonts w:hint="eastAsia" w:cs="宋体"/>
          <w:kern w:val="0"/>
        </w:rPr>
        <w:t>根据《中华人民共和国政府采购法》《中华人民共和国民法典》及其他有关法律、法规，遵循平等、自愿、公平和诚信的原则，双方就下述项目范围与相关服务事项协商一致，订立本合同，以兹共同遵守。</w:t>
      </w:r>
    </w:p>
    <w:p w14:paraId="2C99430A">
      <w:pPr>
        <w:spacing w:line="480" w:lineRule="exact"/>
        <w:ind w:firstLine="422" w:firstLineChars="200"/>
        <w:rPr>
          <w:rFonts w:cs="宋体"/>
          <w:b/>
          <w:bCs/>
          <w:kern w:val="0"/>
        </w:rPr>
      </w:pPr>
      <w:r>
        <w:rPr>
          <w:rFonts w:hint="eastAsia" w:cs="宋体"/>
          <w:b/>
          <w:bCs/>
          <w:kern w:val="0"/>
        </w:rPr>
        <w:t>一、项目概况</w:t>
      </w:r>
    </w:p>
    <w:p w14:paraId="1D645CFE">
      <w:pPr>
        <w:spacing w:line="480" w:lineRule="exact"/>
        <w:ind w:firstLine="420" w:firstLineChars="200"/>
        <w:rPr>
          <w:rFonts w:cs="宋体"/>
          <w:kern w:val="0"/>
        </w:rPr>
      </w:pPr>
      <w:r>
        <w:rPr>
          <w:rFonts w:hint="eastAsia" w:cs="宋体"/>
          <w:kern w:val="0"/>
        </w:rPr>
        <w:t>1.项目名称：</w:t>
      </w:r>
      <w:r>
        <w:rPr>
          <w:rFonts w:hint="eastAsia" w:cs="宋体"/>
          <w:kern w:val="0"/>
          <w:u w:val="single"/>
          <w:lang w:val="en-US" w:eastAsia="zh-CN"/>
        </w:rPr>
        <w:t xml:space="preserve">                                       </w:t>
      </w:r>
    </w:p>
    <w:p w14:paraId="7691BF0C">
      <w:pPr>
        <w:spacing w:line="480" w:lineRule="exact"/>
        <w:ind w:firstLine="420" w:firstLineChars="200"/>
        <w:rPr>
          <w:rFonts w:cs="宋体"/>
          <w:kern w:val="0"/>
        </w:rPr>
      </w:pPr>
      <w:r>
        <w:rPr>
          <w:rFonts w:hint="eastAsia" w:cs="宋体"/>
          <w:kern w:val="0"/>
        </w:rPr>
        <w:t>2.项目地点：</w:t>
      </w:r>
      <w:r>
        <w:rPr>
          <w:rFonts w:hint="eastAsia" w:cs="宋体"/>
          <w:kern w:val="0"/>
          <w:u w:val="single"/>
          <w:lang w:val="en-US" w:eastAsia="zh-CN"/>
        </w:rPr>
        <w:t xml:space="preserve">                                       </w:t>
      </w:r>
    </w:p>
    <w:p w14:paraId="70D8CE54">
      <w:pPr>
        <w:spacing w:line="480" w:lineRule="exact"/>
        <w:ind w:firstLine="420" w:firstLineChars="200"/>
        <w:rPr>
          <w:rFonts w:cs="宋体"/>
          <w:kern w:val="0"/>
        </w:rPr>
      </w:pPr>
      <w:r>
        <w:rPr>
          <w:rFonts w:hint="eastAsia" w:cs="宋体"/>
          <w:kern w:val="0"/>
        </w:rPr>
        <w:t>3.项目内容：</w:t>
      </w:r>
      <w:r>
        <w:rPr>
          <w:rFonts w:hint="eastAsia" w:cs="宋体"/>
          <w:kern w:val="0"/>
          <w:u w:val="single"/>
          <w:lang w:val="en-US" w:eastAsia="zh-CN"/>
        </w:rPr>
        <w:t xml:space="preserve">                                       </w:t>
      </w:r>
    </w:p>
    <w:p w14:paraId="4071FCCE">
      <w:pPr>
        <w:spacing w:line="480" w:lineRule="exact"/>
        <w:ind w:firstLine="422" w:firstLineChars="200"/>
        <w:rPr>
          <w:rFonts w:cs="宋体"/>
          <w:b/>
          <w:bCs/>
          <w:kern w:val="0"/>
        </w:rPr>
      </w:pPr>
      <w:r>
        <w:rPr>
          <w:rFonts w:hint="eastAsia" w:cs="宋体"/>
          <w:b/>
          <w:bCs/>
          <w:kern w:val="0"/>
        </w:rPr>
        <w:t>二、组成本合同的文件</w:t>
      </w:r>
    </w:p>
    <w:p w14:paraId="799DBB3D">
      <w:pPr>
        <w:spacing w:line="480" w:lineRule="exact"/>
        <w:ind w:firstLine="420" w:firstLineChars="200"/>
        <w:rPr>
          <w:rFonts w:cs="宋体"/>
          <w:kern w:val="0"/>
        </w:rPr>
      </w:pPr>
      <w:r>
        <w:rPr>
          <w:rFonts w:hint="eastAsia" w:cs="宋体"/>
          <w:kern w:val="0"/>
        </w:rPr>
        <w:t>1.协议书；</w:t>
      </w:r>
    </w:p>
    <w:p w14:paraId="4F36729A">
      <w:pPr>
        <w:spacing w:line="480" w:lineRule="exact"/>
        <w:ind w:firstLine="420" w:firstLineChars="200"/>
        <w:rPr>
          <w:rFonts w:cs="宋体"/>
          <w:kern w:val="0"/>
        </w:rPr>
      </w:pPr>
      <w:r>
        <w:rPr>
          <w:rFonts w:hint="eastAsia" w:cs="宋体"/>
          <w:kern w:val="0"/>
        </w:rPr>
        <w:t>2.中标通知书、投标文件、招标文件、澄清、招标补充文件（或委托书）；</w:t>
      </w:r>
    </w:p>
    <w:p w14:paraId="25DCC127">
      <w:pPr>
        <w:spacing w:line="480" w:lineRule="exact"/>
        <w:ind w:firstLine="420" w:firstLineChars="200"/>
        <w:rPr>
          <w:rFonts w:cs="宋体"/>
          <w:kern w:val="0"/>
        </w:rPr>
      </w:pPr>
      <w:r>
        <w:rPr>
          <w:rFonts w:hint="eastAsia" w:cs="宋体"/>
          <w:kern w:val="0"/>
        </w:rPr>
        <w:t>3.相关服务建议书；</w:t>
      </w:r>
    </w:p>
    <w:p w14:paraId="219C82BF">
      <w:pPr>
        <w:spacing w:line="480" w:lineRule="exact"/>
        <w:ind w:firstLine="420" w:firstLineChars="200"/>
        <w:rPr>
          <w:rFonts w:cs="宋体"/>
          <w:kern w:val="0"/>
        </w:rPr>
      </w:pPr>
      <w:r>
        <w:rPr>
          <w:rFonts w:hint="eastAsia" w:cs="宋体"/>
          <w:kern w:val="0"/>
        </w:rPr>
        <w:t>4.附录，即：附表内相关服务的范围和内容；</w:t>
      </w:r>
    </w:p>
    <w:p w14:paraId="617DEDE1">
      <w:pPr>
        <w:spacing w:line="480" w:lineRule="exact"/>
        <w:ind w:firstLine="420" w:firstLineChars="200"/>
        <w:rPr>
          <w:rFonts w:cs="宋体"/>
          <w:kern w:val="0"/>
        </w:rPr>
      </w:pPr>
      <w:r>
        <w:rPr>
          <w:rFonts w:hint="eastAsia" w:cs="宋体"/>
          <w:kern w:val="0"/>
        </w:rPr>
        <w:t>本合同签订后，双方依法签订的补充协议也是本合同文件的组成部分。</w:t>
      </w:r>
    </w:p>
    <w:p w14:paraId="3EBDF488">
      <w:pPr>
        <w:spacing w:line="480" w:lineRule="exact"/>
        <w:ind w:firstLine="422" w:firstLineChars="200"/>
        <w:rPr>
          <w:rFonts w:cs="宋体"/>
          <w:b/>
          <w:bCs/>
          <w:kern w:val="0"/>
        </w:rPr>
      </w:pPr>
      <w:r>
        <w:rPr>
          <w:rFonts w:hint="eastAsia" w:cs="宋体"/>
          <w:b/>
          <w:bCs/>
          <w:kern w:val="0"/>
        </w:rPr>
        <w:t>三、合同价款</w:t>
      </w:r>
    </w:p>
    <w:p w14:paraId="63F02223">
      <w:pPr>
        <w:spacing w:line="480" w:lineRule="exact"/>
        <w:ind w:firstLine="420" w:firstLineChars="200"/>
        <w:rPr>
          <w:rFonts w:cs="宋体"/>
          <w:kern w:val="0"/>
        </w:rPr>
      </w:pPr>
      <w:r>
        <w:rPr>
          <w:rFonts w:hint="eastAsia" w:cs="宋体"/>
          <w:kern w:val="0"/>
        </w:rPr>
        <w:t>1.合同金额（大写）：</w:t>
      </w:r>
      <w:r>
        <w:rPr>
          <w:rFonts w:hint="eastAsia" w:cs="宋体"/>
          <w:kern w:val="0"/>
          <w:u w:val="single"/>
          <w:lang w:val="en-US" w:eastAsia="zh-CN"/>
        </w:rPr>
        <w:t xml:space="preserve">                     </w:t>
      </w:r>
      <w:r>
        <w:rPr>
          <w:rFonts w:hint="eastAsia" w:cs="宋体"/>
          <w:kern w:val="0"/>
          <w:u w:val="single"/>
        </w:rPr>
        <w:t>（¥</w:t>
      </w:r>
      <w:r>
        <w:rPr>
          <w:rFonts w:hint="eastAsia" w:cs="宋体"/>
          <w:kern w:val="0"/>
          <w:u w:val="single"/>
          <w:lang w:val="en-US" w:eastAsia="zh-CN"/>
        </w:rPr>
        <w:t xml:space="preserve">            </w:t>
      </w:r>
      <w:r>
        <w:rPr>
          <w:rFonts w:hint="eastAsia" w:cs="宋体"/>
          <w:kern w:val="0"/>
          <w:u w:val="single"/>
        </w:rPr>
        <w:t>）。</w:t>
      </w:r>
    </w:p>
    <w:p w14:paraId="0C579579">
      <w:pPr>
        <w:spacing w:line="480" w:lineRule="exact"/>
        <w:ind w:firstLine="420" w:firstLineChars="200"/>
        <w:rPr>
          <w:rFonts w:cs="宋体"/>
          <w:kern w:val="0"/>
        </w:rPr>
      </w:pPr>
      <w:r>
        <w:rPr>
          <w:rFonts w:hint="eastAsia" w:cs="宋体"/>
          <w:kern w:val="0"/>
        </w:rPr>
        <w:t>2.合同总价即中标价，不受市场价变化的影响。</w:t>
      </w:r>
    </w:p>
    <w:p w14:paraId="3FDC3331">
      <w:pPr>
        <w:spacing w:line="480" w:lineRule="exact"/>
        <w:ind w:firstLine="420" w:firstLineChars="200"/>
        <w:rPr>
          <w:rFonts w:cs="宋体"/>
          <w:kern w:val="0"/>
        </w:rPr>
      </w:pPr>
      <w:r>
        <w:rPr>
          <w:rFonts w:hint="eastAsia" w:cs="宋体"/>
          <w:kern w:val="0"/>
        </w:rPr>
        <w:t xml:space="preserve">3. </w:t>
      </w:r>
      <w:r>
        <w:rPr>
          <w:rFonts w:hint="eastAsia" w:cs="宋体"/>
          <w:kern w:val="0"/>
          <w:u w:val="single"/>
          <w:lang w:val="en-US" w:eastAsia="zh-CN"/>
        </w:rPr>
        <w:t xml:space="preserve">                                       </w:t>
      </w:r>
    </w:p>
    <w:p w14:paraId="2F5C39D6">
      <w:pPr>
        <w:spacing w:line="480" w:lineRule="exact"/>
        <w:ind w:firstLine="422" w:firstLineChars="200"/>
        <w:rPr>
          <w:rFonts w:cs="宋体"/>
          <w:b/>
          <w:bCs/>
          <w:kern w:val="0"/>
        </w:rPr>
      </w:pPr>
      <w:r>
        <w:rPr>
          <w:rFonts w:hint="eastAsia" w:cs="宋体"/>
          <w:b/>
          <w:bCs/>
          <w:kern w:val="0"/>
        </w:rPr>
        <w:t>四、项目服务地点、服务期</w:t>
      </w:r>
    </w:p>
    <w:p w14:paraId="0D2EBAB9">
      <w:pPr>
        <w:spacing w:line="480" w:lineRule="exact"/>
        <w:ind w:firstLine="420" w:firstLineChars="200"/>
        <w:rPr>
          <w:rFonts w:cs="宋体"/>
          <w:kern w:val="0"/>
        </w:rPr>
      </w:pPr>
      <w:r>
        <w:rPr>
          <w:rFonts w:hint="eastAsia" w:cs="宋体"/>
          <w:kern w:val="0"/>
        </w:rPr>
        <w:t>1.服务地点：</w:t>
      </w:r>
      <w:r>
        <w:rPr>
          <w:rFonts w:hint="eastAsia" w:cs="宋体"/>
          <w:kern w:val="0"/>
          <w:u w:val="single"/>
          <w:lang w:val="en-US" w:eastAsia="zh-CN"/>
        </w:rPr>
        <w:t xml:space="preserve">                                       </w:t>
      </w:r>
    </w:p>
    <w:p w14:paraId="0BA65637">
      <w:pPr>
        <w:spacing w:line="480" w:lineRule="exact"/>
        <w:ind w:firstLine="420" w:firstLineChars="200"/>
        <w:rPr>
          <w:rFonts w:hint="default" w:cs="宋体"/>
          <w:kern w:val="0"/>
          <w:u w:val="single"/>
          <w:lang w:val="en-US"/>
        </w:rPr>
      </w:pPr>
      <w:r>
        <w:rPr>
          <w:rFonts w:hint="eastAsia" w:cs="宋体"/>
          <w:kern w:val="0"/>
        </w:rPr>
        <w:t>2.服务期：</w:t>
      </w:r>
      <w:r>
        <w:rPr>
          <w:rFonts w:hint="eastAsia" w:cs="宋体"/>
          <w:kern w:val="0"/>
          <w:u w:val="single"/>
          <w:lang w:val="en-US" w:eastAsia="zh-CN"/>
        </w:rPr>
        <w:t xml:space="preserve">                                         </w:t>
      </w:r>
    </w:p>
    <w:p w14:paraId="20C295A5">
      <w:pPr>
        <w:spacing w:line="480" w:lineRule="exact"/>
        <w:ind w:firstLine="422" w:firstLineChars="200"/>
        <w:rPr>
          <w:rFonts w:cs="宋体"/>
          <w:b/>
          <w:bCs/>
          <w:kern w:val="0"/>
        </w:rPr>
      </w:pPr>
      <w:r>
        <w:rPr>
          <w:rFonts w:hint="eastAsia" w:cs="宋体"/>
          <w:b/>
          <w:bCs/>
          <w:kern w:val="0"/>
        </w:rPr>
        <w:t>五、付款方式</w:t>
      </w:r>
    </w:p>
    <w:p w14:paraId="541DF2D8">
      <w:pPr>
        <w:spacing w:line="480" w:lineRule="exact"/>
        <w:ind w:firstLine="420" w:firstLineChars="200"/>
        <w:rPr>
          <w:rFonts w:cs="宋体"/>
          <w:kern w:val="0"/>
        </w:rPr>
      </w:pPr>
      <w:r>
        <w:rPr>
          <w:rFonts w:hint="eastAsia" w:cs="宋体"/>
          <w:kern w:val="0"/>
        </w:rPr>
        <w:t>1.由甲方负责结算，在付款前，乙方必须开具合同金额的全额发票给甲方；</w:t>
      </w:r>
    </w:p>
    <w:p w14:paraId="7BF10E5E">
      <w:pPr>
        <w:spacing w:line="480" w:lineRule="exact"/>
        <w:ind w:firstLine="420" w:firstLineChars="200"/>
        <w:rPr>
          <w:rFonts w:cs="宋体"/>
          <w:kern w:val="0"/>
          <w:u w:val="single"/>
        </w:rPr>
      </w:pPr>
      <w:r>
        <w:rPr>
          <w:rFonts w:hint="eastAsia" w:cs="宋体"/>
          <w:kern w:val="0"/>
        </w:rPr>
        <w:t>2.</w:t>
      </w:r>
      <w:r>
        <w:rPr>
          <w:rFonts w:hint="eastAsia" w:cs="宋体"/>
          <w:kern w:val="0"/>
          <w:u w:val="single"/>
          <w:lang w:val="en-US" w:eastAsia="zh-CN"/>
        </w:rPr>
        <w:t xml:space="preserve">                                       </w:t>
      </w:r>
    </w:p>
    <w:p w14:paraId="7B36AAD5">
      <w:pPr>
        <w:spacing w:line="480" w:lineRule="exact"/>
        <w:ind w:firstLine="420" w:firstLineChars="200"/>
        <w:rPr>
          <w:rFonts w:cs="宋体"/>
          <w:kern w:val="0"/>
        </w:rPr>
      </w:pPr>
      <w:r>
        <w:rPr>
          <w:rFonts w:hint="eastAsia" w:cs="宋体"/>
          <w:kern w:val="0"/>
        </w:rPr>
        <w:t>3</w:t>
      </w:r>
      <w:r>
        <w:rPr>
          <w:rFonts w:hint="eastAsia" w:cs="宋体"/>
          <w:kern w:val="0"/>
          <w:lang w:eastAsia="zh-CN"/>
        </w:rPr>
        <w:t>.</w:t>
      </w:r>
      <w:r>
        <w:rPr>
          <w:rFonts w:hint="eastAsia" w:cs="宋体"/>
          <w:kern w:val="0"/>
        </w:rPr>
        <w:t>支付方式：银行转账；</w:t>
      </w:r>
    </w:p>
    <w:p w14:paraId="54CF15A6">
      <w:pPr>
        <w:spacing w:line="480" w:lineRule="exact"/>
        <w:ind w:firstLine="420" w:firstLineChars="200"/>
        <w:rPr>
          <w:rFonts w:cs="宋体"/>
          <w:kern w:val="0"/>
        </w:rPr>
      </w:pPr>
      <w:r>
        <w:rPr>
          <w:rFonts w:hint="eastAsia" w:cs="宋体"/>
          <w:kern w:val="0"/>
        </w:rPr>
        <w:t>供应商银行信息如下：</w:t>
      </w:r>
    </w:p>
    <w:p w14:paraId="35D9C824">
      <w:pPr>
        <w:spacing w:line="480" w:lineRule="exact"/>
        <w:ind w:firstLine="420" w:firstLineChars="200"/>
        <w:rPr>
          <w:rFonts w:cs="宋体"/>
          <w:kern w:val="0"/>
        </w:rPr>
      </w:pPr>
      <w:r>
        <w:rPr>
          <w:rFonts w:hint="eastAsia" w:cs="宋体"/>
          <w:kern w:val="0"/>
        </w:rPr>
        <w:t>账户名称：</w:t>
      </w:r>
      <w:r>
        <w:rPr>
          <w:rFonts w:hint="eastAsia" w:cs="宋体"/>
          <w:kern w:val="0"/>
          <w:u w:val="single"/>
          <w:lang w:val="en-US" w:eastAsia="zh-CN"/>
        </w:rPr>
        <w:t xml:space="preserve">                                   </w:t>
      </w:r>
    </w:p>
    <w:p w14:paraId="343C5092">
      <w:pPr>
        <w:spacing w:line="480" w:lineRule="exact"/>
        <w:ind w:firstLine="420" w:firstLineChars="200"/>
        <w:rPr>
          <w:rFonts w:cs="宋体"/>
          <w:kern w:val="0"/>
        </w:rPr>
      </w:pPr>
      <w:r>
        <w:rPr>
          <w:rFonts w:hint="eastAsia" w:cs="宋体"/>
          <w:kern w:val="0"/>
        </w:rPr>
        <w:t>开户行：</w:t>
      </w:r>
      <w:r>
        <w:rPr>
          <w:rFonts w:hint="eastAsia" w:cs="宋体"/>
          <w:kern w:val="0"/>
          <w:u w:val="single"/>
          <w:lang w:val="en-US" w:eastAsia="zh-CN"/>
        </w:rPr>
        <w:t xml:space="preserve">                                     </w:t>
      </w:r>
    </w:p>
    <w:p w14:paraId="66BD2DE1">
      <w:pPr>
        <w:spacing w:line="480" w:lineRule="exact"/>
        <w:ind w:firstLine="420" w:firstLineChars="200"/>
        <w:rPr>
          <w:rFonts w:cs="宋体"/>
          <w:kern w:val="0"/>
        </w:rPr>
      </w:pPr>
      <w:r>
        <w:rPr>
          <w:rFonts w:hint="eastAsia" w:cs="宋体"/>
          <w:kern w:val="0"/>
        </w:rPr>
        <w:t>账号：</w:t>
      </w:r>
      <w:r>
        <w:rPr>
          <w:rFonts w:hint="eastAsia" w:cs="宋体"/>
          <w:kern w:val="0"/>
          <w:u w:val="single"/>
          <w:lang w:val="en-US" w:eastAsia="zh-CN"/>
        </w:rPr>
        <w:t xml:space="preserve">                                       </w:t>
      </w:r>
    </w:p>
    <w:p w14:paraId="2BEC559D">
      <w:pPr>
        <w:spacing w:line="480" w:lineRule="exact"/>
        <w:ind w:firstLine="422" w:firstLineChars="200"/>
        <w:rPr>
          <w:rFonts w:cs="宋体"/>
          <w:b/>
          <w:bCs/>
          <w:kern w:val="0"/>
        </w:rPr>
      </w:pPr>
      <w:r>
        <w:rPr>
          <w:rFonts w:hint="eastAsia" w:cs="宋体"/>
          <w:b/>
          <w:bCs/>
          <w:kern w:val="0"/>
        </w:rPr>
        <w:t>六、违约责任</w:t>
      </w:r>
    </w:p>
    <w:p w14:paraId="69B54A79">
      <w:pPr>
        <w:spacing w:line="480" w:lineRule="exact"/>
        <w:ind w:firstLine="420" w:firstLineChars="200"/>
        <w:rPr>
          <w:rFonts w:cs="宋体"/>
          <w:kern w:val="0"/>
        </w:rPr>
      </w:pPr>
      <w:r>
        <w:rPr>
          <w:rFonts w:hint="eastAsia" w:cs="宋体"/>
          <w:kern w:val="0"/>
        </w:rPr>
        <w:t>1.按《中华人民共和国政府采购法》、《中华人民共和国民法典》中的相关条款执行。</w:t>
      </w:r>
    </w:p>
    <w:p w14:paraId="74D6FF96">
      <w:pPr>
        <w:spacing w:line="480" w:lineRule="exact"/>
        <w:ind w:firstLine="420" w:firstLineChars="200"/>
        <w:rPr>
          <w:rFonts w:cs="宋体"/>
          <w:kern w:val="0"/>
        </w:rPr>
      </w:pPr>
      <w:r>
        <w:rPr>
          <w:rFonts w:hint="eastAsia" w:cs="宋体"/>
          <w:kern w:val="0"/>
        </w:rPr>
        <w:t>2.未按合同或招标文件要求的或者质量不能满足采购人要求的，甲方有权终止合同，甚至对乙方违约行为进行追究。乙方被追究违约责任的，还应赔偿甲方因乙方违约而造成的全部损失（直接损失以及预期利益损失等）以及甲方为维护权益而支出的所有合理费用(该费用包括但不限于差旅费、诉讼费和律师费)。</w:t>
      </w:r>
    </w:p>
    <w:p w14:paraId="368CF410">
      <w:pPr>
        <w:spacing w:line="480" w:lineRule="exact"/>
        <w:ind w:firstLine="420" w:firstLineChars="200"/>
        <w:rPr>
          <w:rFonts w:cs="宋体"/>
          <w:kern w:val="0"/>
        </w:rPr>
      </w:pPr>
      <w:r>
        <w:rPr>
          <w:rFonts w:hint="eastAsia" w:cs="宋体"/>
          <w:kern w:val="0"/>
        </w:rPr>
        <w:t>3.乙方的投标文件为签订正式书面合同书不可分割的部分，投标响应应履行相应的责任。</w:t>
      </w:r>
    </w:p>
    <w:p w14:paraId="549604B9">
      <w:pPr>
        <w:spacing w:line="480" w:lineRule="exact"/>
        <w:ind w:firstLine="420" w:firstLineChars="200"/>
        <w:rPr>
          <w:rFonts w:cs="宋体"/>
          <w:kern w:val="0"/>
        </w:rPr>
      </w:pPr>
      <w:r>
        <w:rPr>
          <w:rFonts w:hint="eastAsia" w:cs="宋体"/>
          <w:kern w:val="0"/>
        </w:rPr>
        <w:t>4.其他：</w:t>
      </w:r>
    </w:p>
    <w:p w14:paraId="5E1954A8">
      <w:pPr>
        <w:spacing w:line="480" w:lineRule="exact"/>
        <w:ind w:firstLine="422" w:firstLineChars="200"/>
        <w:rPr>
          <w:rFonts w:cs="宋体"/>
          <w:b/>
          <w:bCs/>
          <w:kern w:val="0"/>
        </w:rPr>
      </w:pPr>
      <w:r>
        <w:rPr>
          <w:rFonts w:hint="eastAsia" w:cs="宋体"/>
          <w:b/>
          <w:bCs/>
          <w:kern w:val="0"/>
        </w:rPr>
        <w:t>七、考核验收</w:t>
      </w:r>
    </w:p>
    <w:p w14:paraId="523791BB">
      <w:pPr>
        <w:spacing w:line="480" w:lineRule="exact"/>
        <w:ind w:firstLine="420" w:firstLineChars="200"/>
        <w:rPr>
          <w:rFonts w:hint="default" w:cs="宋体" w:eastAsiaTheme="minorEastAsia"/>
          <w:kern w:val="0"/>
          <w:lang w:val="en-US" w:eastAsia="zh-CN"/>
        </w:rPr>
      </w:pPr>
      <w:r>
        <w:rPr>
          <w:rFonts w:hint="eastAsia" w:cs="宋体"/>
          <w:kern w:val="0"/>
        </w:rPr>
        <w:t xml:space="preserve">1. </w:t>
      </w:r>
      <w:r>
        <w:rPr>
          <w:rFonts w:hint="eastAsia" w:cs="宋体"/>
          <w:kern w:val="0"/>
          <w:u w:val="single"/>
          <w:lang w:val="en-US" w:eastAsia="zh-CN"/>
        </w:rPr>
        <w:t xml:space="preserve">                                       </w:t>
      </w:r>
    </w:p>
    <w:p w14:paraId="39CAA571">
      <w:pPr>
        <w:spacing w:line="480" w:lineRule="exact"/>
        <w:ind w:firstLine="420" w:firstLineChars="200"/>
        <w:rPr>
          <w:rFonts w:cs="宋体"/>
          <w:kern w:val="0"/>
          <w:u w:val="single"/>
        </w:rPr>
      </w:pPr>
      <w:r>
        <w:rPr>
          <w:rFonts w:hint="eastAsia" w:cs="宋体"/>
          <w:kern w:val="0"/>
        </w:rPr>
        <w:t xml:space="preserve">2. </w:t>
      </w:r>
      <w:r>
        <w:rPr>
          <w:rFonts w:hint="eastAsia" w:cs="宋体"/>
          <w:kern w:val="0"/>
          <w:u w:val="single"/>
          <w:lang w:val="en-US" w:eastAsia="zh-CN"/>
        </w:rPr>
        <w:t xml:space="preserve">                                       </w:t>
      </w:r>
    </w:p>
    <w:p w14:paraId="32BC3413">
      <w:pPr>
        <w:spacing w:line="480" w:lineRule="exact"/>
        <w:ind w:firstLine="422" w:firstLineChars="200"/>
        <w:rPr>
          <w:rFonts w:cs="宋体"/>
          <w:b/>
          <w:bCs/>
          <w:kern w:val="0"/>
        </w:rPr>
      </w:pPr>
      <w:r>
        <w:rPr>
          <w:rFonts w:hint="eastAsia" w:cs="宋体"/>
          <w:b/>
          <w:bCs/>
          <w:kern w:val="0"/>
        </w:rPr>
        <w:t>八、合同争议的解决</w:t>
      </w:r>
    </w:p>
    <w:p w14:paraId="0AD79784">
      <w:pPr>
        <w:spacing w:line="480" w:lineRule="exact"/>
        <w:ind w:firstLine="420" w:firstLineChars="200"/>
        <w:rPr>
          <w:rFonts w:cs="宋体"/>
          <w:kern w:val="0"/>
        </w:rPr>
      </w:pPr>
      <w:r>
        <w:rPr>
          <w:rFonts w:hint="eastAsia" w:cs="宋体"/>
          <w:kern w:val="0"/>
        </w:rPr>
        <w:t>1.合同执行中发生争议的，当事人双方应协商解决，协商达不成一致时，任何一方可向</w:t>
      </w:r>
      <w:r>
        <w:rPr>
          <w:rFonts w:hint="eastAsia" w:cs="宋体"/>
          <w:kern w:val="0"/>
          <w:u w:val="single"/>
        </w:rPr>
        <w:t>采购人所在地人民法院</w:t>
      </w:r>
      <w:r>
        <w:rPr>
          <w:rFonts w:hint="eastAsia" w:cs="宋体"/>
          <w:kern w:val="0"/>
        </w:rPr>
        <w:t>提请诉讼。</w:t>
      </w:r>
    </w:p>
    <w:p w14:paraId="3DC117E2">
      <w:pPr>
        <w:spacing w:line="480" w:lineRule="exact"/>
        <w:ind w:firstLine="420" w:firstLineChars="200"/>
        <w:rPr>
          <w:rFonts w:cs="宋体"/>
          <w:kern w:val="0"/>
        </w:rPr>
      </w:pPr>
      <w:r>
        <w:rPr>
          <w:rFonts w:hint="eastAsia" w:cs="宋体"/>
          <w:kern w:val="0"/>
        </w:rPr>
        <w:t>2.</w:t>
      </w:r>
    </w:p>
    <w:p w14:paraId="6BD40F86">
      <w:pPr>
        <w:spacing w:line="480" w:lineRule="exact"/>
        <w:ind w:firstLine="422" w:firstLineChars="200"/>
        <w:rPr>
          <w:rFonts w:cs="宋体"/>
          <w:b/>
          <w:bCs/>
          <w:kern w:val="0"/>
        </w:rPr>
      </w:pPr>
      <w:r>
        <w:rPr>
          <w:rFonts w:hint="eastAsia" w:cs="宋体"/>
          <w:b/>
          <w:bCs/>
          <w:kern w:val="0"/>
        </w:rPr>
        <w:t>九、不可抗力情况下的免责约定</w:t>
      </w:r>
    </w:p>
    <w:p w14:paraId="20F6F2B3">
      <w:pPr>
        <w:spacing w:line="480" w:lineRule="exact"/>
        <w:ind w:firstLine="420" w:firstLineChars="200"/>
        <w:rPr>
          <w:rFonts w:cs="宋体"/>
          <w:kern w:val="0"/>
        </w:rPr>
      </w:pPr>
      <w:r>
        <w:rPr>
          <w:rFonts w:hint="eastAsia" w:cs="宋体"/>
          <w:kern w:val="0"/>
        </w:rPr>
        <w:t>双方约定不可抗力情况指：双方不可预见、不可避免、不可克服的客观情况，但不包括双方的违约或疏忽。这些事件包括但不限于：战争、严重火灾、洪水、台风、地震等。发生不可抗力的一方应积极采取紧急措施避免不可抗力给双方造成的损失进一步扩大，否则无权就扩大的损失主张免责。一方违约后发生不可抗力的，发生不可抗力的一方不得主张违约责任的免除。</w:t>
      </w:r>
    </w:p>
    <w:p w14:paraId="056890D2">
      <w:pPr>
        <w:spacing w:line="480" w:lineRule="exact"/>
        <w:ind w:firstLine="422" w:firstLineChars="200"/>
        <w:rPr>
          <w:rFonts w:cs="宋体"/>
          <w:b/>
          <w:bCs/>
          <w:kern w:val="0"/>
        </w:rPr>
      </w:pPr>
      <w:r>
        <w:rPr>
          <w:rFonts w:hint="eastAsia" w:cs="宋体"/>
          <w:b/>
          <w:bCs/>
          <w:kern w:val="0"/>
        </w:rPr>
        <w:t>十、合同订立</w:t>
      </w:r>
    </w:p>
    <w:p w14:paraId="3BD5B9FB">
      <w:pPr>
        <w:spacing w:line="480" w:lineRule="exact"/>
        <w:ind w:firstLine="420" w:firstLineChars="200"/>
        <w:rPr>
          <w:rFonts w:cs="宋体"/>
          <w:kern w:val="0"/>
        </w:rPr>
      </w:pPr>
      <w:r>
        <w:rPr>
          <w:rFonts w:hint="eastAsia" w:cs="宋体"/>
          <w:kern w:val="0"/>
        </w:rPr>
        <w:t>1.订立时间：</w:t>
      </w:r>
      <w:r>
        <w:rPr>
          <w:rFonts w:hint="eastAsia" w:cs="宋体"/>
          <w:kern w:val="0"/>
          <w:u w:val="single"/>
        </w:rPr>
        <w:t xml:space="preserve">    年  月  日</w:t>
      </w:r>
    </w:p>
    <w:p w14:paraId="662E595C">
      <w:pPr>
        <w:spacing w:line="480" w:lineRule="exact"/>
        <w:ind w:firstLine="420" w:firstLineChars="200"/>
        <w:rPr>
          <w:rFonts w:cs="宋体"/>
          <w:kern w:val="0"/>
        </w:rPr>
      </w:pPr>
      <w:r>
        <w:rPr>
          <w:rFonts w:hint="eastAsia" w:cs="宋体"/>
          <w:kern w:val="0"/>
        </w:rPr>
        <w:t>2.订立地点：</w:t>
      </w:r>
    </w:p>
    <w:p w14:paraId="3AC7E544">
      <w:pPr>
        <w:spacing w:line="480" w:lineRule="exact"/>
        <w:ind w:firstLine="420" w:firstLineChars="200"/>
        <w:rPr>
          <w:rFonts w:cs="宋体"/>
          <w:kern w:val="0"/>
        </w:rPr>
      </w:pPr>
      <w:r>
        <w:rPr>
          <w:rFonts w:hint="eastAsia" w:cs="宋体"/>
          <w:kern w:val="0"/>
        </w:rPr>
        <w:t>3.本合同一式份，双方各执份，监管部门备案份，具有同等法律效力。各方签字盖章后生效，合同执行完毕自动失效。（合同的服务承诺则长期有效）。</w:t>
      </w:r>
    </w:p>
    <w:p w14:paraId="4655859F">
      <w:pPr>
        <w:spacing w:line="480" w:lineRule="exact"/>
        <w:ind w:firstLine="403" w:firstLineChars="192"/>
        <w:rPr>
          <w:rFonts w:cs="宋体"/>
          <w:kern w:val="0"/>
        </w:rPr>
      </w:pPr>
    </w:p>
    <w:p w14:paraId="6600548D">
      <w:pPr>
        <w:spacing w:line="480" w:lineRule="exact"/>
        <w:ind w:firstLine="403" w:firstLineChars="192"/>
        <w:rPr>
          <w:rFonts w:cs="宋体"/>
          <w:kern w:val="0"/>
        </w:rPr>
      </w:pPr>
    </w:p>
    <w:p w14:paraId="641A39A8">
      <w:pPr>
        <w:spacing w:line="480" w:lineRule="exact"/>
        <w:ind w:firstLine="403" w:firstLineChars="192"/>
        <w:rPr>
          <w:rFonts w:cs="宋体"/>
          <w:kern w:val="0"/>
        </w:rPr>
      </w:pPr>
      <w:r>
        <w:rPr>
          <w:rFonts w:hint="eastAsia" w:cs="宋体"/>
          <w:kern w:val="0"/>
        </w:rPr>
        <w:t xml:space="preserve">甲方：（盖章）                     乙方：（盖章） </w:t>
      </w:r>
    </w:p>
    <w:p w14:paraId="55C016C0">
      <w:pPr>
        <w:spacing w:line="480" w:lineRule="exact"/>
        <w:ind w:firstLine="403" w:firstLineChars="192"/>
        <w:rPr>
          <w:rFonts w:cs="宋体"/>
          <w:kern w:val="0"/>
        </w:rPr>
      </w:pPr>
      <w:r>
        <w:rPr>
          <w:rFonts w:hint="eastAsia" w:cs="宋体"/>
          <w:kern w:val="0"/>
        </w:rPr>
        <w:t xml:space="preserve">法定代表人：                       法定代表人： </w:t>
      </w:r>
    </w:p>
    <w:p w14:paraId="458250C0">
      <w:pPr>
        <w:spacing w:line="480" w:lineRule="exact"/>
        <w:ind w:firstLine="403" w:firstLineChars="192"/>
        <w:rPr>
          <w:rFonts w:cs="宋体"/>
          <w:kern w:val="0"/>
        </w:rPr>
      </w:pPr>
      <w:r>
        <w:rPr>
          <w:rFonts w:hint="eastAsia" w:cs="宋体"/>
          <w:kern w:val="0"/>
        </w:rPr>
        <w:t xml:space="preserve">委托代理人：                       委托代理人： </w:t>
      </w:r>
    </w:p>
    <w:p w14:paraId="6642BB0C">
      <w:pPr>
        <w:spacing w:line="480" w:lineRule="exact"/>
        <w:ind w:firstLine="403" w:firstLineChars="192"/>
        <w:rPr>
          <w:rFonts w:cs="宋体"/>
          <w:kern w:val="0"/>
        </w:rPr>
      </w:pPr>
      <w:r>
        <w:rPr>
          <w:rFonts w:hint="eastAsia" w:cs="宋体"/>
          <w:kern w:val="0"/>
        </w:rPr>
        <w:t>单位地址：                         单位地址：</w:t>
      </w:r>
    </w:p>
    <w:p w14:paraId="38D8D988">
      <w:pPr>
        <w:spacing w:line="480" w:lineRule="exact"/>
        <w:ind w:firstLine="403" w:firstLineChars="192"/>
        <w:rPr>
          <w:rFonts w:cs="宋体"/>
          <w:kern w:val="0"/>
        </w:rPr>
      </w:pPr>
      <w:r>
        <w:rPr>
          <w:rFonts w:hint="eastAsia" w:cs="宋体"/>
          <w:kern w:val="0"/>
        </w:rPr>
        <w:t>电话：                             电话：</w:t>
      </w:r>
    </w:p>
    <w:p w14:paraId="04ADEEE6">
      <w:pPr>
        <w:widowControl/>
        <w:spacing w:line="520" w:lineRule="exact"/>
        <w:ind w:firstLine="420" w:firstLineChars="200"/>
        <w:rPr>
          <w:rFonts w:hint="eastAsia" w:cs="宋体"/>
          <w:color w:val="000000"/>
          <w:kern w:val="0"/>
          <w:szCs w:val="24"/>
        </w:rPr>
      </w:pPr>
      <w:r>
        <w:rPr>
          <w:rFonts w:hint="eastAsia" w:cs="宋体"/>
          <w:kern w:val="0"/>
        </w:rPr>
        <w:t>日期：                             日期：</w:t>
      </w:r>
    </w:p>
    <w:p w14:paraId="3459F1A7">
      <w:pPr>
        <w:widowControl/>
        <w:spacing w:line="520" w:lineRule="exact"/>
        <w:ind w:firstLine="420" w:firstLineChars="200"/>
        <w:rPr>
          <w:rFonts w:hint="eastAsia" w:cs="宋体"/>
          <w:color w:val="000000"/>
          <w:kern w:val="0"/>
          <w:szCs w:val="24"/>
        </w:rPr>
      </w:pPr>
    </w:p>
    <w:sectPr>
      <w:footerReference r:id="rId3" w:type="default"/>
      <w:pgSz w:w="11906" w:h="16838"/>
      <w:pgMar w:top="1440" w:right="1689" w:bottom="1440" w:left="1689"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CB6D5">
    <w:pPr>
      <w:pStyle w:val="16"/>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43C2D70">
                <w:pPr>
                  <w:pStyle w:val="16"/>
                </w:pPr>
                <w:r>
                  <w:fldChar w:fldCharType="begin"/>
                </w:r>
                <w:r>
                  <w:instrText xml:space="preserve"> PAGE  \* MERGEFORMAT </w:instrText>
                </w:r>
                <w:r>
                  <w:fldChar w:fldCharType="separate"/>
                </w:r>
                <w:r>
                  <w:t>17</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g0NTM1ZmJkM2QzZWE3MjUzZmVkMTQ1ZTM0MjBjMjAifQ=="/>
  </w:docVars>
  <w:rsids>
    <w:rsidRoot w:val="00B00686"/>
    <w:rsid w:val="00002113"/>
    <w:rsid w:val="000A0D1F"/>
    <w:rsid w:val="000F11B0"/>
    <w:rsid w:val="000F59E7"/>
    <w:rsid w:val="001078E8"/>
    <w:rsid w:val="00161BF0"/>
    <w:rsid w:val="00164CF7"/>
    <w:rsid w:val="0023186A"/>
    <w:rsid w:val="002553DC"/>
    <w:rsid w:val="00275419"/>
    <w:rsid w:val="00295CA4"/>
    <w:rsid w:val="002B05EE"/>
    <w:rsid w:val="0039349D"/>
    <w:rsid w:val="003D27E6"/>
    <w:rsid w:val="003D32C2"/>
    <w:rsid w:val="0040686F"/>
    <w:rsid w:val="00433A9D"/>
    <w:rsid w:val="004C33D2"/>
    <w:rsid w:val="004D7594"/>
    <w:rsid w:val="004E45B8"/>
    <w:rsid w:val="00504D37"/>
    <w:rsid w:val="00597023"/>
    <w:rsid w:val="005B6EEC"/>
    <w:rsid w:val="00645975"/>
    <w:rsid w:val="00655453"/>
    <w:rsid w:val="00657F4F"/>
    <w:rsid w:val="00707CE2"/>
    <w:rsid w:val="00735901"/>
    <w:rsid w:val="00760E6A"/>
    <w:rsid w:val="007F2F74"/>
    <w:rsid w:val="008028CB"/>
    <w:rsid w:val="0082713B"/>
    <w:rsid w:val="0087615D"/>
    <w:rsid w:val="0095734E"/>
    <w:rsid w:val="00A00920"/>
    <w:rsid w:val="00A6300F"/>
    <w:rsid w:val="00A730B5"/>
    <w:rsid w:val="00AA0B6D"/>
    <w:rsid w:val="00B00686"/>
    <w:rsid w:val="00B06FE0"/>
    <w:rsid w:val="00B13994"/>
    <w:rsid w:val="00B24A68"/>
    <w:rsid w:val="00B57D85"/>
    <w:rsid w:val="00B82F42"/>
    <w:rsid w:val="00C20D21"/>
    <w:rsid w:val="00C52FA5"/>
    <w:rsid w:val="00CB0252"/>
    <w:rsid w:val="00DA57DB"/>
    <w:rsid w:val="00E0393D"/>
    <w:rsid w:val="00E17D02"/>
    <w:rsid w:val="00E23AB5"/>
    <w:rsid w:val="00E650CD"/>
    <w:rsid w:val="00ED66CE"/>
    <w:rsid w:val="00EF5BA2"/>
    <w:rsid w:val="00FC5881"/>
    <w:rsid w:val="019D0C57"/>
    <w:rsid w:val="03F227E1"/>
    <w:rsid w:val="05C43D4C"/>
    <w:rsid w:val="0A732074"/>
    <w:rsid w:val="0ADA7C77"/>
    <w:rsid w:val="0BEF7709"/>
    <w:rsid w:val="0C4D37DE"/>
    <w:rsid w:val="0CFF3191"/>
    <w:rsid w:val="0E497FFD"/>
    <w:rsid w:val="0FA314C0"/>
    <w:rsid w:val="10345380"/>
    <w:rsid w:val="10387638"/>
    <w:rsid w:val="10C504C0"/>
    <w:rsid w:val="11C06519"/>
    <w:rsid w:val="12015736"/>
    <w:rsid w:val="12C72912"/>
    <w:rsid w:val="14E10DB3"/>
    <w:rsid w:val="14E96776"/>
    <w:rsid w:val="165B001E"/>
    <w:rsid w:val="16A160EB"/>
    <w:rsid w:val="17141F0B"/>
    <w:rsid w:val="17E472D6"/>
    <w:rsid w:val="18906D17"/>
    <w:rsid w:val="1BAD00D3"/>
    <w:rsid w:val="1E3C3A88"/>
    <w:rsid w:val="1EE16859"/>
    <w:rsid w:val="1F2F1D7B"/>
    <w:rsid w:val="1FA37E2C"/>
    <w:rsid w:val="1FC95A64"/>
    <w:rsid w:val="20D777E4"/>
    <w:rsid w:val="219C6B49"/>
    <w:rsid w:val="22695BA8"/>
    <w:rsid w:val="23663A4A"/>
    <w:rsid w:val="24092228"/>
    <w:rsid w:val="2685028B"/>
    <w:rsid w:val="27142F4F"/>
    <w:rsid w:val="274A6DDF"/>
    <w:rsid w:val="279C1C60"/>
    <w:rsid w:val="2A0E0598"/>
    <w:rsid w:val="2ABA6909"/>
    <w:rsid w:val="2AF23182"/>
    <w:rsid w:val="2BA77F7C"/>
    <w:rsid w:val="2BBF2675"/>
    <w:rsid w:val="2C916B31"/>
    <w:rsid w:val="2F0E03A6"/>
    <w:rsid w:val="2F827C01"/>
    <w:rsid w:val="2FA076EB"/>
    <w:rsid w:val="31A80E56"/>
    <w:rsid w:val="31E5683B"/>
    <w:rsid w:val="3212499D"/>
    <w:rsid w:val="32831EFA"/>
    <w:rsid w:val="32B676BC"/>
    <w:rsid w:val="34A65D34"/>
    <w:rsid w:val="35763EBD"/>
    <w:rsid w:val="371F408B"/>
    <w:rsid w:val="375D1D30"/>
    <w:rsid w:val="3A8521B0"/>
    <w:rsid w:val="3C9B2514"/>
    <w:rsid w:val="425D3A13"/>
    <w:rsid w:val="458A0FC3"/>
    <w:rsid w:val="478A34FC"/>
    <w:rsid w:val="483A4602"/>
    <w:rsid w:val="4A230534"/>
    <w:rsid w:val="4BA426B2"/>
    <w:rsid w:val="4C3D5394"/>
    <w:rsid w:val="4D4952BF"/>
    <w:rsid w:val="4FA13493"/>
    <w:rsid w:val="4FDC68BF"/>
    <w:rsid w:val="51B7319D"/>
    <w:rsid w:val="52426781"/>
    <w:rsid w:val="54163314"/>
    <w:rsid w:val="54444A33"/>
    <w:rsid w:val="55EB7FE3"/>
    <w:rsid w:val="5696434F"/>
    <w:rsid w:val="583628E4"/>
    <w:rsid w:val="597B52E3"/>
    <w:rsid w:val="5A3812C5"/>
    <w:rsid w:val="5B6B0AF7"/>
    <w:rsid w:val="5B8E18BA"/>
    <w:rsid w:val="5C19711B"/>
    <w:rsid w:val="5C606182"/>
    <w:rsid w:val="601F26D7"/>
    <w:rsid w:val="623C4445"/>
    <w:rsid w:val="62B83E23"/>
    <w:rsid w:val="638522FB"/>
    <w:rsid w:val="66D521AA"/>
    <w:rsid w:val="674E7C4A"/>
    <w:rsid w:val="69941421"/>
    <w:rsid w:val="6B715934"/>
    <w:rsid w:val="6BAB1CA3"/>
    <w:rsid w:val="6BD61FBC"/>
    <w:rsid w:val="6CF93DAF"/>
    <w:rsid w:val="6FF51DE6"/>
    <w:rsid w:val="71455422"/>
    <w:rsid w:val="71810C1C"/>
    <w:rsid w:val="7253734B"/>
    <w:rsid w:val="734F47B4"/>
    <w:rsid w:val="77A85155"/>
    <w:rsid w:val="783A38D3"/>
    <w:rsid w:val="796A7119"/>
    <w:rsid w:val="7AEA5A84"/>
    <w:rsid w:val="7B0D22D9"/>
    <w:rsid w:val="7B2B2CA0"/>
    <w:rsid w:val="7C2E4033"/>
    <w:rsid w:val="7C4D4A9B"/>
    <w:rsid w:val="7D344D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5"/>
    <w:qFormat/>
    <w:uiPriority w:val="9"/>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line="413" w:lineRule="auto"/>
      <w:outlineLvl w:val="2"/>
    </w:pPr>
    <w:rPr>
      <w:b/>
      <w:sz w:val="32"/>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qFormat/>
    <w:uiPriority w:val="0"/>
    <w:pPr>
      <w:ind w:left="899" w:leftChars="428" w:firstLine="458" w:firstLineChars="218"/>
    </w:pPr>
  </w:style>
  <w:style w:type="paragraph" w:styleId="4">
    <w:name w:val="Body Text"/>
    <w:basedOn w:val="1"/>
    <w:next w:val="1"/>
    <w:unhideWhenUsed/>
    <w:qFormat/>
    <w:uiPriority w:val="99"/>
    <w:pPr>
      <w:spacing w:after="120"/>
    </w:pPr>
  </w:style>
  <w:style w:type="paragraph" w:styleId="9">
    <w:name w:val="index 5"/>
    <w:basedOn w:val="1"/>
    <w:next w:val="1"/>
    <w:qFormat/>
    <w:uiPriority w:val="0"/>
    <w:pPr>
      <w:ind w:left="1680"/>
    </w:pPr>
    <w:rPr>
      <w:rFonts w:ascii="Times New Roman" w:hAnsi="Times New Roman" w:eastAsia="宋体" w:cs="Times New Roman"/>
    </w:rPr>
  </w:style>
  <w:style w:type="paragraph" w:styleId="10">
    <w:name w:val="Document Map"/>
    <w:basedOn w:val="1"/>
    <w:link w:val="41"/>
    <w:qFormat/>
    <w:uiPriority w:val="0"/>
    <w:rPr>
      <w:rFonts w:ascii="宋体" w:eastAsia="宋体"/>
      <w:sz w:val="18"/>
      <w:szCs w:val="18"/>
    </w:rPr>
  </w:style>
  <w:style w:type="paragraph" w:styleId="11">
    <w:name w:val="annotation text"/>
    <w:basedOn w:val="1"/>
    <w:link w:val="42"/>
    <w:qFormat/>
    <w:uiPriority w:val="99"/>
    <w:pPr>
      <w:jc w:val="left"/>
    </w:pPr>
  </w:style>
  <w:style w:type="paragraph" w:styleId="12">
    <w:name w:val="Body Text Indent"/>
    <w:basedOn w:val="1"/>
    <w:next w:val="13"/>
    <w:qFormat/>
    <w:uiPriority w:val="0"/>
    <w:pPr>
      <w:ind w:left="853" w:leftChars="406" w:firstLine="490" w:firstLineChars="204"/>
    </w:pPr>
    <w:rPr>
      <w:rFonts w:ascii="宋体" w:hAnsi="宋体"/>
      <w:sz w:val="24"/>
    </w:rPr>
  </w:style>
  <w:style w:type="paragraph" w:styleId="13">
    <w:name w:val="Body Text First Indent 2"/>
    <w:basedOn w:val="12"/>
    <w:next w:val="1"/>
    <w:qFormat/>
    <w:uiPriority w:val="0"/>
    <w:pPr>
      <w:ind w:firstLine="420"/>
    </w:pPr>
    <w:rPr>
      <w:rFonts w:ascii="Times New Roman" w:hAnsi="Times New Roman" w:eastAsia="仿宋_GB2312" w:cs="Times New Roman"/>
      <w:sz w:val="32"/>
    </w:rPr>
  </w:style>
  <w:style w:type="paragraph" w:styleId="14">
    <w:name w:val="Plain Text"/>
    <w:basedOn w:val="1"/>
    <w:qFormat/>
    <w:uiPriority w:val="0"/>
    <w:rPr>
      <w:rFonts w:ascii="宋体" w:hAnsi="Courier New"/>
      <w:kern w:val="10"/>
      <w:szCs w:val="21"/>
    </w:rPr>
  </w:style>
  <w:style w:type="paragraph" w:styleId="15">
    <w:name w:val="Balloon Text"/>
    <w:basedOn w:val="1"/>
    <w:link w:val="35"/>
    <w:qFormat/>
    <w:uiPriority w:val="0"/>
    <w:rPr>
      <w:sz w:val="18"/>
      <w:szCs w:val="18"/>
    </w:rPr>
  </w:style>
  <w:style w:type="paragraph" w:styleId="16">
    <w:name w:val="footer"/>
    <w:basedOn w:val="1"/>
    <w:link w:val="29"/>
    <w:qFormat/>
    <w:uiPriority w:val="0"/>
    <w:pPr>
      <w:tabs>
        <w:tab w:val="center" w:pos="4153"/>
        <w:tab w:val="right" w:pos="8306"/>
      </w:tabs>
      <w:snapToGrid w:val="0"/>
      <w:jc w:val="left"/>
    </w:pPr>
    <w:rPr>
      <w:sz w:val="18"/>
      <w:szCs w:val="18"/>
    </w:rPr>
  </w:style>
  <w:style w:type="paragraph" w:styleId="1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8">
    <w:name w:val="Subtitle"/>
    <w:basedOn w:val="1"/>
    <w:next w:val="1"/>
    <w:qFormat/>
    <w:uiPriority w:val="99"/>
    <w:pPr>
      <w:spacing w:before="240" w:after="60" w:line="312" w:lineRule="auto"/>
      <w:jc w:val="center"/>
      <w:outlineLvl w:val="1"/>
    </w:pPr>
    <w:rPr>
      <w:rFonts w:ascii="Cambria" w:hAnsi="Cambria" w:cs="Times New Roman"/>
      <w:b/>
      <w:bCs/>
      <w:kern w:val="28"/>
      <w:sz w:val="32"/>
      <w:szCs w:val="32"/>
    </w:r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annotation subject"/>
    <w:basedOn w:val="11"/>
    <w:next w:val="11"/>
    <w:link w:val="43"/>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qFormat/>
    <w:uiPriority w:val="0"/>
    <w:rPr>
      <w:sz w:val="18"/>
      <w:szCs w:val="18"/>
    </w:rPr>
  </w:style>
  <w:style w:type="character" w:styleId="26">
    <w:name w:val="Emphasis"/>
    <w:basedOn w:val="23"/>
    <w:qFormat/>
    <w:uiPriority w:val="0"/>
    <w:rPr>
      <w:i/>
    </w:rPr>
  </w:style>
  <w:style w:type="character" w:styleId="27">
    <w:name w:val="annotation reference"/>
    <w:basedOn w:val="23"/>
    <w:qFormat/>
    <w:uiPriority w:val="99"/>
    <w:rPr>
      <w:sz w:val="21"/>
      <w:szCs w:val="21"/>
    </w:rPr>
  </w:style>
  <w:style w:type="character" w:customStyle="1" w:styleId="28">
    <w:name w:val="页眉 Char"/>
    <w:basedOn w:val="23"/>
    <w:link w:val="17"/>
    <w:qFormat/>
    <w:uiPriority w:val="0"/>
    <w:rPr>
      <w:rFonts w:asciiTheme="minorHAnsi" w:hAnsiTheme="minorHAnsi" w:eastAsiaTheme="minorEastAsia" w:cstheme="minorBidi"/>
      <w:kern w:val="2"/>
      <w:sz w:val="18"/>
      <w:szCs w:val="18"/>
    </w:rPr>
  </w:style>
  <w:style w:type="character" w:customStyle="1" w:styleId="29">
    <w:name w:val="页脚 Char"/>
    <w:basedOn w:val="23"/>
    <w:link w:val="16"/>
    <w:qFormat/>
    <w:uiPriority w:val="0"/>
    <w:rPr>
      <w:rFonts w:asciiTheme="minorHAnsi" w:hAnsiTheme="minorHAnsi" w:eastAsiaTheme="minorEastAsia" w:cstheme="minorBidi"/>
      <w:kern w:val="2"/>
      <w:sz w:val="18"/>
      <w:szCs w:val="18"/>
    </w:rPr>
  </w:style>
  <w:style w:type="paragraph" w:customStyle="1" w:styleId="30">
    <w:name w:val="aaa"/>
    <w:basedOn w:val="1"/>
    <w:qFormat/>
    <w:uiPriority w:val="0"/>
    <w:pPr>
      <w:spacing w:line="360" w:lineRule="auto"/>
      <w:ind w:firstLine="200" w:firstLineChars="200"/>
    </w:pPr>
    <w:rPr>
      <w:rFonts w:ascii="Calibri" w:hAnsi="宋体" w:eastAsia="宋体" w:cs="宋体"/>
      <w:sz w:val="28"/>
      <w:szCs w:val="20"/>
    </w:rPr>
  </w:style>
  <w:style w:type="paragraph" w:styleId="31">
    <w:name w:val="List Paragraph"/>
    <w:basedOn w:val="1"/>
    <w:qFormat/>
    <w:uiPriority w:val="34"/>
    <w:pPr>
      <w:spacing w:line="360" w:lineRule="auto"/>
      <w:ind w:firstLine="420" w:firstLineChars="200"/>
    </w:p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列出段落1"/>
    <w:basedOn w:val="1"/>
    <w:qFormat/>
    <w:uiPriority w:val="34"/>
    <w:pPr>
      <w:ind w:firstLine="420" w:firstLineChars="200"/>
    </w:pPr>
    <w:rPr>
      <w:rFonts w:ascii="Calibri" w:hAnsi="Calibri"/>
      <w:szCs w:val="22"/>
    </w:rPr>
  </w:style>
  <w:style w:type="paragraph" w:customStyle="1" w:styleId="34">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35">
    <w:name w:val="批注框文本 Char"/>
    <w:basedOn w:val="23"/>
    <w:link w:val="15"/>
    <w:qFormat/>
    <w:uiPriority w:val="0"/>
    <w:rPr>
      <w:rFonts w:asciiTheme="minorHAnsi" w:hAnsiTheme="minorHAnsi" w:eastAsiaTheme="minorEastAsia" w:cstheme="minorBidi"/>
      <w:kern w:val="2"/>
      <w:sz w:val="18"/>
      <w:szCs w:val="18"/>
    </w:rPr>
  </w:style>
  <w:style w:type="character" w:customStyle="1" w:styleId="36">
    <w:name w:val="font71"/>
    <w:basedOn w:val="23"/>
    <w:qFormat/>
    <w:uiPriority w:val="0"/>
    <w:rPr>
      <w:rFonts w:hint="eastAsia" w:ascii="宋体" w:hAnsi="宋体" w:eastAsia="宋体" w:cs="宋体"/>
      <w:b/>
      <w:color w:val="000000"/>
      <w:sz w:val="22"/>
      <w:szCs w:val="22"/>
      <w:u w:val="none"/>
    </w:rPr>
  </w:style>
  <w:style w:type="character" w:customStyle="1" w:styleId="37">
    <w:name w:val="font61"/>
    <w:basedOn w:val="23"/>
    <w:qFormat/>
    <w:uiPriority w:val="0"/>
    <w:rPr>
      <w:rFonts w:hint="default" w:ascii="Times New Roman" w:hAnsi="Times New Roman" w:cs="Times New Roman"/>
      <w:b/>
      <w:color w:val="000000"/>
      <w:sz w:val="22"/>
      <w:szCs w:val="22"/>
      <w:u w:val="none"/>
    </w:rPr>
  </w:style>
  <w:style w:type="character" w:customStyle="1" w:styleId="38">
    <w:name w:val="font81"/>
    <w:basedOn w:val="23"/>
    <w:qFormat/>
    <w:uiPriority w:val="0"/>
    <w:rPr>
      <w:rFonts w:hint="eastAsia" w:ascii="宋体" w:hAnsi="宋体" w:eastAsia="宋体" w:cs="宋体"/>
      <w:color w:val="000000"/>
      <w:sz w:val="22"/>
      <w:szCs w:val="22"/>
      <w:u w:val="none"/>
    </w:rPr>
  </w:style>
  <w:style w:type="character" w:customStyle="1" w:styleId="39">
    <w:name w:val="font01"/>
    <w:basedOn w:val="23"/>
    <w:qFormat/>
    <w:uiPriority w:val="0"/>
    <w:rPr>
      <w:rFonts w:hint="default" w:ascii="Times New Roman" w:hAnsi="Times New Roman" w:cs="Times New Roman"/>
      <w:color w:val="000000"/>
      <w:sz w:val="22"/>
      <w:szCs w:val="22"/>
      <w:u w:val="none"/>
    </w:rPr>
  </w:style>
  <w:style w:type="paragraph" w:customStyle="1" w:styleId="40">
    <w:name w:val="Table Paragraph"/>
    <w:basedOn w:val="1"/>
    <w:qFormat/>
    <w:uiPriority w:val="1"/>
    <w:pPr>
      <w:jc w:val="left"/>
    </w:pPr>
    <w:rPr>
      <w:rFonts w:ascii="Calibri" w:hAnsi="Calibri" w:eastAsia="宋体" w:cs="Times New Roman"/>
      <w:kern w:val="0"/>
      <w:sz w:val="22"/>
      <w:szCs w:val="22"/>
      <w:lang w:eastAsia="en-US"/>
    </w:rPr>
  </w:style>
  <w:style w:type="character" w:customStyle="1" w:styleId="41">
    <w:name w:val="文档结构图 Char"/>
    <w:basedOn w:val="23"/>
    <w:link w:val="10"/>
    <w:qFormat/>
    <w:uiPriority w:val="0"/>
    <w:rPr>
      <w:rFonts w:ascii="宋体" w:hAnsiTheme="minorHAnsi" w:cstheme="minorBidi"/>
      <w:kern w:val="2"/>
      <w:sz w:val="18"/>
      <w:szCs w:val="18"/>
    </w:rPr>
  </w:style>
  <w:style w:type="character" w:customStyle="1" w:styleId="42">
    <w:name w:val="批注文字 Char"/>
    <w:basedOn w:val="23"/>
    <w:link w:val="11"/>
    <w:qFormat/>
    <w:uiPriority w:val="99"/>
    <w:rPr>
      <w:rFonts w:asciiTheme="minorHAnsi" w:hAnsiTheme="minorHAnsi" w:eastAsiaTheme="minorEastAsia" w:cstheme="minorBidi"/>
      <w:kern w:val="2"/>
      <w:sz w:val="21"/>
      <w:szCs w:val="24"/>
    </w:rPr>
  </w:style>
  <w:style w:type="character" w:customStyle="1" w:styleId="43">
    <w:name w:val="批注主题 Char"/>
    <w:basedOn w:val="42"/>
    <w:link w:val="20"/>
    <w:qFormat/>
    <w:uiPriority w:val="0"/>
  </w:style>
  <w:style w:type="paragraph" w:customStyle="1" w:styleId="44">
    <w:name w:val="1"/>
    <w:basedOn w:val="1"/>
    <w:next w:val="4"/>
    <w:qFormat/>
    <w:uiPriority w:val="0"/>
    <w:rPr>
      <w:sz w:val="24"/>
    </w:rPr>
  </w:style>
  <w:style w:type="paragraph" w:styleId="45">
    <w:name w:val="No Spacing"/>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4246</Words>
  <Characters>4433</Characters>
  <Lines>107</Lines>
  <Paragraphs>30</Paragraphs>
  <TotalTime>0</TotalTime>
  <ScaleCrop>false</ScaleCrop>
  <LinksUpToDate>false</LinksUpToDate>
  <CharactersWithSpaces>4437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2021-09-24T02:38:00Z</dcterms:created>
  <dc:creator>Administrator</dc:creator>
  <cp:lastModifiedBy>813</cp:lastModifiedBy>
  <cp:lastPrinted>2022-08-04T05:20:00Z</cp:lastPrinted>
  <dcterms:modified xsi:type="dcterms:W3CDTF">2026-04-03T07:12:47Z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D0314BAB6CFB4C50ACB0E23EB51A2C8C</vt:lpwstr>
  </property>
  <property fmtid="{D5CDD505-2E9C-101B-9397-08002B2CF9AE}" pid="4" name="KSOTemplateDocerSaveRecord">
    <vt:lpwstr>eyJoZGlkIjoiMjE2ODhhOGVmNjkzMGZiOWZjMDhkZDYyMTZjZDQ2YzUiLCJ1c2VySWQiOiI0MTk0MTI3NjgifQ==</vt:lpwstr>
  </property>
</Properties>
</file>