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62BDD">
      <w:pPr>
        <w:tabs>
          <w:tab w:val="left" w:pos="1260"/>
        </w:tabs>
        <w:spacing w:line="300" w:lineRule="auto"/>
        <w:jc w:val="center"/>
        <w:rPr>
          <w:rFonts w:hint="eastAsia" w:ascii="仿宋" w:hAnsi="仿宋" w:eastAsia="仿宋" w:cs="仿宋"/>
          <w:b/>
          <w:bCs/>
          <w:spacing w:val="100"/>
          <w:kern w:val="0"/>
          <w:sz w:val="52"/>
          <w:szCs w:val="56"/>
          <w:lang w:eastAsia="zh-CN"/>
        </w:rPr>
      </w:pPr>
    </w:p>
    <w:p w14:paraId="753B8DA2">
      <w:pPr>
        <w:tabs>
          <w:tab w:val="left" w:pos="1260"/>
        </w:tabs>
        <w:spacing w:line="300" w:lineRule="auto"/>
        <w:jc w:val="center"/>
        <w:rPr>
          <w:rFonts w:hint="eastAsia" w:ascii="仿宋" w:hAnsi="仿宋" w:eastAsia="仿宋" w:cs="仿宋"/>
          <w:b/>
          <w:bCs/>
          <w:spacing w:val="100"/>
          <w:kern w:val="0"/>
          <w:sz w:val="52"/>
          <w:szCs w:val="56"/>
          <w:lang w:eastAsia="zh-CN"/>
        </w:rPr>
      </w:pPr>
    </w:p>
    <w:p w14:paraId="176F8BB6">
      <w:pPr>
        <w:tabs>
          <w:tab w:val="left" w:pos="1260"/>
        </w:tabs>
        <w:spacing w:line="300" w:lineRule="auto"/>
        <w:jc w:val="center"/>
        <w:rPr>
          <w:rFonts w:hint="eastAsia" w:ascii="黑体" w:hAnsi="黑体" w:eastAsia="黑体" w:cs="黑体"/>
          <w:b w:val="0"/>
          <w:bCs w:val="0"/>
          <w:spacing w:val="100"/>
          <w:kern w:val="0"/>
          <w:sz w:val="72"/>
          <w:szCs w:val="96"/>
          <w:highlight w:val="none"/>
          <w:lang w:eastAsia="zh-CN"/>
        </w:rPr>
      </w:pPr>
      <w:r>
        <w:rPr>
          <w:rFonts w:hint="eastAsia" w:ascii="黑体" w:hAnsi="黑体" w:eastAsia="黑体" w:cs="黑体"/>
          <w:b w:val="0"/>
          <w:bCs w:val="0"/>
          <w:spacing w:val="100"/>
          <w:kern w:val="0"/>
          <w:sz w:val="72"/>
          <w:szCs w:val="96"/>
          <w:highlight w:val="none"/>
          <w:lang w:eastAsia="zh-CN"/>
        </w:rPr>
        <w:t>武汉市东西湖区</w:t>
      </w:r>
    </w:p>
    <w:p w14:paraId="1E57B3C6">
      <w:pPr>
        <w:tabs>
          <w:tab w:val="left" w:pos="1260"/>
        </w:tabs>
        <w:spacing w:line="300" w:lineRule="auto"/>
        <w:jc w:val="center"/>
        <w:rPr>
          <w:rFonts w:hint="eastAsia" w:ascii="仿宋" w:hAnsi="仿宋" w:eastAsia="仿宋" w:cs="仿宋"/>
          <w:b/>
          <w:bCs/>
          <w:spacing w:val="100"/>
          <w:kern w:val="0"/>
          <w:sz w:val="52"/>
          <w:szCs w:val="56"/>
          <w:lang w:eastAsia="zh-CN"/>
        </w:rPr>
      </w:pPr>
      <w:r>
        <w:rPr>
          <w:rFonts w:hint="eastAsia" w:ascii="黑体" w:hAnsi="黑体" w:eastAsia="黑体" w:cs="黑体"/>
          <w:b w:val="0"/>
          <w:bCs w:val="0"/>
          <w:spacing w:val="100"/>
          <w:kern w:val="0"/>
          <w:sz w:val="72"/>
          <w:szCs w:val="96"/>
          <w:highlight w:val="none"/>
          <w:lang w:eastAsia="zh-CN"/>
        </w:rPr>
        <w:t>政府采购</w:t>
      </w:r>
    </w:p>
    <w:p w14:paraId="429DA6C6">
      <w:pPr>
        <w:widowControl/>
        <w:spacing w:line="450" w:lineRule="atLeast"/>
        <w:jc w:val="center"/>
        <w:rPr>
          <w:rFonts w:ascii="Calibri" w:hAnsi="Calibri" w:cs="Calibri"/>
          <w:color w:val="000000" w:themeColor="text1"/>
          <w:sz w:val="30"/>
          <w:szCs w:val="30"/>
          <w14:textFill>
            <w14:solidFill>
              <w14:schemeClr w14:val="tx1"/>
            </w14:solidFill>
          </w14:textFill>
        </w:rPr>
      </w:pPr>
    </w:p>
    <w:p w14:paraId="47BA08DA">
      <w:pPr>
        <w:pStyle w:val="8"/>
      </w:pPr>
    </w:p>
    <w:p w14:paraId="32776EE3"/>
    <w:p w14:paraId="4374FB3A">
      <w:pPr>
        <w:wordWrap w:val="0"/>
        <w:topLinePunct/>
        <w:adjustRightInd w:val="0"/>
        <w:snapToGrid w:val="0"/>
        <w:spacing w:line="480" w:lineRule="auto"/>
        <w:jc w:val="center"/>
        <w:rPr>
          <w:rFonts w:hint="eastAsia" w:ascii="黑体" w:hAnsi="黑体" w:eastAsia="黑体" w:cs="黑体"/>
          <w:kern w:val="2"/>
          <w:sz w:val="72"/>
          <w:szCs w:val="72"/>
        </w:rPr>
      </w:pPr>
      <w:r>
        <w:rPr>
          <w:rFonts w:hint="eastAsia" w:ascii="黑体" w:hAnsi="黑体" w:eastAsia="黑体" w:cs="黑体"/>
          <w:kern w:val="2"/>
          <w:sz w:val="72"/>
          <w:szCs w:val="72"/>
        </w:rPr>
        <w:t>采购需求文件</w:t>
      </w:r>
    </w:p>
    <w:p w14:paraId="033A01B3">
      <w:pPr>
        <w:widowControl/>
        <w:spacing w:line="450" w:lineRule="atLeast"/>
        <w:ind w:firstLine="880"/>
        <w:jc w:val="right"/>
        <w:rPr>
          <w:rFonts w:ascii="黑体" w:hAnsi="宋体" w:eastAsia="黑体" w:cs="黑体"/>
          <w:color w:val="000000" w:themeColor="text1"/>
          <w:kern w:val="0"/>
          <w:sz w:val="72"/>
          <w:szCs w:val="72"/>
          <w:lang w:bidi="ar"/>
          <w14:textFill>
            <w14:solidFill>
              <w14:schemeClr w14:val="tx1"/>
            </w14:solidFill>
          </w14:textFill>
        </w:rPr>
      </w:pPr>
    </w:p>
    <w:p w14:paraId="01A50ED9">
      <w:pPr>
        <w:wordWrap w:val="0"/>
        <w:topLinePunct/>
        <w:adjustRightInd w:val="0"/>
        <w:snapToGrid w:val="0"/>
        <w:spacing w:line="360" w:lineRule="auto"/>
        <w:ind w:firstLine="960" w:firstLineChars="300"/>
        <w:rPr>
          <w:rFonts w:hint="eastAsia" w:ascii="黑体" w:hAnsi="黑体" w:eastAsia="黑体" w:cs="黑体"/>
          <w:kern w:val="0"/>
          <w:sz w:val="32"/>
          <w:szCs w:val="32"/>
        </w:rPr>
      </w:pPr>
    </w:p>
    <w:p w14:paraId="60417F7D">
      <w:pPr>
        <w:wordWrap w:val="0"/>
        <w:topLinePunct/>
        <w:adjustRightInd w:val="0"/>
        <w:snapToGrid w:val="0"/>
        <w:spacing w:line="360" w:lineRule="auto"/>
        <w:ind w:firstLine="960" w:firstLineChars="300"/>
        <w:rPr>
          <w:rFonts w:hint="eastAsia" w:ascii="黑体" w:hAnsi="黑体" w:eastAsia="黑体" w:cs="黑体"/>
          <w:kern w:val="0"/>
          <w:sz w:val="32"/>
          <w:szCs w:val="32"/>
        </w:rPr>
      </w:pPr>
    </w:p>
    <w:p w14:paraId="0A340119">
      <w:pPr>
        <w:wordWrap w:val="0"/>
        <w:topLinePunct/>
        <w:adjustRightInd w:val="0"/>
        <w:snapToGrid w:val="0"/>
        <w:spacing w:line="360" w:lineRule="auto"/>
        <w:ind w:firstLine="960" w:firstLineChars="300"/>
        <w:rPr>
          <w:rFonts w:hint="eastAsia" w:ascii="黑体" w:hAnsi="黑体" w:eastAsia="黑体" w:cs="黑体"/>
          <w:kern w:val="0"/>
          <w:sz w:val="32"/>
          <w:szCs w:val="32"/>
        </w:rPr>
      </w:pPr>
    </w:p>
    <w:p w14:paraId="44428E79">
      <w:pPr>
        <w:wordWrap w:val="0"/>
        <w:topLinePunct/>
        <w:adjustRightInd w:val="0"/>
        <w:snapToGrid w:val="0"/>
        <w:spacing w:line="360" w:lineRule="auto"/>
        <w:ind w:firstLine="960" w:firstLineChars="300"/>
        <w:rPr>
          <w:rFonts w:hint="eastAsia" w:ascii="黑体" w:hAnsi="黑体" w:eastAsia="黑体" w:cs="黑体"/>
          <w:kern w:val="0"/>
          <w:sz w:val="32"/>
          <w:szCs w:val="32"/>
          <w:lang w:eastAsia="zh-CN"/>
        </w:rPr>
      </w:pPr>
      <w:r>
        <w:rPr>
          <w:rFonts w:hint="eastAsia" w:ascii="黑体" w:hAnsi="黑体" w:eastAsia="黑体" w:cs="黑体"/>
          <w:kern w:val="0"/>
          <w:sz w:val="32"/>
          <w:szCs w:val="32"/>
        </w:rPr>
        <w:t>项目名称：</w:t>
      </w:r>
      <w:r>
        <w:rPr>
          <w:rFonts w:hint="eastAsia" w:ascii="黑体" w:hAnsi="黑体" w:eastAsia="黑体" w:cs="黑体"/>
          <w:kern w:val="0"/>
          <w:sz w:val="32"/>
          <w:szCs w:val="32"/>
          <w:lang w:eastAsia="zh-CN"/>
        </w:rPr>
        <w:t>2024年受污染耕地安全利用项目</w:t>
      </w:r>
    </w:p>
    <w:p w14:paraId="6A5E9A82">
      <w:pPr>
        <w:wordWrap w:val="0"/>
        <w:topLinePunct/>
        <w:adjustRightInd w:val="0"/>
        <w:snapToGrid w:val="0"/>
        <w:spacing w:line="360" w:lineRule="auto"/>
        <w:ind w:firstLine="960" w:firstLineChars="300"/>
        <w:rPr>
          <w:rFonts w:hint="eastAsia" w:ascii="黑体" w:hAnsi="黑体" w:eastAsia="黑体" w:cs="黑体"/>
          <w:kern w:val="0"/>
          <w:sz w:val="32"/>
          <w:szCs w:val="32"/>
        </w:rPr>
      </w:pPr>
      <w:r>
        <w:rPr>
          <w:rFonts w:hint="eastAsia" w:ascii="黑体" w:hAnsi="黑体" w:eastAsia="黑体" w:cs="黑体"/>
          <w:kern w:val="0"/>
          <w:sz w:val="32"/>
          <w:szCs w:val="32"/>
        </w:rPr>
        <w:t>采购人：武汉市东西湖区农业农村局</w:t>
      </w:r>
    </w:p>
    <w:p w14:paraId="6F829F27">
      <w:pPr>
        <w:widowControl/>
        <w:spacing w:line="450" w:lineRule="atLeast"/>
        <w:jc w:val="center"/>
        <w:rPr>
          <w:rFonts w:ascii="Calibri" w:hAnsi="Calibri" w:cs="Calibri"/>
          <w:color w:val="000000" w:themeColor="text1"/>
          <w:sz w:val="30"/>
          <w:szCs w:val="30"/>
          <w:u w:val="none"/>
          <w14:textFill>
            <w14:solidFill>
              <w14:schemeClr w14:val="tx1"/>
            </w14:solidFill>
          </w14:textFill>
        </w:rPr>
      </w:pPr>
      <w:r>
        <w:rPr>
          <w:rFonts w:hint="eastAsia" w:ascii="黑体" w:hAnsi="黑体" w:eastAsia="黑体" w:cs="黑体"/>
          <w:color w:val="000000"/>
          <w:kern w:val="0"/>
          <w:sz w:val="32"/>
          <w:szCs w:val="32"/>
          <w:u w:val="none"/>
          <w:lang w:val="en-US" w:eastAsia="zh-CN"/>
        </w:rPr>
        <w:t>2025年2月</w:t>
      </w:r>
    </w:p>
    <w:p w14:paraId="27296BCA">
      <w:pPr>
        <w:widowControl/>
        <w:jc w:val="left"/>
        <w:rPr>
          <w:color w:val="000000" w:themeColor="text1"/>
          <w:sz w:val="27"/>
          <w:szCs w:val="27"/>
          <w14:textFill>
            <w14:solidFill>
              <w14:schemeClr w14:val="tx1"/>
            </w14:solidFill>
          </w14:textFill>
        </w:rPr>
      </w:pPr>
    </w:p>
    <w:p w14:paraId="30B33FAB">
      <w:pPr>
        <w:pStyle w:val="23"/>
        <w:ind w:firstLine="210"/>
        <w:rPr>
          <w:color w:val="000000" w:themeColor="text1"/>
          <w14:textFill>
            <w14:solidFill>
              <w14:schemeClr w14:val="tx1"/>
            </w14:solidFill>
          </w14:textFill>
        </w:rPr>
      </w:pPr>
    </w:p>
    <w:p w14:paraId="7D60404F">
      <w:pPr>
        <w:rPr>
          <w:rFonts w:hint="eastAsia"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br w:type="page"/>
      </w:r>
    </w:p>
    <w:p w14:paraId="7A1C73D2">
      <w:pPr>
        <w:ind w:firstLine="3618" w:firstLineChars="819"/>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目  录</w:t>
      </w:r>
    </w:p>
    <w:p w14:paraId="698D3D0D">
      <w:pPr>
        <w:ind w:firstLine="883"/>
        <w:jc w:val="center"/>
        <w:rPr>
          <w:rFonts w:ascii="宋体" w:hAnsi="宋体"/>
          <w:b/>
          <w:color w:val="000000" w:themeColor="text1"/>
          <w:sz w:val="44"/>
          <w:szCs w:val="44"/>
          <w14:textFill>
            <w14:solidFill>
              <w14:schemeClr w14:val="tx1"/>
            </w14:solidFill>
          </w14:textFill>
        </w:rPr>
      </w:pPr>
    </w:p>
    <w:p w14:paraId="13F28F3A">
      <w:pPr>
        <w:pStyle w:val="13"/>
        <w:tabs>
          <w:tab w:val="right" w:leader="dot" w:pos="8306"/>
        </w:tabs>
        <w:rPr>
          <w:b w:val="0"/>
          <w:bCs/>
        </w:rPr>
      </w:pPr>
      <w:r>
        <w:rPr>
          <w:b w:val="0"/>
          <w:bCs/>
          <w:color w:val="000000" w:themeColor="text1"/>
          <w14:textFill>
            <w14:solidFill>
              <w14:schemeClr w14:val="tx1"/>
            </w14:solidFill>
          </w14:textFill>
        </w:rPr>
        <w:fldChar w:fldCharType="begin"/>
      </w:r>
      <w:r>
        <w:rPr>
          <w:b w:val="0"/>
          <w:bCs/>
          <w:color w:val="000000" w:themeColor="text1"/>
          <w14:textFill>
            <w14:solidFill>
              <w14:schemeClr w14:val="tx1"/>
            </w14:solidFill>
          </w14:textFill>
        </w:rPr>
        <w:instrText xml:space="preserve"> TOC \o "1-3" \h \z \u </w:instrText>
      </w:r>
      <w:r>
        <w:rPr>
          <w:b w:val="0"/>
          <w:bCs/>
          <w:color w:val="000000" w:themeColor="text1"/>
          <w14:textFill>
            <w14:solidFill>
              <w14:schemeClr w14:val="tx1"/>
            </w14:solidFill>
          </w14:textFill>
        </w:rPr>
        <w:fldChar w:fldCharType="separate"/>
      </w:r>
      <w:r>
        <w:rPr>
          <w:b w:val="0"/>
          <w:bCs/>
          <w:color w:val="000000" w:themeColor="text1"/>
          <w14:textFill>
            <w14:solidFill>
              <w14:schemeClr w14:val="tx1"/>
            </w14:solidFill>
          </w14:textFill>
        </w:rPr>
        <w:fldChar w:fldCharType="begin"/>
      </w:r>
      <w:r>
        <w:rPr>
          <w:b w:val="0"/>
          <w:bCs/>
        </w:rPr>
        <w:instrText xml:space="preserve"> HYPERLINK \l _Toc20593 </w:instrText>
      </w:r>
      <w:r>
        <w:rPr>
          <w:b w:val="0"/>
          <w:bCs/>
        </w:rPr>
        <w:fldChar w:fldCharType="separate"/>
      </w:r>
      <w:r>
        <w:rPr>
          <w:rFonts w:hint="eastAsia" w:eastAsia="黑体" w:cstheme="minorBidi"/>
          <w:b w:val="0"/>
          <w:bCs/>
          <w:szCs w:val="44"/>
        </w:rPr>
        <w:t>采购需求</w:t>
      </w:r>
      <w:r>
        <w:rPr>
          <w:b w:val="0"/>
          <w:bCs/>
        </w:rPr>
        <w:tab/>
      </w:r>
      <w:r>
        <w:rPr>
          <w:b w:val="0"/>
          <w:bCs/>
        </w:rPr>
        <w:fldChar w:fldCharType="begin"/>
      </w:r>
      <w:r>
        <w:rPr>
          <w:b w:val="0"/>
          <w:bCs/>
        </w:rPr>
        <w:instrText xml:space="preserve"> PAGEREF _Toc20593 \h </w:instrText>
      </w:r>
      <w:r>
        <w:rPr>
          <w:b w:val="0"/>
          <w:bCs/>
        </w:rPr>
        <w:fldChar w:fldCharType="separate"/>
      </w:r>
      <w:r>
        <w:rPr>
          <w:b w:val="0"/>
          <w:bCs/>
        </w:rPr>
        <w:t>4</w:t>
      </w:r>
      <w:r>
        <w:rPr>
          <w:b w:val="0"/>
          <w:bCs/>
        </w:rPr>
        <w:fldChar w:fldCharType="end"/>
      </w:r>
      <w:r>
        <w:rPr>
          <w:b w:val="0"/>
          <w:bCs/>
          <w:color w:val="000000" w:themeColor="text1"/>
          <w14:textFill>
            <w14:solidFill>
              <w14:schemeClr w14:val="tx1"/>
            </w14:solidFill>
          </w14:textFill>
        </w:rPr>
        <w:fldChar w:fldCharType="end"/>
      </w:r>
    </w:p>
    <w:p w14:paraId="1A1AE85A">
      <w:pPr>
        <w:pStyle w:val="13"/>
        <w:tabs>
          <w:tab w:val="right" w:leader="dot" w:pos="8306"/>
        </w:tabs>
        <w:rPr>
          <w:b w:val="0"/>
          <w:bCs/>
        </w:rPr>
      </w:pPr>
      <w:r>
        <w:rPr>
          <w:b w:val="0"/>
          <w:bCs/>
          <w:color w:val="000000" w:themeColor="text1"/>
          <w:lang w:val="zh-CN"/>
          <w14:textFill>
            <w14:solidFill>
              <w14:schemeClr w14:val="tx1"/>
            </w14:solidFill>
          </w14:textFill>
        </w:rPr>
        <w:fldChar w:fldCharType="begin"/>
      </w:r>
      <w:r>
        <w:rPr>
          <w:b w:val="0"/>
          <w:bCs/>
          <w:lang w:val="zh-CN"/>
        </w:rPr>
        <w:instrText xml:space="preserve"> HYPERLINK \l _Toc14296 </w:instrText>
      </w:r>
      <w:r>
        <w:rPr>
          <w:b w:val="0"/>
          <w:bCs/>
          <w:lang w:val="zh-CN"/>
        </w:rPr>
        <w:fldChar w:fldCharType="separate"/>
      </w:r>
      <w:r>
        <w:rPr>
          <w:rFonts w:hint="eastAsia" w:eastAsia="黑体" w:cstheme="minorBidi"/>
          <w:b w:val="0"/>
          <w:bCs/>
          <w:szCs w:val="44"/>
        </w:rPr>
        <w:t>第一部分</w:t>
      </w:r>
      <w:r>
        <w:rPr>
          <w:rFonts w:hint="default" w:eastAsia="黑体" w:cstheme="minorBidi"/>
          <w:b w:val="0"/>
          <w:bCs/>
          <w:szCs w:val="44"/>
        </w:rPr>
        <w:t xml:space="preserve">  </w:t>
      </w:r>
      <w:r>
        <w:rPr>
          <w:rFonts w:hint="eastAsia" w:eastAsia="黑体" w:cstheme="minorBidi"/>
          <w:b w:val="0"/>
          <w:bCs/>
          <w:szCs w:val="44"/>
        </w:rPr>
        <w:t>供应商资格要求</w:t>
      </w:r>
      <w:r>
        <w:rPr>
          <w:b w:val="0"/>
          <w:bCs/>
        </w:rPr>
        <w:tab/>
      </w:r>
      <w:r>
        <w:rPr>
          <w:b w:val="0"/>
          <w:bCs/>
        </w:rPr>
        <w:fldChar w:fldCharType="begin"/>
      </w:r>
      <w:r>
        <w:rPr>
          <w:b w:val="0"/>
          <w:bCs/>
        </w:rPr>
        <w:instrText xml:space="preserve"> PAGEREF _Toc14296 \h </w:instrText>
      </w:r>
      <w:r>
        <w:rPr>
          <w:b w:val="0"/>
          <w:bCs/>
        </w:rPr>
        <w:fldChar w:fldCharType="separate"/>
      </w:r>
      <w:r>
        <w:rPr>
          <w:b w:val="0"/>
          <w:bCs/>
        </w:rPr>
        <w:t>4</w:t>
      </w:r>
      <w:r>
        <w:rPr>
          <w:b w:val="0"/>
          <w:bCs/>
        </w:rPr>
        <w:fldChar w:fldCharType="end"/>
      </w:r>
      <w:r>
        <w:rPr>
          <w:b w:val="0"/>
          <w:bCs/>
          <w:color w:val="000000" w:themeColor="text1"/>
          <w:lang w:val="zh-CN"/>
          <w14:textFill>
            <w14:solidFill>
              <w14:schemeClr w14:val="tx1"/>
            </w14:solidFill>
          </w14:textFill>
        </w:rPr>
        <w:fldChar w:fldCharType="end"/>
      </w:r>
    </w:p>
    <w:p w14:paraId="590A71A8">
      <w:pPr>
        <w:pStyle w:val="13"/>
        <w:tabs>
          <w:tab w:val="right" w:leader="dot" w:pos="8306"/>
        </w:tabs>
        <w:rPr>
          <w:b w:val="0"/>
          <w:bCs/>
        </w:rPr>
      </w:pPr>
      <w:r>
        <w:rPr>
          <w:b w:val="0"/>
          <w:bCs/>
          <w:color w:val="000000" w:themeColor="text1"/>
          <w:lang w:val="zh-CN"/>
          <w14:textFill>
            <w14:solidFill>
              <w14:schemeClr w14:val="tx1"/>
            </w14:solidFill>
          </w14:textFill>
        </w:rPr>
        <w:fldChar w:fldCharType="begin"/>
      </w:r>
      <w:r>
        <w:rPr>
          <w:b w:val="0"/>
          <w:bCs/>
          <w:lang w:val="zh-CN"/>
        </w:rPr>
        <w:instrText xml:space="preserve"> HYPERLINK \l _Toc27857 </w:instrText>
      </w:r>
      <w:r>
        <w:rPr>
          <w:b w:val="0"/>
          <w:bCs/>
          <w:lang w:val="zh-CN"/>
        </w:rPr>
        <w:fldChar w:fldCharType="separate"/>
      </w:r>
      <w:r>
        <w:rPr>
          <w:rFonts w:hint="eastAsia" w:eastAsia="黑体" w:cstheme="minorBidi"/>
          <w:b w:val="0"/>
          <w:bCs/>
          <w:szCs w:val="44"/>
        </w:rPr>
        <w:t>第二部分  技术、服务及商务要求</w:t>
      </w:r>
      <w:r>
        <w:rPr>
          <w:b w:val="0"/>
          <w:bCs/>
        </w:rPr>
        <w:tab/>
      </w:r>
      <w:r>
        <w:rPr>
          <w:b w:val="0"/>
          <w:bCs/>
        </w:rPr>
        <w:fldChar w:fldCharType="begin"/>
      </w:r>
      <w:r>
        <w:rPr>
          <w:b w:val="0"/>
          <w:bCs/>
        </w:rPr>
        <w:instrText xml:space="preserve"> PAGEREF _Toc27857 \h </w:instrText>
      </w:r>
      <w:r>
        <w:rPr>
          <w:b w:val="0"/>
          <w:bCs/>
        </w:rPr>
        <w:fldChar w:fldCharType="separate"/>
      </w:r>
      <w:r>
        <w:rPr>
          <w:b w:val="0"/>
          <w:bCs/>
        </w:rPr>
        <w:t>6</w:t>
      </w:r>
      <w:r>
        <w:rPr>
          <w:b w:val="0"/>
          <w:bCs/>
        </w:rPr>
        <w:fldChar w:fldCharType="end"/>
      </w:r>
      <w:r>
        <w:rPr>
          <w:b w:val="0"/>
          <w:bCs/>
          <w:color w:val="000000" w:themeColor="text1"/>
          <w:lang w:val="zh-CN"/>
          <w14:textFill>
            <w14:solidFill>
              <w14:schemeClr w14:val="tx1"/>
            </w14:solidFill>
          </w14:textFill>
        </w:rPr>
        <w:fldChar w:fldCharType="end"/>
      </w:r>
    </w:p>
    <w:p w14:paraId="4212131A">
      <w:pPr>
        <w:pStyle w:val="13"/>
        <w:tabs>
          <w:tab w:val="right" w:leader="dot" w:pos="8306"/>
        </w:tabs>
        <w:rPr>
          <w:b w:val="0"/>
          <w:bCs/>
        </w:rPr>
      </w:pPr>
      <w:r>
        <w:rPr>
          <w:b w:val="0"/>
          <w:bCs/>
          <w:color w:val="000000" w:themeColor="text1"/>
          <w:lang w:val="zh-CN"/>
          <w14:textFill>
            <w14:solidFill>
              <w14:schemeClr w14:val="tx1"/>
            </w14:solidFill>
          </w14:textFill>
        </w:rPr>
        <w:fldChar w:fldCharType="begin"/>
      </w:r>
      <w:r>
        <w:rPr>
          <w:b w:val="0"/>
          <w:bCs/>
          <w:lang w:val="zh-CN"/>
        </w:rPr>
        <w:instrText xml:space="preserve"> HYPERLINK \l _Toc23485 </w:instrText>
      </w:r>
      <w:r>
        <w:rPr>
          <w:b w:val="0"/>
          <w:bCs/>
          <w:lang w:val="zh-CN"/>
        </w:rPr>
        <w:fldChar w:fldCharType="separate"/>
      </w:r>
      <w:r>
        <w:rPr>
          <w:rFonts w:hint="eastAsia" w:eastAsia="黑体" w:cstheme="minorBidi"/>
          <w:b w:val="0"/>
          <w:bCs/>
          <w:szCs w:val="44"/>
        </w:rPr>
        <w:t>第三部分  评审办法及标准</w:t>
      </w:r>
      <w:r>
        <w:rPr>
          <w:b w:val="0"/>
          <w:bCs/>
        </w:rPr>
        <w:tab/>
      </w:r>
      <w:r>
        <w:rPr>
          <w:b w:val="0"/>
          <w:bCs/>
        </w:rPr>
        <w:fldChar w:fldCharType="begin"/>
      </w:r>
      <w:r>
        <w:rPr>
          <w:b w:val="0"/>
          <w:bCs/>
        </w:rPr>
        <w:instrText xml:space="preserve"> PAGEREF _Toc23485 \h </w:instrText>
      </w:r>
      <w:r>
        <w:rPr>
          <w:b w:val="0"/>
          <w:bCs/>
        </w:rPr>
        <w:fldChar w:fldCharType="separate"/>
      </w:r>
      <w:r>
        <w:rPr>
          <w:b w:val="0"/>
          <w:bCs/>
        </w:rPr>
        <w:t>12</w:t>
      </w:r>
      <w:r>
        <w:rPr>
          <w:b w:val="0"/>
          <w:bCs/>
        </w:rPr>
        <w:fldChar w:fldCharType="end"/>
      </w:r>
      <w:r>
        <w:rPr>
          <w:b w:val="0"/>
          <w:bCs/>
          <w:color w:val="000000" w:themeColor="text1"/>
          <w:lang w:val="zh-CN"/>
          <w14:textFill>
            <w14:solidFill>
              <w14:schemeClr w14:val="tx1"/>
            </w14:solidFill>
          </w14:textFill>
        </w:rPr>
        <w:fldChar w:fldCharType="end"/>
      </w:r>
    </w:p>
    <w:p w14:paraId="166E9D2E">
      <w:pPr>
        <w:pStyle w:val="13"/>
        <w:tabs>
          <w:tab w:val="right" w:leader="dot" w:pos="8306"/>
        </w:tabs>
        <w:rPr>
          <w:b w:val="0"/>
          <w:bCs/>
        </w:rPr>
      </w:pPr>
      <w:r>
        <w:rPr>
          <w:b w:val="0"/>
          <w:bCs/>
          <w:color w:val="000000" w:themeColor="text1"/>
          <w:lang w:val="zh-CN"/>
          <w14:textFill>
            <w14:solidFill>
              <w14:schemeClr w14:val="tx1"/>
            </w14:solidFill>
          </w14:textFill>
        </w:rPr>
        <w:fldChar w:fldCharType="begin"/>
      </w:r>
      <w:r>
        <w:rPr>
          <w:b w:val="0"/>
          <w:bCs/>
          <w:lang w:val="zh-CN"/>
        </w:rPr>
        <w:instrText xml:space="preserve"> HYPERLINK \l _Toc4298 </w:instrText>
      </w:r>
      <w:r>
        <w:rPr>
          <w:b w:val="0"/>
          <w:bCs/>
          <w:lang w:val="zh-CN"/>
        </w:rPr>
        <w:fldChar w:fldCharType="separate"/>
      </w:r>
      <w:r>
        <w:rPr>
          <w:rFonts w:hint="eastAsia" w:eastAsia="黑体" w:cstheme="minorBidi"/>
          <w:b w:val="0"/>
          <w:bCs/>
          <w:szCs w:val="44"/>
        </w:rPr>
        <w:t>第四部分 合同草案</w:t>
      </w:r>
      <w:r>
        <w:rPr>
          <w:b w:val="0"/>
          <w:bCs/>
        </w:rPr>
        <w:tab/>
      </w:r>
      <w:r>
        <w:rPr>
          <w:b w:val="0"/>
          <w:bCs/>
        </w:rPr>
        <w:fldChar w:fldCharType="begin"/>
      </w:r>
      <w:r>
        <w:rPr>
          <w:b w:val="0"/>
          <w:bCs/>
        </w:rPr>
        <w:instrText xml:space="preserve"> PAGEREF _Toc4298 \h </w:instrText>
      </w:r>
      <w:r>
        <w:rPr>
          <w:b w:val="0"/>
          <w:bCs/>
        </w:rPr>
        <w:fldChar w:fldCharType="separate"/>
      </w:r>
      <w:r>
        <w:rPr>
          <w:b w:val="0"/>
          <w:bCs/>
        </w:rPr>
        <w:t>21</w:t>
      </w:r>
      <w:r>
        <w:rPr>
          <w:b w:val="0"/>
          <w:bCs/>
        </w:rPr>
        <w:fldChar w:fldCharType="end"/>
      </w:r>
      <w:r>
        <w:rPr>
          <w:b w:val="0"/>
          <w:bCs/>
          <w:color w:val="000000" w:themeColor="text1"/>
          <w:lang w:val="zh-CN"/>
          <w14:textFill>
            <w14:solidFill>
              <w14:schemeClr w14:val="tx1"/>
            </w14:solidFill>
          </w14:textFill>
        </w:rPr>
        <w:fldChar w:fldCharType="end"/>
      </w:r>
    </w:p>
    <w:p w14:paraId="20A9B8D9">
      <w:pPr>
        <w:widowControl/>
        <w:jc w:val="left"/>
        <w:rPr>
          <w:rFonts w:hint="eastAsia" w:ascii="黑体" w:hAnsi="黑体" w:eastAsia="黑体" w:cs="Times New Roman"/>
          <w:b/>
          <w:color w:val="000000" w:themeColor="text1"/>
          <w:sz w:val="36"/>
          <w:szCs w:val="36"/>
          <w14:textFill>
            <w14:solidFill>
              <w14:schemeClr w14:val="tx1"/>
            </w14:solidFill>
          </w14:textFill>
        </w:rPr>
      </w:pPr>
      <w:r>
        <w:rPr>
          <w:b w:val="0"/>
          <w:bCs/>
          <w:color w:val="000000" w:themeColor="text1"/>
          <w:lang w:val="zh-CN"/>
          <w14:textFill>
            <w14:solidFill>
              <w14:schemeClr w14:val="tx1"/>
            </w14:solidFill>
          </w14:textFill>
        </w:rPr>
        <w:fldChar w:fldCharType="end"/>
      </w:r>
      <w:r>
        <w:rPr>
          <w:rFonts w:hint="eastAsia" w:ascii="黑体" w:hAnsi="黑体" w:eastAsia="黑体" w:cs="Times New Roman"/>
          <w:b/>
          <w:color w:val="000000" w:themeColor="text1"/>
          <w:sz w:val="36"/>
          <w:szCs w:val="36"/>
          <w14:textFill>
            <w14:solidFill>
              <w14:schemeClr w14:val="tx1"/>
            </w14:solidFill>
          </w14:textFill>
        </w:rPr>
        <w:br w:type="page"/>
      </w:r>
    </w:p>
    <w:p w14:paraId="0F18CE74">
      <w:pPr>
        <w:pStyle w:val="2"/>
        <w:keepNext/>
        <w:keepLines/>
        <w:spacing w:before="340" w:beforeAutospacing="0" w:after="330" w:afterAutospacing="0" w:line="578" w:lineRule="auto"/>
        <w:ind w:left="420" w:hanging="420"/>
        <w:jc w:val="center"/>
        <w:rPr>
          <w:rFonts w:hint="eastAsia" w:eastAsia="黑体" w:cstheme="minorBidi"/>
          <w:sz w:val="44"/>
          <w:szCs w:val="44"/>
        </w:rPr>
      </w:pPr>
      <w:bookmarkStart w:id="0" w:name="_Toc20593"/>
      <w:r>
        <w:rPr>
          <w:rFonts w:hint="eastAsia" w:eastAsia="黑体" w:cstheme="minorBidi"/>
          <w:sz w:val="44"/>
          <w:szCs w:val="44"/>
        </w:rPr>
        <w:t>采购需求</w:t>
      </w:r>
      <w:bookmarkEnd w:id="0"/>
    </w:p>
    <w:p w14:paraId="36BBB156">
      <w:pPr>
        <w:spacing w:line="360" w:lineRule="auto"/>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依据武汉市东西湖区农业农村局的工作要求，现委托湖北神绽项目管理有限公司就2024年受污染耕地安全利用项目进行</w:t>
      </w:r>
      <w:r>
        <w:rPr>
          <w:rFonts w:hint="eastAsia" w:ascii="仿宋" w:hAnsi="仿宋" w:eastAsia="仿宋" w:cs="仿宋"/>
          <w:sz w:val="28"/>
          <w:szCs w:val="28"/>
          <w:lang w:val="en-US" w:eastAsia="zh-CN"/>
        </w:rPr>
        <w:t>竞争性磋商</w:t>
      </w:r>
      <w:r>
        <w:rPr>
          <w:rFonts w:hint="eastAsia" w:ascii="仿宋" w:hAnsi="仿宋" w:eastAsia="仿宋" w:cs="仿宋"/>
          <w:sz w:val="28"/>
          <w:szCs w:val="28"/>
          <w:lang w:eastAsia="zh-CN"/>
        </w:rPr>
        <w:t>采购。</w:t>
      </w:r>
    </w:p>
    <w:p w14:paraId="1E4E1BFC">
      <w:pPr>
        <w:spacing w:line="360" w:lineRule="auto"/>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本</w:t>
      </w:r>
      <w:r>
        <w:rPr>
          <w:rFonts w:hint="eastAsia" w:ascii="仿宋" w:hAnsi="仿宋" w:eastAsia="仿宋" w:cs="仿宋"/>
          <w:sz w:val="28"/>
          <w:szCs w:val="28"/>
          <w:lang w:val="en-US" w:eastAsia="zh-CN"/>
        </w:rPr>
        <w:t>项目</w:t>
      </w:r>
      <w:r>
        <w:rPr>
          <w:rFonts w:hint="eastAsia" w:ascii="仿宋" w:hAnsi="仿宋" w:eastAsia="仿宋" w:cs="仿宋"/>
          <w:sz w:val="28"/>
          <w:szCs w:val="28"/>
          <w:lang w:eastAsia="zh-CN"/>
        </w:rPr>
        <w:t>采购预算：人民币114万元。</w:t>
      </w:r>
    </w:p>
    <w:p w14:paraId="62239BAF">
      <w:pPr>
        <w:pStyle w:val="2"/>
        <w:keepNext/>
        <w:keepLines/>
        <w:spacing w:before="340" w:beforeAutospacing="0" w:after="330" w:afterAutospacing="0" w:line="578" w:lineRule="auto"/>
        <w:ind w:left="420" w:hanging="420"/>
        <w:jc w:val="center"/>
        <w:rPr>
          <w:rFonts w:hint="default" w:eastAsia="黑体" w:cstheme="minorBidi"/>
          <w:sz w:val="44"/>
          <w:szCs w:val="44"/>
        </w:rPr>
      </w:pPr>
      <w:bookmarkStart w:id="1" w:name="_Toc14296"/>
      <w:r>
        <w:rPr>
          <w:rFonts w:hint="eastAsia" w:eastAsia="黑体" w:cstheme="minorBidi"/>
          <w:sz w:val="44"/>
          <w:szCs w:val="44"/>
        </w:rPr>
        <w:t>第一部分</w:t>
      </w:r>
      <w:r>
        <w:rPr>
          <w:rFonts w:hint="default" w:eastAsia="黑体" w:cstheme="minorBidi"/>
          <w:sz w:val="44"/>
          <w:szCs w:val="44"/>
        </w:rPr>
        <w:t xml:space="preserve">  </w:t>
      </w:r>
      <w:r>
        <w:rPr>
          <w:rFonts w:hint="eastAsia" w:eastAsia="黑体" w:cstheme="minorBidi"/>
          <w:sz w:val="44"/>
          <w:szCs w:val="44"/>
        </w:rPr>
        <w:t>供应商资格要求</w:t>
      </w:r>
      <w:bookmarkEnd w:id="1"/>
    </w:p>
    <w:p w14:paraId="5BEDA573">
      <w:pPr>
        <w:keepNext w:val="0"/>
        <w:keepLines w:val="0"/>
        <w:widowControl w:val="0"/>
        <w:wordWrap w:val="0"/>
        <w:topLinePunct/>
        <w:adjustRightInd w:val="0"/>
        <w:spacing w:before="0" w:after="0" w:line="360" w:lineRule="auto"/>
        <w:ind w:firstLine="560" w:firstLineChars="200"/>
        <w:outlineLvl w:val="1"/>
        <w:rPr>
          <w:rFonts w:hint="eastAsia" w:ascii="黑体" w:hAnsi="黑体" w:eastAsia="黑体" w:cs="黑体"/>
          <w:b w:val="0"/>
          <w:bCs/>
          <w:kern w:val="2"/>
          <w:sz w:val="28"/>
          <w:szCs w:val="28"/>
          <w:lang w:val="hr-HR" w:eastAsia="zh-CN" w:bidi="ar-SA"/>
        </w:rPr>
      </w:pPr>
      <w:r>
        <w:rPr>
          <w:rFonts w:hint="eastAsia" w:ascii="黑体" w:hAnsi="黑体" w:eastAsia="黑体" w:cs="黑体"/>
          <w:b w:val="0"/>
          <w:bCs/>
          <w:kern w:val="2"/>
          <w:sz w:val="28"/>
          <w:szCs w:val="28"/>
          <w:lang w:val="en-US" w:eastAsia="zh-CN" w:bidi="ar-SA"/>
        </w:rPr>
        <w:t>一、</w:t>
      </w:r>
      <w:r>
        <w:rPr>
          <w:rFonts w:hint="eastAsia" w:ascii="黑体" w:hAnsi="黑体" w:eastAsia="黑体" w:cs="黑体"/>
          <w:b w:val="0"/>
          <w:bCs/>
          <w:kern w:val="2"/>
          <w:sz w:val="28"/>
          <w:szCs w:val="28"/>
          <w:lang w:val="hr-HR" w:eastAsia="zh-CN" w:bidi="ar-SA"/>
        </w:rPr>
        <w:t>基本资格要求：</w:t>
      </w:r>
    </w:p>
    <w:p w14:paraId="609542E7">
      <w:pPr>
        <w:spacing w:line="360" w:lineRule="auto"/>
        <w:ind w:firstLine="560" w:firstLineChars="200"/>
        <w:jc w:val="both"/>
        <w:rPr>
          <w:rFonts w:hint="eastAsia" w:ascii="仿宋" w:hAnsi="仿宋" w:eastAsia="仿宋" w:cs="仿宋"/>
          <w:sz w:val="28"/>
          <w:szCs w:val="28"/>
          <w:lang w:val="hr-HR"/>
        </w:rPr>
      </w:pPr>
      <w:r>
        <w:rPr>
          <w:rFonts w:hint="eastAsia" w:ascii="仿宋" w:hAnsi="仿宋" w:eastAsia="仿宋" w:cs="仿宋"/>
          <w:sz w:val="28"/>
          <w:szCs w:val="28"/>
          <w:lang w:val="hr-HR"/>
        </w:rPr>
        <w:t>1.满足《中华人民共和国政府采购法》第二十二条规定，即：</w:t>
      </w:r>
    </w:p>
    <w:p w14:paraId="36314E35">
      <w:pPr>
        <w:spacing w:line="360" w:lineRule="auto"/>
        <w:ind w:firstLine="560" w:firstLineChars="200"/>
        <w:jc w:val="both"/>
        <w:rPr>
          <w:rFonts w:hint="eastAsia" w:ascii="仿宋" w:hAnsi="仿宋" w:eastAsia="仿宋" w:cs="仿宋"/>
          <w:sz w:val="28"/>
          <w:szCs w:val="28"/>
          <w:lang w:val="hr-HR"/>
        </w:rPr>
      </w:pPr>
      <w:r>
        <w:rPr>
          <w:rFonts w:hint="eastAsia" w:ascii="仿宋" w:hAnsi="仿宋" w:eastAsia="仿宋" w:cs="仿宋"/>
          <w:sz w:val="28"/>
          <w:szCs w:val="28"/>
          <w:lang w:val="hr-HR"/>
        </w:rPr>
        <w:t>（1）具有独立承担民事责任的能力；</w:t>
      </w:r>
    </w:p>
    <w:p w14:paraId="38178D15">
      <w:pPr>
        <w:spacing w:line="360" w:lineRule="auto"/>
        <w:ind w:firstLine="560" w:firstLineChars="200"/>
        <w:jc w:val="both"/>
        <w:rPr>
          <w:rFonts w:hint="eastAsia" w:ascii="仿宋" w:hAnsi="仿宋" w:eastAsia="仿宋" w:cs="仿宋"/>
          <w:sz w:val="28"/>
          <w:szCs w:val="28"/>
          <w:lang w:val="hr-HR"/>
        </w:rPr>
      </w:pPr>
      <w:r>
        <w:rPr>
          <w:rFonts w:hint="eastAsia" w:ascii="仿宋" w:hAnsi="仿宋" w:eastAsia="仿宋" w:cs="仿宋"/>
          <w:sz w:val="28"/>
          <w:szCs w:val="28"/>
          <w:lang w:val="hr-HR"/>
        </w:rPr>
        <w:t>（2）具有良好的商业信誉和健全的财务会计制度；</w:t>
      </w:r>
    </w:p>
    <w:p w14:paraId="45C6AB82">
      <w:pPr>
        <w:spacing w:line="360" w:lineRule="auto"/>
        <w:ind w:firstLine="560" w:firstLineChars="200"/>
        <w:jc w:val="both"/>
        <w:rPr>
          <w:rFonts w:hint="eastAsia" w:ascii="仿宋" w:hAnsi="仿宋" w:eastAsia="仿宋" w:cs="仿宋"/>
          <w:sz w:val="28"/>
          <w:szCs w:val="28"/>
          <w:lang w:val="hr-HR"/>
        </w:rPr>
      </w:pPr>
      <w:r>
        <w:rPr>
          <w:rFonts w:hint="eastAsia" w:ascii="仿宋" w:hAnsi="仿宋" w:eastAsia="仿宋" w:cs="仿宋"/>
          <w:sz w:val="28"/>
          <w:szCs w:val="28"/>
          <w:lang w:val="hr-HR"/>
        </w:rPr>
        <w:t>（3）具有履行合同所必需的设备和专业技术能力；</w:t>
      </w:r>
    </w:p>
    <w:p w14:paraId="100BFB06">
      <w:pPr>
        <w:spacing w:line="360" w:lineRule="auto"/>
        <w:ind w:firstLine="560" w:firstLineChars="200"/>
        <w:jc w:val="both"/>
        <w:rPr>
          <w:rFonts w:hint="eastAsia" w:ascii="仿宋" w:hAnsi="仿宋" w:eastAsia="仿宋" w:cs="仿宋"/>
          <w:sz w:val="28"/>
          <w:szCs w:val="28"/>
          <w:lang w:val="hr-HR"/>
        </w:rPr>
      </w:pPr>
      <w:r>
        <w:rPr>
          <w:rFonts w:hint="eastAsia" w:ascii="仿宋" w:hAnsi="仿宋" w:eastAsia="仿宋" w:cs="仿宋"/>
          <w:sz w:val="28"/>
          <w:szCs w:val="28"/>
          <w:lang w:val="hr-HR"/>
        </w:rPr>
        <w:t>（4）有依法缴纳税收和社会保障资金的良好记录；</w:t>
      </w:r>
    </w:p>
    <w:p w14:paraId="7B5530B6">
      <w:pPr>
        <w:spacing w:line="360" w:lineRule="auto"/>
        <w:ind w:firstLine="560" w:firstLineChars="200"/>
        <w:jc w:val="both"/>
        <w:rPr>
          <w:rFonts w:hint="eastAsia" w:ascii="仿宋" w:hAnsi="仿宋" w:eastAsia="仿宋" w:cs="仿宋"/>
          <w:sz w:val="28"/>
          <w:szCs w:val="28"/>
          <w:lang w:val="hr-HR"/>
        </w:rPr>
      </w:pPr>
      <w:r>
        <w:rPr>
          <w:rFonts w:hint="eastAsia" w:ascii="仿宋" w:hAnsi="仿宋" w:eastAsia="仿宋" w:cs="仿宋"/>
          <w:sz w:val="28"/>
          <w:szCs w:val="28"/>
          <w:lang w:val="hr-HR"/>
        </w:rPr>
        <w:t>（5）参加政府采购活动前三年内，在经营活动中没有重大违法记录；</w:t>
      </w:r>
    </w:p>
    <w:p w14:paraId="64B9A901">
      <w:pPr>
        <w:spacing w:line="360" w:lineRule="auto"/>
        <w:ind w:firstLine="560" w:firstLineChars="200"/>
        <w:jc w:val="both"/>
        <w:rPr>
          <w:rFonts w:hint="eastAsia" w:ascii="仿宋" w:hAnsi="仿宋" w:eastAsia="仿宋" w:cs="仿宋"/>
          <w:sz w:val="28"/>
          <w:szCs w:val="28"/>
          <w:lang w:val="hr-HR"/>
        </w:rPr>
      </w:pPr>
      <w:r>
        <w:rPr>
          <w:rFonts w:hint="eastAsia" w:ascii="仿宋" w:hAnsi="仿宋" w:eastAsia="仿宋" w:cs="仿宋"/>
          <w:sz w:val="28"/>
          <w:szCs w:val="28"/>
          <w:lang w:val="hr-HR"/>
        </w:rPr>
        <w:t>（6）法律、行政法规规定的其他条件。</w:t>
      </w:r>
    </w:p>
    <w:p w14:paraId="2D8BA1E3">
      <w:pPr>
        <w:spacing w:line="360" w:lineRule="auto"/>
        <w:ind w:firstLine="560" w:firstLineChars="200"/>
        <w:jc w:val="both"/>
        <w:rPr>
          <w:rFonts w:hint="eastAsia" w:ascii="仿宋" w:hAnsi="仿宋" w:eastAsia="仿宋" w:cs="仿宋"/>
          <w:sz w:val="28"/>
          <w:szCs w:val="28"/>
          <w:lang w:val="hr-HR"/>
        </w:rPr>
      </w:pPr>
      <w:r>
        <w:rPr>
          <w:rFonts w:hint="eastAsia" w:ascii="仿宋" w:hAnsi="仿宋" w:eastAsia="仿宋" w:cs="仿宋"/>
          <w:sz w:val="28"/>
          <w:szCs w:val="28"/>
          <w:lang w:val="hr-HR"/>
        </w:rPr>
        <w:t>2.单位负责人为同一人或者存在直接控股、管理关系的不同供应商，不得参加本项目同一合同项下的政府采购活动。</w:t>
      </w:r>
    </w:p>
    <w:p w14:paraId="35BBFB91">
      <w:pPr>
        <w:spacing w:line="360" w:lineRule="auto"/>
        <w:ind w:firstLine="560" w:firstLineChars="200"/>
        <w:jc w:val="both"/>
        <w:rPr>
          <w:rFonts w:hint="eastAsia" w:ascii="仿宋" w:hAnsi="仿宋" w:eastAsia="仿宋" w:cs="仿宋"/>
          <w:sz w:val="28"/>
          <w:szCs w:val="28"/>
          <w:lang w:val="hr-HR"/>
        </w:rPr>
      </w:pPr>
      <w:r>
        <w:rPr>
          <w:rFonts w:hint="eastAsia" w:ascii="仿宋" w:hAnsi="仿宋" w:eastAsia="仿宋" w:cs="仿宋"/>
          <w:sz w:val="28"/>
          <w:szCs w:val="28"/>
          <w:lang w:val="hr-HR"/>
        </w:rPr>
        <w:t>3.为本采购项目提供整体设计、规范编制或者项目管理、监理、检测等服务的，不得再参加本项目的其他招标采购活动。</w:t>
      </w:r>
    </w:p>
    <w:p w14:paraId="4C23B995">
      <w:pPr>
        <w:spacing w:line="360" w:lineRule="auto"/>
        <w:ind w:firstLine="560" w:firstLineChars="200"/>
        <w:jc w:val="both"/>
        <w:rPr>
          <w:rFonts w:hint="eastAsia" w:ascii="仿宋" w:hAnsi="仿宋" w:eastAsia="仿宋" w:cs="仿宋"/>
          <w:sz w:val="28"/>
          <w:szCs w:val="28"/>
          <w:lang w:val="hr-HR"/>
        </w:rPr>
      </w:pPr>
      <w:r>
        <w:rPr>
          <w:rFonts w:hint="eastAsia" w:ascii="仿宋" w:hAnsi="仿宋" w:eastAsia="仿宋" w:cs="仿宋"/>
          <w:sz w:val="28"/>
          <w:szCs w:val="28"/>
          <w:lang w:val="hr-HR"/>
        </w:rPr>
        <w:t>4.未被列入失信被执行人、重大税收违法失信主体，未被列入政府采购严重违法失信行为记录名单。</w:t>
      </w:r>
    </w:p>
    <w:p w14:paraId="5D7E811E">
      <w:pPr>
        <w:spacing w:line="360" w:lineRule="auto"/>
        <w:ind w:firstLine="560" w:firstLineChars="200"/>
        <w:jc w:val="both"/>
        <w:rPr>
          <w:rFonts w:hint="eastAsia" w:ascii="仿宋" w:hAnsi="仿宋" w:eastAsia="仿宋" w:cs="仿宋"/>
          <w:sz w:val="28"/>
          <w:szCs w:val="28"/>
          <w:lang w:val="hr-HR"/>
        </w:rPr>
      </w:pPr>
      <w:r>
        <w:rPr>
          <w:rFonts w:hint="eastAsia" w:ascii="仿宋" w:hAnsi="仿宋" w:eastAsia="仿宋" w:cs="仿宋"/>
          <w:sz w:val="28"/>
          <w:szCs w:val="28"/>
          <w:lang w:val="hr-HR"/>
        </w:rPr>
        <w:t>5.落实政府采购政策需满足的资格要求：本项目需落实的节能环保、中小微型企业扶持（含支持监狱企业发展、促进残疾人就业）等相关政府采购政策详见磋商文件。</w:t>
      </w:r>
    </w:p>
    <w:p w14:paraId="3BC99AAE">
      <w:pPr>
        <w:spacing w:line="360" w:lineRule="auto"/>
        <w:ind w:firstLine="560" w:firstLineChars="200"/>
        <w:jc w:val="both"/>
        <w:rPr>
          <w:rFonts w:hint="eastAsia" w:ascii="仿宋" w:hAnsi="仿宋" w:eastAsia="仿宋" w:cs="仿宋"/>
          <w:sz w:val="28"/>
          <w:szCs w:val="28"/>
          <w:lang w:val="hr-HR"/>
        </w:rPr>
      </w:pPr>
      <w:r>
        <w:rPr>
          <w:rFonts w:hint="eastAsia" w:ascii="仿宋" w:hAnsi="仿宋" w:eastAsia="仿宋" w:cs="仿宋"/>
          <w:sz w:val="28"/>
          <w:szCs w:val="28"/>
          <w:lang w:val="hr-HR"/>
        </w:rPr>
        <w:t>6.供应商特定资格要求：供应商需取得质量技术监督管理局颁发的计量认定（CMA）证书，且在有效期内；该证书检测资质范围需具备以下类别：①土壤（包含pH值、镉、汞、砷、铅、铬）；②地表水（包含pH值、水温、镉、汞、砷、铅、铬）。</w:t>
      </w:r>
    </w:p>
    <w:p w14:paraId="2F077C81">
      <w:pPr>
        <w:rPr>
          <w:rFonts w:ascii="仿宋" w:hAnsi="仿宋" w:eastAsia="仿宋" w:cs="仿宋"/>
          <w:bCs w:val="0"/>
          <w:color w:val="000000" w:themeColor="text1"/>
          <w:sz w:val="28"/>
          <w:szCs w:val="28"/>
          <w14:textFill>
            <w14:solidFill>
              <w14:schemeClr w14:val="tx1"/>
            </w14:solidFill>
          </w14:textFill>
        </w:rPr>
      </w:pPr>
      <w:bookmarkStart w:id="2" w:name="_Toc6283"/>
      <w:bookmarkStart w:id="94" w:name="_GoBack"/>
      <w:bookmarkEnd w:id="94"/>
      <w:r>
        <w:rPr>
          <w:rFonts w:ascii="仿宋" w:hAnsi="仿宋" w:eastAsia="仿宋" w:cs="仿宋"/>
          <w:bCs w:val="0"/>
          <w:color w:val="000000" w:themeColor="text1"/>
          <w:sz w:val="28"/>
          <w:szCs w:val="28"/>
          <w14:textFill>
            <w14:solidFill>
              <w14:schemeClr w14:val="tx1"/>
            </w14:solidFill>
          </w14:textFill>
        </w:rPr>
        <w:br w:type="page"/>
      </w:r>
    </w:p>
    <w:p w14:paraId="3B960B18">
      <w:pPr>
        <w:pStyle w:val="2"/>
        <w:keepNext/>
        <w:keepLines/>
        <w:spacing w:before="340" w:beforeAutospacing="0" w:after="330" w:afterAutospacing="0" w:line="578" w:lineRule="auto"/>
        <w:ind w:left="420" w:hanging="420"/>
        <w:jc w:val="center"/>
        <w:rPr>
          <w:rFonts w:hint="default" w:eastAsia="黑体" w:cstheme="minorBidi"/>
          <w:sz w:val="44"/>
          <w:szCs w:val="44"/>
        </w:rPr>
      </w:pPr>
      <w:bookmarkStart w:id="3" w:name="_Toc27857"/>
      <w:r>
        <w:rPr>
          <w:rFonts w:hint="eastAsia" w:eastAsia="黑体" w:cstheme="minorBidi"/>
          <w:sz w:val="44"/>
          <w:szCs w:val="44"/>
        </w:rPr>
        <w:t xml:space="preserve">第二部分  </w:t>
      </w:r>
      <w:bookmarkStart w:id="4" w:name="_Toc1421483"/>
      <w:bookmarkStart w:id="5" w:name="_Toc509997285"/>
      <w:r>
        <w:rPr>
          <w:rFonts w:hint="eastAsia" w:eastAsia="黑体" w:cstheme="minorBidi"/>
          <w:sz w:val="44"/>
          <w:szCs w:val="44"/>
        </w:rPr>
        <w:t>技术、服务及商务要求</w:t>
      </w:r>
      <w:bookmarkEnd w:id="2"/>
      <w:bookmarkEnd w:id="3"/>
      <w:bookmarkEnd w:id="4"/>
      <w:bookmarkEnd w:id="5"/>
    </w:p>
    <w:p w14:paraId="2711E254">
      <w:pPr>
        <w:keepNext w:val="0"/>
        <w:keepLines w:val="0"/>
        <w:widowControl w:val="0"/>
        <w:wordWrap w:val="0"/>
        <w:topLinePunct/>
        <w:adjustRightInd w:val="0"/>
        <w:spacing w:before="0" w:after="0" w:line="360" w:lineRule="auto"/>
        <w:ind w:firstLine="560" w:firstLineChars="200"/>
        <w:outlineLvl w:val="1"/>
        <w:rPr>
          <w:rFonts w:hint="eastAsia" w:ascii="黑体" w:hAnsi="黑体" w:eastAsia="黑体" w:cs="黑体"/>
          <w:b w:val="0"/>
          <w:bCs/>
          <w:kern w:val="2"/>
          <w:sz w:val="28"/>
          <w:szCs w:val="28"/>
          <w:lang w:val="zh-CN" w:eastAsia="zh-CN" w:bidi="ar-SA"/>
        </w:rPr>
      </w:pPr>
      <w:bookmarkStart w:id="6" w:name="_Toc8451"/>
      <w:bookmarkStart w:id="7" w:name="_Toc20349"/>
      <w:bookmarkStart w:id="8" w:name="_Toc29518"/>
      <w:bookmarkStart w:id="9" w:name="_Toc26463"/>
      <w:r>
        <w:rPr>
          <w:rFonts w:hint="eastAsia" w:ascii="黑体" w:hAnsi="黑体" w:eastAsia="黑体" w:cs="黑体"/>
          <w:b w:val="0"/>
          <w:bCs/>
          <w:kern w:val="2"/>
          <w:sz w:val="28"/>
          <w:szCs w:val="28"/>
          <w:lang w:val="en-US" w:eastAsia="zh-CN" w:bidi="ar-SA"/>
        </w:rPr>
        <w:t>一</w:t>
      </w:r>
      <w:r>
        <w:rPr>
          <w:rFonts w:hint="eastAsia" w:ascii="黑体" w:hAnsi="黑体" w:eastAsia="黑体" w:cs="黑体"/>
          <w:b w:val="0"/>
          <w:bCs/>
          <w:kern w:val="2"/>
          <w:sz w:val="28"/>
          <w:szCs w:val="28"/>
          <w:lang w:val="zh-CN" w:eastAsia="zh-CN" w:bidi="ar-SA"/>
        </w:rPr>
        <w:t>、</w:t>
      </w:r>
      <w:r>
        <w:rPr>
          <w:rFonts w:hint="eastAsia" w:ascii="黑体" w:hAnsi="黑体" w:eastAsia="黑体" w:cs="黑体"/>
          <w:b w:val="0"/>
          <w:bCs/>
          <w:kern w:val="2"/>
          <w:sz w:val="28"/>
          <w:szCs w:val="28"/>
          <w:lang w:val="en-US" w:eastAsia="zh-CN" w:bidi="ar-SA"/>
        </w:rPr>
        <w:t>采购清单</w:t>
      </w:r>
      <w:bookmarkEnd w:id="6"/>
      <w:bookmarkEnd w:id="7"/>
      <w:bookmarkEnd w:id="8"/>
    </w:p>
    <w:tbl>
      <w:tblPr>
        <w:tblStyle w:val="1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931"/>
        <w:gridCol w:w="918"/>
        <w:gridCol w:w="942"/>
        <w:gridCol w:w="860"/>
        <w:gridCol w:w="3063"/>
      </w:tblGrid>
      <w:tr w14:paraId="7F83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469" w:type="pct"/>
            <w:shd w:val="clear" w:color="auto" w:fill="auto"/>
            <w:vAlign w:val="center"/>
          </w:tcPr>
          <w:p w14:paraId="120CD28D">
            <w:pPr>
              <w:widowControl w:val="0"/>
              <w:adjustRightInd w:val="0"/>
              <w:snapToGrid w:val="0"/>
              <w:jc w:val="center"/>
              <w:rPr>
                <w:rFonts w:hint="eastAsia" w:ascii="仿宋" w:hAnsi="仿宋" w:eastAsia="仿宋" w:cs="仿宋"/>
                <w:b/>
                <w:bCs/>
                <w:kern w:val="2"/>
                <w:sz w:val="28"/>
                <w:szCs w:val="28"/>
                <w:lang w:val="en-US" w:eastAsia="zh-CN" w:bidi="ar-SA"/>
              </w:rPr>
            </w:pPr>
            <w:bookmarkStart w:id="10" w:name="_Toc338065594"/>
            <w:bookmarkStart w:id="11" w:name="_Toc339378680"/>
            <w:r>
              <w:rPr>
                <w:rFonts w:hint="eastAsia" w:ascii="仿宋" w:hAnsi="仿宋" w:eastAsia="仿宋" w:cs="仿宋"/>
                <w:b/>
                <w:bCs/>
                <w:kern w:val="2"/>
                <w:sz w:val="28"/>
                <w:szCs w:val="28"/>
                <w:lang w:val="en-US" w:eastAsia="zh-CN" w:bidi="ar-SA"/>
              </w:rPr>
              <w:t>序号</w:t>
            </w:r>
          </w:p>
        </w:tc>
        <w:tc>
          <w:tcPr>
            <w:tcW w:w="1134" w:type="pct"/>
            <w:shd w:val="clear" w:color="auto" w:fill="auto"/>
            <w:vAlign w:val="center"/>
          </w:tcPr>
          <w:p w14:paraId="6ABCDAF7">
            <w:pPr>
              <w:widowControl w:val="0"/>
              <w:adjustRightInd w:val="0"/>
              <w:snapToGrid w:val="0"/>
              <w:jc w:val="cente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采购标的名称</w:t>
            </w:r>
          </w:p>
        </w:tc>
        <w:tc>
          <w:tcPr>
            <w:tcW w:w="539" w:type="pct"/>
            <w:shd w:val="clear" w:color="auto" w:fill="auto"/>
            <w:vAlign w:val="center"/>
          </w:tcPr>
          <w:p w14:paraId="2FA104CE">
            <w:pPr>
              <w:widowControl w:val="0"/>
              <w:adjustRightInd w:val="0"/>
              <w:snapToGrid w:val="0"/>
              <w:jc w:val="cente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数量</w:t>
            </w:r>
          </w:p>
        </w:tc>
        <w:tc>
          <w:tcPr>
            <w:tcW w:w="553" w:type="pct"/>
            <w:shd w:val="clear" w:color="auto" w:fill="auto"/>
            <w:vAlign w:val="center"/>
          </w:tcPr>
          <w:p w14:paraId="30E2577C">
            <w:pPr>
              <w:widowControl w:val="0"/>
              <w:adjustRightInd w:val="0"/>
              <w:snapToGrid w:val="0"/>
              <w:jc w:val="cente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单位</w:t>
            </w:r>
          </w:p>
        </w:tc>
        <w:tc>
          <w:tcPr>
            <w:tcW w:w="505" w:type="pct"/>
            <w:vAlign w:val="center"/>
          </w:tcPr>
          <w:p w14:paraId="35C7A148">
            <w:pPr>
              <w:widowControl w:val="0"/>
              <w:adjustRightInd w:val="0"/>
              <w:snapToGrid w:val="0"/>
              <w:jc w:val="cente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所属行业</w:t>
            </w:r>
          </w:p>
        </w:tc>
        <w:tc>
          <w:tcPr>
            <w:tcW w:w="1799" w:type="pct"/>
            <w:shd w:val="clear" w:color="auto" w:fill="auto"/>
            <w:vAlign w:val="center"/>
          </w:tcPr>
          <w:p w14:paraId="60D84389">
            <w:pPr>
              <w:widowControl w:val="0"/>
              <w:adjustRightInd w:val="0"/>
              <w:snapToGrid w:val="0"/>
              <w:jc w:val="cente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要求/备注</w:t>
            </w:r>
          </w:p>
        </w:tc>
      </w:tr>
      <w:tr w14:paraId="279A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9" w:type="pct"/>
            <w:vAlign w:val="center"/>
          </w:tcPr>
          <w:p w14:paraId="1DCE872A">
            <w:pPr>
              <w:widowControl w:val="0"/>
              <w:adjustRightInd w:val="0"/>
              <w:snapToGrid w:val="0"/>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1134" w:type="pct"/>
            <w:vAlign w:val="center"/>
          </w:tcPr>
          <w:p w14:paraId="7DAABFF5">
            <w:pPr>
              <w:widowControl w:val="0"/>
              <w:adjustRightInd w:val="0"/>
              <w:snapToGrid w:val="0"/>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highlight w:val="none"/>
                <w:lang w:val="en-US" w:eastAsia="zh-CN" w:bidi="ar-SA"/>
              </w:rPr>
              <w:t>2024年东西湖区受污染耕地安全利用修复</w:t>
            </w:r>
          </w:p>
        </w:tc>
        <w:tc>
          <w:tcPr>
            <w:tcW w:w="539" w:type="pct"/>
            <w:vAlign w:val="center"/>
          </w:tcPr>
          <w:p w14:paraId="2C82AE71">
            <w:pPr>
              <w:widowControl w:val="0"/>
              <w:adjustRightInd w:val="0"/>
              <w:snapToGrid w:val="0"/>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553" w:type="pct"/>
            <w:vAlign w:val="center"/>
          </w:tcPr>
          <w:p w14:paraId="4F9B0377">
            <w:pPr>
              <w:widowControl w:val="0"/>
              <w:adjustRightInd w:val="0"/>
              <w:snapToGrid w:val="0"/>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项</w:t>
            </w:r>
          </w:p>
        </w:tc>
        <w:tc>
          <w:tcPr>
            <w:tcW w:w="505" w:type="pct"/>
            <w:vAlign w:val="center"/>
          </w:tcPr>
          <w:p w14:paraId="31D78A09">
            <w:pPr>
              <w:widowControl w:val="0"/>
              <w:adjustRightInd w:val="0"/>
              <w:snapToGrid w:val="0"/>
              <w:spacing w:line="360" w:lineRule="auto"/>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highlight w:val="none"/>
                <w:lang w:val="en-US" w:eastAsia="zh-CN" w:bidi="ar-SA"/>
              </w:rPr>
              <w:t>其他未列明行业</w:t>
            </w:r>
          </w:p>
        </w:tc>
        <w:tc>
          <w:tcPr>
            <w:tcW w:w="1799" w:type="pct"/>
            <w:vAlign w:val="center"/>
          </w:tcPr>
          <w:p w14:paraId="0436DC9B">
            <w:pPr>
              <w:widowControl w:val="0"/>
              <w:adjustRightInd w:val="0"/>
              <w:snapToGrid w:val="0"/>
              <w:spacing w:line="360" w:lineRule="auto"/>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hr-HR" w:eastAsia="zh-CN" w:bidi="ar-SA"/>
              </w:rPr>
              <w:t>开展东西湖区东山街道、辛安渡街道、新沟镇街道和慈惠街道受污染耕地修复与治理工作。</w:t>
            </w:r>
          </w:p>
        </w:tc>
      </w:tr>
      <w:bookmarkEnd w:id="10"/>
      <w:bookmarkEnd w:id="11"/>
    </w:tbl>
    <w:p w14:paraId="6CA9058C">
      <w:pPr>
        <w:spacing w:line="360" w:lineRule="auto"/>
        <w:ind w:firstLine="560" w:firstLineChars="200"/>
        <w:jc w:val="left"/>
        <w:rPr>
          <w:rFonts w:hint="eastAsia" w:ascii="仿宋" w:hAnsi="仿宋" w:eastAsia="仿宋" w:cs="仿宋"/>
          <w:sz w:val="28"/>
          <w:szCs w:val="28"/>
        </w:rPr>
      </w:pPr>
      <w:bookmarkStart w:id="12" w:name="_Toc27321"/>
      <w:bookmarkStart w:id="13" w:name="_Toc11838"/>
      <w:r>
        <w:rPr>
          <w:rFonts w:hint="eastAsia" w:ascii="黑体" w:hAnsi="黑体" w:eastAsia="黑体" w:cs="黑体"/>
          <w:b w:val="0"/>
          <w:sz w:val="28"/>
          <w:szCs w:val="28"/>
        </w:rPr>
        <w:t>二、</w:t>
      </w:r>
      <w:bookmarkEnd w:id="12"/>
      <w:bookmarkEnd w:id="13"/>
      <w:r>
        <w:rPr>
          <w:rFonts w:hint="eastAsia" w:ascii="黑体" w:hAnsi="黑体" w:eastAsia="黑体" w:cs="黑体"/>
          <w:b w:val="0"/>
          <w:sz w:val="28"/>
          <w:szCs w:val="28"/>
        </w:rPr>
        <w:t>项目背景</w:t>
      </w:r>
    </w:p>
    <w:p w14:paraId="2DF48160">
      <w:pPr>
        <w:spacing w:line="360" w:lineRule="auto"/>
        <w:ind w:firstLine="560" w:firstLineChars="200"/>
        <w:jc w:val="both"/>
        <w:rPr>
          <w:rFonts w:hint="eastAsia" w:ascii="宋体" w:hAnsi="宋体" w:eastAsia="宋体" w:cs="Times New Roman"/>
          <w:sz w:val="24"/>
          <w:szCs w:val="22"/>
        </w:rPr>
      </w:pPr>
      <w:r>
        <w:rPr>
          <w:rFonts w:hint="eastAsia" w:ascii="仿宋" w:hAnsi="仿宋" w:eastAsia="仿宋" w:cs="仿宋"/>
          <w:sz w:val="28"/>
          <w:szCs w:val="28"/>
        </w:rPr>
        <w:t>为进一步贯彻落实中央打赢土壤污染防治攻坚战的总体部署，继续做好我区受污染耕地安全利用工作，根据《中华人民共和国土壤污染防治法》《国务院关于印发土壤污染防治行动计划的通知》</w:t>
      </w:r>
      <w:r>
        <w:rPr>
          <w:rFonts w:hint="eastAsia" w:ascii="仿宋" w:hAnsi="仿宋" w:eastAsia="仿宋" w:cs="仿宋"/>
          <w:sz w:val="28"/>
          <w:szCs w:val="28"/>
          <w:lang w:eastAsia="zh-CN"/>
        </w:rPr>
        <w:t>（</w:t>
      </w:r>
      <w:r>
        <w:rPr>
          <w:rFonts w:hint="eastAsia" w:ascii="仿宋" w:hAnsi="仿宋" w:eastAsia="仿宋" w:cs="仿宋"/>
          <w:sz w:val="28"/>
          <w:szCs w:val="28"/>
        </w:rPr>
        <w:t>国发〔2016〕31号</w:t>
      </w:r>
      <w:r>
        <w:rPr>
          <w:rFonts w:hint="eastAsia" w:ascii="仿宋" w:hAnsi="仿宋" w:eastAsia="仿宋" w:cs="仿宋"/>
          <w:sz w:val="28"/>
          <w:szCs w:val="28"/>
          <w:lang w:eastAsia="zh-CN"/>
        </w:rPr>
        <w:t>）</w:t>
      </w:r>
      <w:r>
        <w:rPr>
          <w:rFonts w:hint="eastAsia" w:ascii="仿宋" w:hAnsi="仿宋" w:eastAsia="仿宋" w:cs="仿宋"/>
          <w:sz w:val="28"/>
          <w:szCs w:val="28"/>
        </w:rPr>
        <w:t>、《湖北省土壤污染防治条例》以及《2024年武汉市受污染耕地安全利用项目实施方案》</w:t>
      </w:r>
      <w:r>
        <w:rPr>
          <w:rFonts w:hint="eastAsia" w:ascii="仿宋" w:hAnsi="仿宋" w:eastAsia="仿宋" w:cs="仿宋"/>
          <w:sz w:val="28"/>
          <w:szCs w:val="28"/>
          <w:lang w:eastAsia="zh-CN"/>
        </w:rPr>
        <w:t>（</w:t>
      </w:r>
      <w:r>
        <w:rPr>
          <w:rFonts w:hint="eastAsia" w:ascii="仿宋" w:hAnsi="仿宋" w:eastAsia="仿宋" w:cs="仿宋"/>
          <w:sz w:val="28"/>
          <w:szCs w:val="28"/>
        </w:rPr>
        <w:t>武农办〔2024〕37号</w:t>
      </w:r>
      <w:r>
        <w:rPr>
          <w:rFonts w:hint="eastAsia" w:ascii="仿宋" w:hAnsi="仿宋" w:eastAsia="仿宋" w:cs="仿宋"/>
          <w:sz w:val="28"/>
          <w:szCs w:val="28"/>
          <w:lang w:eastAsia="zh-CN"/>
        </w:rPr>
        <w:t>）</w:t>
      </w:r>
      <w:r>
        <w:rPr>
          <w:rFonts w:hint="eastAsia" w:ascii="仿宋" w:hAnsi="仿宋" w:eastAsia="仿宋" w:cs="仿宋"/>
          <w:sz w:val="28"/>
          <w:szCs w:val="28"/>
        </w:rPr>
        <w:t>文件精神，扎实推进我区农用地安全利用工作开展，逐步改善耕地土壤环境质量，保障农产品质量安全，结合我区实际，做好我区受污染耕地安全利用工作，促进农业绿色可持续发展。</w:t>
      </w:r>
    </w:p>
    <w:p w14:paraId="27DE5083">
      <w:pPr>
        <w:spacing w:line="360" w:lineRule="auto"/>
        <w:ind w:firstLine="560" w:firstLineChars="200"/>
        <w:jc w:val="left"/>
        <w:rPr>
          <w:rFonts w:hint="eastAsia" w:ascii="黑体" w:hAnsi="黑体" w:eastAsia="黑体" w:cs="黑体"/>
          <w:b w:val="0"/>
          <w:sz w:val="28"/>
          <w:szCs w:val="28"/>
        </w:rPr>
      </w:pPr>
      <w:bookmarkStart w:id="14" w:name="_Toc8645"/>
      <w:bookmarkStart w:id="15" w:name="_Toc29059"/>
      <w:bookmarkStart w:id="16" w:name="_Toc28947"/>
      <w:r>
        <w:rPr>
          <w:rFonts w:hint="eastAsia" w:ascii="黑体" w:hAnsi="黑体" w:eastAsia="黑体" w:cs="黑体"/>
          <w:b w:val="0"/>
          <w:sz w:val="28"/>
          <w:szCs w:val="28"/>
          <w:lang w:val="en-US" w:eastAsia="zh-CN"/>
        </w:rPr>
        <w:t>三、</w:t>
      </w:r>
      <w:r>
        <w:rPr>
          <w:rFonts w:hint="eastAsia" w:ascii="黑体" w:hAnsi="黑体" w:eastAsia="黑体" w:cs="黑体"/>
          <w:b w:val="0"/>
          <w:sz w:val="28"/>
          <w:szCs w:val="28"/>
        </w:rPr>
        <w:t>工作目标</w:t>
      </w:r>
    </w:p>
    <w:p w14:paraId="06041016">
      <w:pPr>
        <w:spacing w:line="360" w:lineRule="auto"/>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以习近平新时代中国特色社会主义思想为指导，深入贯彻落实党的二十大精神，深入贯彻习近平生态文明思想，坚持以改善耕地土壤环境质量为核心，以保障农产品质量安全为目标，以强化耕地分类管理为抓手，持续巩固近年工作成效，克服农产品产地环境障碍，保障农产品质量安全。根据《关于严格落实湖北省2022-2025年受污染耕地安全利用目标任务的通知》</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鄂农发〔2022</w:t>
      </w:r>
      <w:r>
        <w:rPr>
          <w:rFonts w:hint="eastAsia" w:ascii="仿宋" w:hAnsi="仿宋" w:eastAsia="仿宋" w:cs="仿宋"/>
          <w:sz w:val="28"/>
          <w:szCs w:val="28"/>
        </w:rPr>
        <w:t>〕</w:t>
      </w:r>
      <w:r>
        <w:rPr>
          <w:rFonts w:hint="default" w:ascii="仿宋" w:hAnsi="仿宋" w:eastAsia="仿宋" w:cs="仿宋"/>
          <w:sz w:val="28"/>
          <w:szCs w:val="28"/>
          <w:lang w:val="en-US" w:eastAsia="zh-CN"/>
        </w:rPr>
        <w:t>27号</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、《湖北省2024年受污染耕地安全利用方案》</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鄂农发〔2024</w:t>
      </w:r>
      <w:r>
        <w:rPr>
          <w:rFonts w:hint="eastAsia" w:ascii="仿宋" w:hAnsi="仿宋" w:eastAsia="仿宋" w:cs="仿宋"/>
          <w:sz w:val="28"/>
          <w:szCs w:val="28"/>
        </w:rPr>
        <w:t>〕</w:t>
      </w:r>
      <w:r>
        <w:rPr>
          <w:rFonts w:hint="default" w:ascii="仿宋" w:hAnsi="仿宋" w:eastAsia="仿宋" w:cs="仿宋"/>
          <w:sz w:val="28"/>
          <w:szCs w:val="28"/>
          <w:lang w:val="en-US" w:eastAsia="zh-CN"/>
        </w:rPr>
        <w:t>18号</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和《2024年武汉市受污染耕地安全利用项目实施方案》</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武农办〔2024</w:t>
      </w:r>
      <w:r>
        <w:rPr>
          <w:rFonts w:hint="eastAsia" w:ascii="仿宋" w:hAnsi="仿宋" w:eastAsia="仿宋" w:cs="仿宋"/>
          <w:sz w:val="28"/>
          <w:szCs w:val="28"/>
        </w:rPr>
        <w:t>〕</w:t>
      </w:r>
      <w:r>
        <w:rPr>
          <w:rFonts w:hint="default" w:ascii="仿宋" w:hAnsi="仿宋" w:eastAsia="仿宋" w:cs="仿宋"/>
          <w:sz w:val="28"/>
          <w:szCs w:val="28"/>
          <w:lang w:val="en-US" w:eastAsia="zh-CN"/>
        </w:rPr>
        <w:t>37号</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要求，2024年东西湖区受污染耕地安全利用率达到92%以上。</w:t>
      </w:r>
    </w:p>
    <w:p w14:paraId="59033232">
      <w:pPr>
        <w:spacing w:line="360" w:lineRule="auto"/>
        <w:ind w:firstLine="560" w:firstLineChars="200"/>
        <w:jc w:val="left"/>
        <w:rPr>
          <w:rFonts w:hint="eastAsia" w:ascii="黑体" w:hAnsi="黑体" w:eastAsia="黑体" w:cs="黑体"/>
          <w:b w:val="0"/>
          <w:sz w:val="28"/>
          <w:szCs w:val="28"/>
          <w:lang w:val="en-US" w:eastAsia="zh-CN"/>
        </w:rPr>
      </w:pPr>
      <w:r>
        <w:rPr>
          <w:rFonts w:hint="eastAsia" w:ascii="黑体" w:hAnsi="黑体" w:eastAsia="黑体" w:cs="黑体"/>
          <w:b w:val="0"/>
          <w:sz w:val="28"/>
          <w:szCs w:val="28"/>
          <w:lang w:val="en-US" w:eastAsia="zh-CN"/>
        </w:rPr>
        <w:t>四、主要任务</w:t>
      </w:r>
    </w:p>
    <w:p w14:paraId="4D3FE9A0">
      <w:pPr>
        <w:spacing w:line="360" w:lineRule="auto"/>
        <w:ind w:firstLine="562" w:firstLineChars="20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w:t>
      </w:r>
      <w:r>
        <w:rPr>
          <w:rFonts w:hint="default" w:ascii="仿宋" w:hAnsi="仿宋" w:eastAsia="仿宋" w:cs="仿宋"/>
          <w:b/>
          <w:bCs/>
          <w:sz w:val="28"/>
          <w:szCs w:val="28"/>
          <w:lang w:val="en-US" w:eastAsia="zh-CN"/>
        </w:rPr>
        <w:t>一</w:t>
      </w:r>
      <w:r>
        <w:rPr>
          <w:rFonts w:hint="eastAsia" w:ascii="仿宋" w:hAnsi="仿宋" w:eastAsia="仿宋" w:cs="仿宋"/>
          <w:b/>
          <w:bCs/>
          <w:sz w:val="28"/>
          <w:szCs w:val="28"/>
          <w:lang w:val="en-US" w:eastAsia="zh-CN"/>
        </w:rPr>
        <w:t>）</w:t>
      </w:r>
      <w:r>
        <w:rPr>
          <w:rFonts w:hint="default" w:ascii="仿宋" w:hAnsi="仿宋" w:eastAsia="仿宋" w:cs="仿宋"/>
          <w:b/>
          <w:bCs/>
          <w:sz w:val="28"/>
          <w:szCs w:val="28"/>
          <w:lang w:val="en-US" w:eastAsia="zh-CN"/>
        </w:rPr>
        <w:t>因地制宜开展安全利用</w:t>
      </w:r>
    </w:p>
    <w:p w14:paraId="24A3B616">
      <w:pPr>
        <w:spacing w:line="360" w:lineRule="auto"/>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以《湖北省受污染耕地安全利用技术手册</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试行</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》为指导</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结合生产实际，因地制宜，采用适合本地的低积累作物品种及叶面阻控产品等，确定酸性土壤调节pH值、优化施肥及深翻耕等农艺调控措施的技术参数，对安全利用类耕地进行调控，降低农产品超标风险，确保完成受污染耕地安全利用率92%以上的任务目标。</w:t>
      </w:r>
    </w:p>
    <w:p w14:paraId="2DA8DFD5">
      <w:pPr>
        <w:keepNext w:val="0"/>
        <w:keepLines w:val="0"/>
        <w:widowControl w:val="0"/>
        <w:wordWrap w:val="0"/>
        <w:topLinePunct/>
        <w:adjustRightInd w:val="0"/>
        <w:spacing w:before="0" w:after="0" w:line="360" w:lineRule="auto"/>
        <w:ind w:firstLine="560" w:firstLineChars="200"/>
        <w:outlineLvl w:val="1"/>
        <w:rPr>
          <w:rFonts w:hint="default" w:ascii="黑体" w:hAnsi="黑体" w:eastAsia="黑体" w:cs="黑体"/>
          <w:b w:val="0"/>
          <w:bCs/>
          <w:kern w:val="2"/>
          <w:sz w:val="28"/>
          <w:szCs w:val="21"/>
          <w:highlight w:val="none"/>
          <w:lang w:val="en-US" w:eastAsia="zh-CN" w:bidi="ar-SA"/>
        </w:rPr>
      </w:pPr>
      <w:bookmarkStart w:id="17" w:name="_Toc31435"/>
      <w:r>
        <w:rPr>
          <w:rFonts w:hint="eastAsia" w:ascii="黑体" w:hAnsi="黑体" w:eastAsia="黑体" w:cs="黑体"/>
          <w:b w:val="0"/>
          <w:bCs/>
          <w:kern w:val="2"/>
          <w:sz w:val="28"/>
          <w:szCs w:val="21"/>
          <w:highlight w:val="none"/>
          <w:lang w:val="en-US" w:eastAsia="zh-CN" w:bidi="ar-SA"/>
        </w:rPr>
        <w:t>五、实施区域与范围</w:t>
      </w:r>
      <w:bookmarkEnd w:id="17"/>
    </w:p>
    <w:p w14:paraId="639271A9">
      <w:pPr>
        <w:adjustRightInd w:val="0"/>
        <w:spacing w:line="360" w:lineRule="auto"/>
        <w:ind w:firstLine="562" w:firstLineChars="200"/>
        <w:jc w:val="lef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（一）实施区域</w:t>
      </w:r>
    </w:p>
    <w:p w14:paraId="33D6F6E1">
      <w:pPr>
        <w:widowControl w:val="0"/>
        <w:spacing w:line="560" w:lineRule="exact"/>
        <w:ind w:firstLine="560" w:firstLineChars="200"/>
        <w:jc w:val="both"/>
        <w:rPr>
          <w:rFonts w:hint="eastAsia" w:ascii="仿宋" w:hAnsi="仿宋" w:eastAsia="仿宋" w:cs="仿宋"/>
          <w:kern w:val="2"/>
          <w:sz w:val="28"/>
          <w:szCs w:val="28"/>
          <w:highlight w:val="none"/>
          <w:lang w:val="en-US" w:eastAsia="zh-CN" w:bidi="ar-SA"/>
        </w:rPr>
      </w:pPr>
      <w:r>
        <w:rPr>
          <w:rFonts w:hint="default" w:ascii="仿宋" w:hAnsi="仿宋" w:eastAsia="仿宋" w:cs="仿宋"/>
          <w:kern w:val="2"/>
          <w:sz w:val="28"/>
          <w:szCs w:val="28"/>
          <w:lang w:val="en-US" w:eastAsia="zh-CN" w:bidi="ar-SA"/>
        </w:rPr>
        <w:t>对全区黄区进行踏勘，并对检测存在风险的区域进行修复与治理，重点对种植了粮食作物与蔬菜的地块优先修复，安全利用类耕地修复面积不少于4000亩（具体范围根据踏勘与监测情况确定）</w:t>
      </w:r>
      <w:r>
        <w:rPr>
          <w:rFonts w:hint="eastAsia" w:ascii="Times New Roman" w:hAnsi="Times New Roman" w:eastAsia="仿宋_GB2312" w:cs="Times New Roman"/>
          <w:kern w:val="2"/>
          <w:sz w:val="32"/>
          <w:szCs w:val="32"/>
          <w:lang w:val="en-US" w:eastAsia="zh-CN" w:bidi="ar-SA"/>
        </w:rPr>
        <w:t>。</w:t>
      </w:r>
    </w:p>
    <w:p w14:paraId="2877FE60">
      <w:pPr>
        <w:adjustRightInd w:val="0"/>
        <w:spacing w:line="360" w:lineRule="auto"/>
        <w:ind w:firstLine="562" w:firstLineChars="200"/>
        <w:jc w:val="left"/>
        <w:rPr>
          <w:rFonts w:hint="default"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（二）实施目标</w:t>
      </w:r>
    </w:p>
    <w:p w14:paraId="65BADC4F">
      <w:pPr>
        <w:adjustRightInd w:val="0"/>
        <w:spacing w:line="360" w:lineRule="auto"/>
        <w:ind w:firstLine="560" w:firstLineChars="20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1.实施区域农产品可食部位中重金属的浓度算术平均值显著小于或等于对应的标准限值，且农产品达标率达到90%。</w:t>
      </w:r>
    </w:p>
    <w:p w14:paraId="54C3D503">
      <w:pPr>
        <w:adjustRightInd w:val="0"/>
        <w:spacing w:line="360" w:lineRule="auto"/>
        <w:ind w:firstLine="560" w:firstLineChars="200"/>
        <w:jc w:val="left"/>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2.治理区域农产品每公顷产量（折算后）与同等条件下（以项目完成前一年当地农业部门公布的平均产量为准）相比减产幅度小于或等于10%。</w:t>
      </w:r>
    </w:p>
    <w:p w14:paraId="10160BC4">
      <w:pPr>
        <w:adjustRightInd w:val="0"/>
        <w:spacing w:line="360" w:lineRule="auto"/>
        <w:ind w:firstLine="562" w:firstLineChars="200"/>
        <w:jc w:val="left"/>
        <w:rPr>
          <w:rFonts w:hint="default"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（三）实施期限</w:t>
      </w:r>
    </w:p>
    <w:p w14:paraId="03205669">
      <w:pPr>
        <w:adjustRightInd w:val="0"/>
        <w:spacing w:line="360" w:lineRule="auto"/>
        <w:ind w:firstLine="560" w:firstLineChars="20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项目实施期限为</w:t>
      </w:r>
      <w:r>
        <w:rPr>
          <w:rFonts w:hint="eastAsia" w:ascii="仿宋" w:hAnsi="仿宋" w:eastAsia="仿宋" w:cs="仿宋"/>
          <w:sz w:val="28"/>
          <w:szCs w:val="28"/>
          <w:highlight w:val="none"/>
        </w:rPr>
        <w:t>合同签订后1年内</w:t>
      </w:r>
      <w:r>
        <w:rPr>
          <w:rFonts w:hint="eastAsia" w:ascii="仿宋" w:hAnsi="仿宋" w:eastAsia="仿宋" w:cs="仿宋"/>
          <w:kern w:val="2"/>
          <w:sz w:val="28"/>
          <w:szCs w:val="28"/>
          <w:highlight w:val="none"/>
          <w:lang w:val="en-US" w:eastAsia="zh-CN" w:bidi="ar-SA"/>
        </w:rPr>
        <w:t>。</w:t>
      </w:r>
    </w:p>
    <w:p w14:paraId="6299C8C5">
      <w:pPr>
        <w:keepNext w:val="0"/>
        <w:keepLines w:val="0"/>
        <w:widowControl w:val="0"/>
        <w:wordWrap w:val="0"/>
        <w:topLinePunct/>
        <w:adjustRightInd w:val="0"/>
        <w:spacing w:before="0" w:after="0" w:line="360" w:lineRule="auto"/>
        <w:ind w:firstLine="560" w:firstLineChars="200"/>
        <w:outlineLvl w:val="1"/>
        <w:rPr>
          <w:rFonts w:hint="default" w:ascii="黑体" w:hAnsi="黑体" w:eastAsia="黑体" w:cs="黑体"/>
          <w:b w:val="0"/>
          <w:bCs/>
          <w:kern w:val="2"/>
          <w:sz w:val="28"/>
          <w:szCs w:val="21"/>
          <w:highlight w:val="none"/>
          <w:lang w:val="en-US" w:eastAsia="zh-CN" w:bidi="ar-SA"/>
        </w:rPr>
      </w:pPr>
      <w:bookmarkStart w:id="18" w:name="_Toc12772"/>
      <w:r>
        <w:rPr>
          <w:rFonts w:hint="eastAsia" w:ascii="黑体" w:hAnsi="黑体" w:eastAsia="黑体" w:cs="黑体"/>
          <w:b w:val="0"/>
          <w:bCs/>
          <w:kern w:val="2"/>
          <w:sz w:val="28"/>
          <w:szCs w:val="21"/>
          <w:highlight w:val="none"/>
          <w:lang w:val="en-US" w:eastAsia="zh-CN" w:bidi="ar-SA"/>
        </w:rPr>
        <w:t>六、实施内容</w:t>
      </w:r>
      <w:bookmarkEnd w:id="18"/>
    </w:p>
    <w:p w14:paraId="1E5EDF6F">
      <w:pPr>
        <w:adjustRightInd w:val="0"/>
        <w:spacing w:line="360" w:lineRule="auto"/>
        <w:ind w:firstLine="562" w:firstLineChars="200"/>
        <w:jc w:val="lef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（一）技术方案</w:t>
      </w:r>
    </w:p>
    <w:p w14:paraId="52F70B85">
      <w:pPr>
        <w:adjustRightInd w:val="0"/>
        <w:spacing w:line="360" w:lineRule="auto"/>
        <w:ind w:firstLine="560" w:firstLineChars="20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在不改变原有利用方式的前提下，采取集中连片，根据污染物种类、土地利用类型、主要种植作物品种、种植结构等情况通过采用土壤调理、改良等环境友好型技术措施，实施治理修复根据前期数据分析，项目实施区域内存在轻微程度的单一镉风险。针对轻微污染风险区域，实施区域水田将采用重金属钝化剂+有机肥+叶面调控组合技术，旱地将采用生石灰+重金属钝化剂+微生物菌剂组合技术。通过翻耕机或人工将重金属钝化剂生石灰、微生物菌剂等土壤修复产品与耕作层土壤混合均匀，养护一周左右，在农作物种植时，使土壤修复产品与土壤中重金属发生反应，改善土壤环境质量。作业人员应当做好必要的劳动保护，防止物料灼伤皮肤。于农作物成熟后，配合第三方抽样检测，完成本次项目区建设工作，迎接项目验收。</w:t>
      </w:r>
    </w:p>
    <w:p w14:paraId="04F1CBFE">
      <w:pPr>
        <w:adjustRightInd w:val="0"/>
        <w:spacing w:line="360" w:lineRule="auto"/>
        <w:ind w:firstLine="562" w:firstLineChars="200"/>
        <w:jc w:val="left"/>
        <w:rPr>
          <w:rFonts w:hint="default"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（二）其他项目实施内容</w:t>
      </w:r>
    </w:p>
    <w:p w14:paraId="4F63D789">
      <w:pPr>
        <w:adjustRightInd w:val="0"/>
        <w:spacing w:line="360" w:lineRule="auto"/>
        <w:ind w:firstLine="560" w:firstLineChars="200"/>
        <w:jc w:val="left"/>
        <w:rPr>
          <w:rFonts w:hint="default" w:ascii="仿宋" w:hAnsi="仿宋" w:eastAsia="仿宋" w:cs="仿宋"/>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成交供应商在项目实施前，应做好项目实施组织设计，项目地踏勘与调查分析，提前规划好项目实施的物资、人员、机械等准备工作。在项目实施过程中，做好相关台账与影像资料记录。同时开展关于本项目的培训工作。必要时协同配合开展实施前土壤取样工作及安全利用区土壤、农产品取样监测分析评估工作。</w:t>
      </w:r>
    </w:p>
    <w:p w14:paraId="310F8EC7">
      <w:pPr>
        <w:keepNext w:val="0"/>
        <w:keepLines w:val="0"/>
        <w:widowControl w:val="0"/>
        <w:wordWrap w:val="0"/>
        <w:topLinePunct/>
        <w:adjustRightInd w:val="0"/>
        <w:spacing w:before="0" w:after="0" w:line="360" w:lineRule="auto"/>
        <w:ind w:firstLine="560" w:firstLineChars="200"/>
        <w:outlineLvl w:val="1"/>
        <w:rPr>
          <w:rFonts w:hint="eastAsia" w:ascii="仿宋" w:hAnsi="仿宋" w:eastAsia="仿宋" w:cs="仿宋"/>
          <w:b/>
          <w:bCs/>
          <w:kern w:val="2"/>
          <w:sz w:val="32"/>
          <w:szCs w:val="20"/>
          <w:lang w:val="en-US" w:eastAsia="zh-CN" w:bidi="ar-SA"/>
        </w:rPr>
      </w:pPr>
      <w:bookmarkStart w:id="19" w:name="_Toc2197"/>
      <w:r>
        <w:rPr>
          <w:rFonts w:hint="eastAsia" w:ascii="黑体" w:hAnsi="黑体" w:eastAsia="黑体" w:cs="黑体"/>
          <w:b w:val="0"/>
          <w:bCs/>
          <w:kern w:val="2"/>
          <w:sz w:val="28"/>
          <w:szCs w:val="21"/>
          <w:lang w:val="en-US" w:eastAsia="zh-CN" w:bidi="ar-SA"/>
        </w:rPr>
        <w:t>七、其他要求</w:t>
      </w:r>
      <w:bookmarkEnd w:id="14"/>
      <w:bookmarkEnd w:id="15"/>
      <w:bookmarkEnd w:id="16"/>
      <w:bookmarkEnd w:id="19"/>
    </w:p>
    <w:p w14:paraId="48AA4633">
      <w:pPr>
        <w:spacing w:line="360" w:lineRule="auto"/>
        <w:ind w:firstLine="560" w:firstLineChars="200"/>
        <w:jc w:val="both"/>
        <w:rPr>
          <w:rFonts w:hint="eastAsia" w:ascii="仿宋" w:hAnsi="仿宋" w:eastAsia="仿宋" w:cs="仿宋"/>
          <w:kern w:val="2"/>
          <w:sz w:val="28"/>
          <w:szCs w:val="28"/>
          <w:highlight w:val="none"/>
          <w:lang w:val="en-US" w:eastAsia="zh-CN" w:bidi="ar-SA"/>
        </w:rPr>
      </w:pPr>
      <w:bookmarkStart w:id="20" w:name="_Toc5262"/>
      <w:bookmarkStart w:id="21" w:name="_Toc16957"/>
      <w:bookmarkStart w:id="22" w:name="_Toc14724"/>
      <w:r>
        <w:rPr>
          <w:rFonts w:hint="eastAsia" w:ascii="仿宋" w:hAnsi="仿宋" w:eastAsia="仿宋" w:cs="仿宋"/>
          <w:kern w:val="2"/>
          <w:sz w:val="28"/>
          <w:szCs w:val="28"/>
          <w:highlight w:val="none"/>
          <w:lang w:val="en-US" w:eastAsia="zh-CN" w:bidi="ar-SA"/>
        </w:rPr>
        <w:t>1.报价要求：本项目一律用人民币报价且报价为总价包干。供应商报价应包含本项目的全部费用，包括全部服务、实施等所涉及的一切费用（如：增加耗材、材料涨价、人工、运输成本增加等因素等），对于本采购文件未列明，而供应商认为必需的费用也需列入磋商总报价。在合同实施时，采购人将不予支付成交供应商没有列入的项目费用，并认为此项目的费用已包括在磋商总报价中。</w:t>
      </w:r>
    </w:p>
    <w:p w14:paraId="43AAE388">
      <w:pPr>
        <w:spacing w:line="360" w:lineRule="auto"/>
        <w:ind w:firstLine="560" w:firstLineChars="20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本项目属于专业服务工作，工作内容较为繁复，当前不能完全确定采购需求，需由供应商结合自身项目经验和本项目实际情况提供相关服务方案等。供应商应对项目内容进行充分调研，能全面理解并准确分析本项目的需求及目的，提出有针对性、合理化的建议；提出实施方案提纲，拟定项目总体实施方案，涵盖目标任务、任务分工、组织实施、工作要求、协作机制等需求内容；能够对本项目的难点进行分析，并提出具体的应对措施；针对项目内容和总体要求，拟定项目进度计划及质量保障措施、服务方案等。为满足本项目要求，供应商应在合同履行期限内完成全部项目内容。</w:t>
      </w:r>
    </w:p>
    <w:p w14:paraId="14AB9500">
      <w:pPr>
        <w:spacing w:line="360" w:lineRule="auto"/>
        <w:ind w:firstLine="560" w:firstLineChars="200"/>
        <w:jc w:val="both"/>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为满足本项目要求，供应商应在合同履行期限内完成全部项目内容。供应商需在过去几年内在类似受污染耕地安全利用项目或耕地生产障碍修复利用业绩的经验和能力，确保在本项目中有足够的经验和专业知识来完成项目。本项目工作量大，专业性强，负责项目执行的拟派团队人员需具备足够数量且具有专业性，保障本项目完成质量，拟派参与本项目的人员具有相关的专业知识能力，能够很好地完成相关工作内容。为保障供应商能够完成本项目的检测任务，供应商需具备相应的</w:t>
      </w:r>
      <w:r>
        <w:rPr>
          <w:rFonts w:hint="eastAsia" w:ascii="仿宋" w:hAnsi="仿宋" w:eastAsia="仿宋" w:cs="Times New Roman"/>
          <w:sz w:val="28"/>
          <w:szCs w:val="28"/>
          <w:lang w:val="zh-CN"/>
        </w:rPr>
        <w:t>检测实验室。</w:t>
      </w:r>
    </w:p>
    <w:p w14:paraId="4AE1495A">
      <w:pPr>
        <w:spacing w:line="360" w:lineRule="auto"/>
        <w:ind w:firstLine="560" w:firstLineChars="20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4.违约责任</w:t>
      </w:r>
    </w:p>
    <w:p w14:paraId="6325718B">
      <w:pPr>
        <w:spacing w:line="360" w:lineRule="auto"/>
        <w:ind w:firstLine="560" w:firstLineChars="20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供应商提供的所有服务，应严格按照本采购文件及响应的各项服务具体内容执行，经采购人验收不合格的均提供无条件免费整改，直至满足合同要求为止。</w:t>
      </w:r>
    </w:p>
    <w:p w14:paraId="7211980D">
      <w:pPr>
        <w:spacing w:line="360" w:lineRule="auto"/>
        <w:ind w:firstLine="560" w:firstLineChars="20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供应商提供的服务不满足合同规定的，采购人有权终止合同。采购人终止合同后，有权以其认为适当的条件和方式购买本合同内未交付部分的服务，由此发生的额外费用由供应商承担；供应商提供的服务不符合合同约定或验收不合格的，采购人有权要求供应商及时整改；整改不合格或逾期完成整改的，采购人有权视为供应商提供的服务不满足合同规定。</w:t>
      </w:r>
    </w:p>
    <w:p w14:paraId="2EF1449C">
      <w:pPr>
        <w:spacing w:line="360" w:lineRule="auto"/>
        <w:ind w:firstLine="560" w:firstLineChars="200"/>
        <w:jc w:val="both"/>
        <w:rPr>
          <w:rFonts w:hint="eastAsia" w:ascii="宋体" w:hAnsi="宋体" w:eastAsia="宋体" w:cs="Times New Roman"/>
          <w:sz w:val="24"/>
          <w:szCs w:val="22"/>
          <w:lang w:val="en-US" w:eastAsia="zh-CN"/>
        </w:rPr>
      </w:pPr>
      <w:r>
        <w:rPr>
          <w:rFonts w:hint="eastAsia" w:ascii="仿宋" w:hAnsi="仿宋" w:eastAsia="仿宋" w:cs="仿宋"/>
          <w:kern w:val="2"/>
          <w:sz w:val="28"/>
          <w:szCs w:val="28"/>
          <w:highlight w:val="none"/>
          <w:lang w:val="en-US" w:eastAsia="zh-CN" w:bidi="ar-SA"/>
        </w:rPr>
        <w:t>5.供应商在提供服务的过程中如侵犯了第三方合法权益应该承担全部责任，给采购人造成损失的应该承担赔偿责任。采购人依法必须参与诉讼的，采购人律师费由乙方承担。</w:t>
      </w:r>
    </w:p>
    <w:p w14:paraId="23BE1371">
      <w:pPr>
        <w:keepNext w:val="0"/>
        <w:keepLines w:val="0"/>
        <w:widowControl w:val="0"/>
        <w:wordWrap w:val="0"/>
        <w:topLinePunct/>
        <w:adjustRightInd w:val="0"/>
        <w:spacing w:before="0" w:after="0" w:line="360" w:lineRule="auto"/>
        <w:ind w:firstLine="560" w:firstLineChars="200"/>
        <w:outlineLvl w:val="1"/>
        <w:rPr>
          <w:rFonts w:hint="eastAsia" w:ascii="黑体" w:hAnsi="黑体" w:eastAsia="黑体" w:cs="黑体"/>
          <w:b w:val="0"/>
          <w:bCs/>
          <w:kern w:val="2"/>
          <w:sz w:val="28"/>
          <w:szCs w:val="21"/>
          <w:highlight w:val="none"/>
          <w:lang w:val="en-US" w:eastAsia="zh-CN" w:bidi="ar-SA"/>
        </w:rPr>
      </w:pPr>
      <w:bookmarkStart w:id="23" w:name="_Toc8831"/>
      <w:r>
        <w:rPr>
          <w:rFonts w:hint="eastAsia" w:ascii="黑体" w:hAnsi="黑体" w:eastAsia="黑体" w:cs="黑体"/>
          <w:b w:val="0"/>
          <w:bCs/>
          <w:kern w:val="2"/>
          <w:sz w:val="28"/>
          <w:szCs w:val="21"/>
          <w:highlight w:val="none"/>
          <w:lang w:val="en-US" w:eastAsia="zh-CN" w:bidi="ar-SA"/>
        </w:rPr>
        <w:t>八、付款方式</w:t>
      </w:r>
      <w:bookmarkEnd w:id="20"/>
      <w:bookmarkEnd w:id="21"/>
      <w:bookmarkEnd w:id="22"/>
      <w:bookmarkEnd w:id="23"/>
    </w:p>
    <w:p w14:paraId="72C38675">
      <w:pPr>
        <w:keepNext w:val="0"/>
        <w:keepLines w:val="0"/>
        <w:widowControl w:val="0"/>
        <w:wordWrap w:val="0"/>
        <w:topLinePunct/>
        <w:adjustRightInd w:val="0"/>
        <w:spacing w:before="0" w:after="0" w:line="360" w:lineRule="auto"/>
        <w:ind w:firstLine="560" w:firstLineChars="200"/>
        <w:jc w:val="both"/>
        <w:outlineLvl w:val="1"/>
        <w:rPr>
          <w:rFonts w:hint="eastAsia" w:ascii="仿宋" w:hAnsi="仿宋" w:eastAsia="仿宋" w:cs="仿宋"/>
          <w:b w:val="0"/>
          <w:bCs w:val="0"/>
          <w:kern w:val="2"/>
          <w:sz w:val="28"/>
          <w:szCs w:val="28"/>
          <w:highlight w:val="none"/>
          <w:lang w:val="en-US" w:eastAsia="zh-CN" w:bidi="ar-SA"/>
        </w:rPr>
      </w:pPr>
      <w:bookmarkStart w:id="24" w:name="_Toc1275"/>
      <w:r>
        <w:rPr>
          <w:rFonts w:hint="eastAsia" w:ascii="仿宋" w:hAnsi="仿宋" w:eastAsia="仿宋" w:cs="仿宋"/>
          <w:b w:val="0"/>
          <w:bCs w:val="0"/>
          <w:kern w:val="2"/>
          <w:sz w:val="28"/>
          <w:szCs w:val="28"/>
          <w:highlight w:val="none"/>
          <w:lang w:val="en-US" w:eastAsia="zh-CN" w:bidi="ar-SA"/>
        </w:rPr>
        <w:t>自合同签订后，采购人向成交供应商支付合同总金额的50%；项目验收结束后，采购人向成交供应商支付合同总金额的50%。</w:t>
      </w:r>
      <w:bookmarkEnd w:id="24"/>
    </w:p>
    <w:p w14:paraId="652DB543">
      <w:pPr>
        <w:keepNext w:val="0"/>
        <w:keepLines w:val="0"/>
        <w:widowControl w:val="0"/>
        <w:wordWrap w:val="0"/>
        <w:topLinePunct/>
        <w:adjustRightInd w:val="0"/>
        <w:spacing w:before="0" w:after="0" w:line="360" w:lineRule="auto"/>
        <w:ind w:firstLine="560" w:firstLineChars="200"/>
        <w:outlineLvl w:val="1"/>
        <w:rPr>
          <w:rFonts w:hint="eastAsia" w:ascii="黑体" w:hAnsi="黑体" w:eastAsia="黑体" w:cs="黑体"/>
          <w:b w:val="0"/>
          <w:bCs/>
          <w:kern w:val="2"/>
          <w:sz w:val="28"/>
          <w:szCs w:val="21"/>
          <w:highlight w:val="none"/>
          <w:lang w:val="en-US" w:eastAsia="zh-CN" w:bidi="ar-SA"/>
        </w:rPr>
      </w:pPr>
      <w:bookmarkStart w:id="25" w:name="_Toc28236"/>
      <w:bookmarkStart w:id="26" w:name="_Toc3925"/>
      <w:bookmarkStart w:id="27" w:name="_Toc20471"/>
      <w:bookmarkStart w:id="28" w:name="_Toc32352"/>
      <w:r>
        <w:rPr>
          <w:rFonts w:hint="eastAsia" w:ascii="黑体" w:hAnsi="黑体" w:eastAsia="黑体" w:cs="黑体"/>
          <w:b w:val="0"/>
          <w:bCs/>
          <w:kern w:val="2"/>
          <w:sz w:val="28"/>
          <w:szCs w:val="21"/>
          <w:highlight w:val="none"/>
          <w:lang w:val="en-US" w:eastAsia="zh-CN" w:bidi="ar-SA"/>
        </w:rPr>
        <w:t>九、验收方式</w:t>
      </w:r>
      <w:bookmarkEnd w:id="25"/>
      <w:bookmarkEnd w:id="26"/>
      <w:bookmarkEnd w:id="27"/>
      <w:bookmarkEnd w:id="28"/>
    </w:p>
    <w:p w14:paraId="7A5A911A">
      <w:pPr>
        <w:wordWrap w:val="0"/>
        <w:topLinePunct/>
        <w:adjustRightIn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验收方式：验收将严格按照采购文件要求的服务规定和供应商响应文件的响应及承诺执行，验收不合格的应在规定时间内根据采购人要求进行免费整改，验收意见作为验收书的参考资料存档备查。在验收过程中发现质量问题，供应商应负责按照采购人的要求妥善处理，并承担由此发生的一切费用和损失。</w:t>
      </w:r>
    </w:p>
    <w:p w14:paraId="72ABAF7C">
      <w:pPr>
        <w:wordWrap w:val="0"/>
        <w:topLinePunct/>
        <w:adjustRightIn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组织形式：采购人自行组织验收，时间和地点由采购人与成交供应商双方协商确定。成交供应商应按要求拟派专业人员配合采购人提供相关验收资料并参与验收流程，成交供应商的相关费用自行承担。如未通过采购人的验收，采购人有权要求成交供应商修改、完善，直至通过验收。</w:t>
      </w:r>
    </w:p>
    <w:p w14:paraId="1CBE0C6D">
      <w:pPr>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sz w:val="28"/>
          <w:szCs w:val="28"/>
        </w:rPr>
        <w:t>3.验收标准：根据国家、湖北省相关法律法规、政策文件及行业标准等。</w:t>
      </w:r>
    </w:p>
    <w:p w14:paraId="550ACDE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6AEBC959">
      <w:pPr>
        <w:pStyle w:val="2"/>
        <w:keepNext/>
        <w:keepLines/>
        <w:spacing w:before="340" w:beforeAutospacing="0" w:after="330" w:afterAutospacing="0" w:line="578" w:lineRule="auto"/>
        <w:ind w:left="420" w:hanging="420"/>
        <w:jc w:val="center"/>
        <w:rPr>
          <w:rFonts w:hint="default" w:eastAsia="黑体" w:cstheme="minorBidi"/>
          <w:sz w:val="44"/>
          <w:szCs w:val="44"/>
          <w:lang w:val="en-US" w:eastAsia="zh-CN"/>
        </w:rPr>
      </w:pPr>
      <w:bookmarkStart w:id="29" w:name="_Toc23485"/>
      <w:r>
        <w:rPr>
          <w:rFonts w:hint="eastAsia" w:eastAsia="黑体" w:cstheme="minorBidi"/>
          <w:sz w:val="44"/>
          <w:szCs w:val="44"/>
        </w:rPr>
        <w:t xml:space="preserve">第三部分  </w:t>
      </w:r>
      <w:bookmarkEnd w:id="9"/>
      <w:r>
        <w:rPr>
          <w:rFonts w:hint="eastAsia" w:eastAsia="黑体" w:cstheme="minorBidi"/>
          <w:sz w:val="44"/>
          <w:szCs w:val="44"/>
        </w:rPr>
        <w:t>评审办法及标准</w:t>
      </w:r>
      <w:bookmarkEnd w:id="29"/>
    </w:p>
    <w:p w14:paraId="6A5E6224">
      <w:pPr>
        <w:keepNext w:val="0"/>
        <w:keepLines w:val="0"/>
        <w:widowControl w:val="0"/>
        <w:wordWrap w:val="0"/>
        <w:topLinePunct/>
        <w:adjustRightInd w:val="0"/>
        <w:spacing w:before="0" w:after="0" w:line="360" w:lineRule="auto"/>
        <w:ind w:firstLine="560" w:firstLineChars="200"/>
        <w:outlineLvl w:val="1"/>
        <w:rPr>
          <w:rFonts w:hint="eastAsia" w:ascii="黑体" w:hAnsi="黑体" w:eastAsia="黑体" w:cs="黑体"/>
          <w:b w:val="0"/>
          <w:bCs/>
          <w:kern w:val="2"/>
          <w:sz w:val="28"/>
          <w:szCs w:val="21"/>
          <w:highlight w:val="none"/>
          <w:lang w:val="en-US" w:eastAsia="zh-CN" w:bidi="ar-SA"/>
        </w:rPr>
      </w:pPr>
      <w:bookmarkStart w:id="30" w:name="_Toc17773"/>
      <w:bookmarkStart w:id="31" w:name="_Toc17447"/>
      <w:bookmarkStart w:id="32" w:name="_Toc26646"/>
      <w:bookmarkStart w:id="33" w:name="_Toc11032"/>
      <w:r>
        <w:rPr>
          <w:rFonts w:hint="eastAsia" w:ascii="黑体" w:hAnsi="黑体" w:eastAsia="黑体" w:cs="黑体"/>
          <w:b w:val="0"/>
          <w:bCs/>
          <w:kern w:val="2"/>
          <w:sz w:val="28"/>
          <w:szCs w:val="21"/>
          <w:highlight w:val="none"/>
          <w:lang w:val="en-US" w:eastAsia="zh-CN" w:bidi="ar-SA"/>
        </w:rPr>
        <w:t>一、评审方法</w:t>
      </w:r>
      <w:bookmarkEnd w:id="30"/>
      <w:bookmarkEnd w:id="31"/>
      <w:bookmarkEnd w:id="32"/>
      <w:bookmarkEnd w:id="33"/>
    </w:p>
    <w:p w14:paraId="3392D21E">
      <w:pPr>
        <w:pStyle w:val="32"/>
        <w:ind w:firstLine="560"/>
        <w:rPr>
          <w:rFonts w:hint="eastAsia" w:ascii="仿宋" w:hAnsi="仿宋" w:eastAsia="仿宋" w:cs="仿宋"/>
          <w:sz w:val="28"/>
          <w:szCs w:val="28"/>
        </w:rPr>
      </w:pPr>
      <w:r>
        <w:rPr>
          <w:rFonts w:hint="eastAsia" w:ascii="仿宋" w:hAnsi="仿宋" w:eastAsia="仿宋" w:cs="仿宋"/>
          <w:sz w:val="28"/>
          <w:szCs w:val="28"/>
        </w:rPr>
        <w:t>本项目采用综合评分法。综合评分法是指经磋商确定最终采购需求和提交最后报价</w:t>
      </w:r>
      <w:r>
        <w:rPr>
          <w:rFonts w:hint="eastAsia" w:ascii="仿宋" w:hAnsi="仿宋" w:eastAsia="仿宋" w:cs="仿宋"/>
          <w:b/>
          <w:bCs/>
          <w:sz w:val="28"/>
          <w:szCs w:val="28"/>
          <w:lang w:val="zh-CN"/>
        </w:rPr>
        <w:t>（因落实政府采购政策进行价格调整的，以调整后的价格计算）</w:t>
      </w:r>
      <w:r>
        <w:rPr>
          <w:rFonts w:hint="eastAsia" w:ascii="仿宋" w:hAnsi="仿宋" w:eastAsia="仿宋" w:cs="仿宋"/>
          <w:sz w:val="28"/>
          <w:szCs w:val="28"/>
        </w:rPr>
        <w:t>的供应商的响应文件满足磋商文件全部实质性要求且按评审因素的量化指标评审得分最高的供应商为成交候选供应商的评审方法。</w:t>
      </w:r>
    </w:p>
    <w:p w14:paraId="40D4B7F3">
      <w:pPr>
        <w:keepNext w:val="0"/>
        <w:keepLines w:val="0"/>
        <w:widowControl w:val="0"/>
        <w:wordWrap w:val="0"/>
        <w:topLinePunct/>
        <w:adjustRightInd w:val="0"/>
        <w:spacing w:before="0" w:after="0" w:line="360" w:lineRule="auto"/>
        <w:ind w:firstLine="560" w:firstLineChars="200"/>
        <w:outlineLvl w:val="1"/>
        <w:rPr>
          <w:rFonts w:hint="eastAsia" w:ascii="黑体" w:hAnsi="黑体" w:eastAsia="黑体" w:cs="黑体"/>
          <w:b w:val="0"/>
          <w:bCs/>
          <w:kern w:val="2"/>
          <w:sz w:val="28"/>
          <w:szCs w:val="21"/>
          <w:highlight w:val="none"/>
          <w:lang w:val="en-US" w:eastAsia="zh-CN" w:bidi="ar-SA"/>
        </w:rPr>
      </w:pPr>
      <w:bookmarkStart w:id="34" w:name="_Toc16674"/>
      <w:bookmarkStart w:id="35" w:name="_Toc24804"/>
      <w:bookmarkStart w:id="36" w:name="_Toc24936"/>
      <w:bookmarkStart w:id="37" w:name="_Toc12773"/>
      <w:r>
        <w:rPr>
          <w:rFonts w:hint="eastAsia" w:ascii="黑体" w:hAnsi="黑体" w:eastAsia="黑体" w:cs="黑体"/>
          <w:b w:val="0"/>
          <w:bCs/>
          <w:kern w:val="2"/>
          <w:sz w:val="28"/>
          <w:szCs w:val="21"/>
          <w:highlight w:val="none"/>
          <w:lang w:val="en-US" w:eastAsia="zh-CN" w:bidi="ar-SA"/>
        </w:rPr>
        <w:t>二、</w:t>
      </w:r>
      <w:bookmarkEnd w:id="34"/>
      <w:bookmarkEnd w:id="35"/>
      <w:bookmarkEnd w:id="36"/>
      <w:bookmarkStart w:id="38" w:name="_Toc13642"/>
      <w:bookmarkStart w:id="39" w:name="_Toc26429"/>
      <w:bookmarkStart w:id="40" w:name="_Toc12230"/>
      <w:r>
        <w:rPr>
          <w:rFonts w:hint="eastAsia" w:ascii="黑体" w:hAnsi="黑体" w:eastAsia="黑体" w:cs="黑体"/>
          <w:b w:val="0"/>
          <w:bCs/>
          <w:kern w:val="2"/>
          <w:sz w:val="28"/>
          <w:szCs w:val="21"/>
          <w:highlight w:val="none"/>
          <w:lang w:val="en-US" w:eastAsia="zh-CN" w:bidi="ar-SA"/>
        </w:rPr>
        <w:t>评审标准</w:t>
      </w:r>
      <w:bookmarkEnd w:id="37"/>
      <w:bookmarkEnd w:id="38"/>
      <w:bookmarkEnd w:id="39"/>
      <w:bookmarkEnd w:id="40"/>
    </w:p>
    <w:p w14:paraId="28804D62">
      <w:pPr>
        <w:pStyle w:val="4"/>
        <w:spacing w:before="0" w:after="0" w:line="360" w:lineRule="auto"/>
        <w:ind w:left="435" w:leftChars="207" w:firstLine="70" w:firstLineChars="25"/>
        <w:rPr>
          <w:rFonts w:hint="eastAsia" w:ascii="仿宋" w:hAnsi="仿宋" w:eastAsia="仿宋" w:cs="仿宋"/>
          <w:sz w:val="28"/>
          <w:szCs w:val="28"/>
        </w:rPr>
      </w:pPr>
      <w:bookmarkStart w:id="41" w:name="_Toc8934"/>
      <w:bookmarkStart w:id="42" w:name="_Toc26808"/>
      <w:bookmarkStart w:id="43" w:name="_Toc4416"/>
      <w:bookmarkStart w:id="44" w:name="_Toc2091"/>
      <w:r>
        <w:rPr>
          <w:rFonts w:hint="eastAsia" w:ascii="仿宋" w:hAnsi="仿宋" w:eastAsia="仿宋" w:cs="仿宋"/>
          <w:sz w:val="28"/>
          <w:szCs w:val="28"/>
        </w:rPr>
        <w:t>（一）资格性审查表</w:t>
      </w:r>
      <w:bookmarkEnd w:id="41"/>
      <w:bookmarkEnd w:id="42"/>
      <w:bookmarkEnd w:id="43"/>
      <w:bookmarkEnd w:id="44"/>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64"/>
        <w:gridCol w:w="2624"/>
        <w:gridCol w:w="5034"/>
      </w:tblGrid>
      <w:tr w14:paraId="2E94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43EDDA">
            <w:pPr>
              <w:pStyle w:val="31"/>
              <w:jc w:val="center"/>
              <w:rPr>
                <w:rFonts w:hint="eastAsia" w:ascii="黑体" w:hAnsi="黑体" w:eastAsia="黑体" w:cs="黑体"/>
                <w:sz w:val="24"/>
                <w:szCs w:val="24"/>
              </w:rPr>
            </w:pPr>
            <w:bookmarkStart w:id="45" w:name="_Hlk161711060"/>
            <w:bookmarkStart w:id="46" w:name="_Toc156490348"/>
            <w:r>
              <w:rPr>
                <w:rFonts w:hint="eastAsia" w:ascii="黑体" w:hAnsi="黑体" w:eastAsia="黑体" w:cs="黑体"/>
                <w:sz w:val="24"/>
                <w:szCs w:val="24"/>
              </w:rPr>
              <w:t>序号</w:t>
            </w:r>
          </w:p>
        </w:tc>
        <w:tc>
          <w:tcPr>
            <w:tcW w:w="153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182974C">
            <w:pPr>
              <w:pStyle w:val="31"/>
              <w:jc w:val="center"/>
              <w:rPr>
                <w:rFonts w:hint="eastAsia" w:ascii="黑体" w:hAnsi="黑体" w:eastAsia="黑体" w:cs="黑体"/>
                <w:sz w:val="24"/>
                <w:szCs w:val="24"/>
              </w:rPr>
            </w:pPr>
            <w:r>
              <w:rPr>
                <w:rFonts w:hint="eastAsia" w:ascii="黑体" w:hAnsi="黑体" w:eastAsia="黑体" w:cs="黑体"/>
                <w:sz w:val="24"/>
                <w:szCs w:val="24"/>
              </w:rPr>
              <w:t>资格要求</w:t>
            </w:r>
          </w:p>
        </w:tc>
        <w:tc>
          <w:tcPr>
            <w:tcW w:w="295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B789F19">
            <w:pPr>
              <w:pStyle w:val="31"/>
              <w:jc w:val="center"/>
              <w:rPr>
                <w:rFonts w:hint="eastAsia" w:ascii="黑体" w:hAnsi="黑体" w:eastAsia="黑体" w:cs="黑体"/>
                <w:sz w:val="24"/>
                <w:szCs w:val="24"/>
              </w:rPr>
            </w:pPr>
            <w:r>
              <w:rPr>
                <w:rFonts w:hint="eastAsia" w:ascii="黑体" w:hAnsi="黑体" w:eastAsia="黑体" w:cs="黑体"/>
                <w:sz w:val="24"/>
                <w:szCs w:val="24"/>
              </w:rPr>
              <w:t>审查内容</w:t>
            </w:r>
          </w:p>
        </w:tc>
      </w:tr>
      <w:tr w14:paraId="57F87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7" w:type="pct"/>
            <w:vMerge w:val="restart"/>
            <w:tcBorders>
              <w:top w:val="single" w:color="auto" w:sz="4" w:space="0"/>
              <w:left w:val="single" w:color="auto" w:sz="4" w:space="0"/>
              <w:bottom w:val="single" w:color="auto" w:sz="4" w:space="0"/>
              <w:right w:val="single" w:color="auto" w:sz="4" w:space="0"/>
            </w:tcBorders>
            <w:vAlign w:val="center"/>
          </w:tcPr>
          <w:p w14:paraId="6FF66177">
            <w:pPr>
              <w:pStyle w:val="31"/>
              <w:numPr>
                <w:ilvl w:val="0"/>
                <w:numId w:val="1"/>
              </w:numPr>
              <w:snapToGrid w:val="0"/>
              <w:spacing w:line="0" w:lineRule="atLeast"/>
              <w:jc w:val="center"/>
              <w:rPr>
                <w:rFonts w:hint="eastAsia" w:ascii="仿宋" w:hAnsi="仿宋" w:eastAsia="仿宋" w:cs="仿宋"/>
                <w:sz w:val="24"/>
                <w:szCs w:val="24"/>
              </w:rPr>
            </w:pPr>
          </w:p>
        </w:tc>
        <w:tc>
          <w:tcPr>
            <w:tcW w:w="1539" w:type="pct"/>
            <w:tcBorders>
              <w:top w:val="single" w:color="auto" w:sz="4" w:space="0"/>
              <w:left w:val="single" w:color="auto" w:sz="4" w:space="0"/>
              <w:bottom w:val="single" w:color="auto" w:sz="4" w:space="0"/>
              <w:right w:val="single" w:color="auto" w:sz="4" w:space="0"/>
            </w:tcBorders>
            <w:vAlign w:val="center"/>
          </w:tcPr>
          <w:p w14:paraId="1C10568D">
            <w:pPr>
              <w:pStyle w:val="31"/>
              <w:snapToGrid w:val="0"/>
              <w:spacing w:line="0" w:lineRule="atLeast"/>
              <w:jc w:val="both"/>
              <w:rPr>
                <w:rFonts w:hint="eastAsia" w:ascii="仿宋" w:hAnsi="仿宋" w:eastAsia="仿宋" w:cs="仿宋"/>
                <w:sz w:val="24"/>
                <w:szCs w:val="24"/>
              </w:rPr>
            </w:pPr>
            <w:r>
              <w:rPr>
                <w:rFonts w:hint="eastAsia" w:ascii="仿宋" w:hAnsi="仿宋" w:eastAsia="仿宋" w:cs="仿宋"/>
                <w:sz w:val="24"/>
                <w:szCs w:val="24"/>
              </w:rPr>
              <w:t>具有独立承担民事责任的能力</w:t>
            </w:r>
          </w:p>
        </w:tc>
        <w:tc>
          <w:tcPr>
            <w:tcW w:w="2952" w:type="pct"/>
            <w:tcBorders>
              <w:top w:val="single" w:color="auto" w:sz="4" w:space="0"/>
              <w:left w:val="single" w:color="auto" w:sz="4" w:space="0"/>
              <w:bottom w:val="single" w:color="auto" w:sz="4" w:space="0"/>
              <w:right w:val="single" w:color="auto" w:sz="4" w:space="0"/>
            </w:tcBorders>
            <w:vAlign w:val="center"/>
          </w:tcPr>
          <w:p w14:paraId="499F38C7">
            <w:pPr>
              <w:pStyle w:val="31"/>
              <w:snapToGrid w:val="0"/>
              <w:spacing w:line="0" w:lineRule="atLeast"/>
              <w:jc w:val="both"/>
              <w:rPr>
                <w:rFonts w:hint="eastAsia" w:ascii="仿宋" w:hAnsi="仿宋" w:eastAsia="仿宋" w:cs="仿宋"/>
                <w:sz w:val="24"/>
                <w:szCs w:val="24"/>
              </w:rPr>
            </w:pPr>
            <w:r>
              <w:rPr>
                <w:rFonts w:hint="eastAsia" w:ascii="仿宋" w:hAnsi="仿宋" w:eastAsia="仿宋" w:cs="仿宋"/>
                <w:sz w:val="24"/>
                <w:szCs w:val="24"/>
              </w:rPr>
              <w:t>法人或者其他组织的营业执照等证明文件，自然人的身份证明。</w:t>
            </w:r>
          </w:p>
          <w:p w14:paraId="10DB5D36">
            <w:pPr>
              <w:pStyle w:val="31"/>
              <w:snapToGrid w:val="0"/>
              <w:spacing w:line="0" w:lineRule="atLeast"/>
              <w:jc w:val="both"/>
              <w:rPr>
                <w:rFonts w:hint="eastAsia" w:ascii="仿宋" w:hAnsi="仿宋" w:eastAsia="仿宋" w:cs="仿宋"/>
                <w:sz w:val="24"/>
                <w:szCs w:val="24"/>
              </w:rPr>
            </w:pPr>
            <w:r>
              <w:rPr>
                <w:rFonts w:hint="eastAsia" w:ascii="仿宋" w:hAnsi="仿宋" w:eastAsia="仿宋" w:cs="仿宋"/>
                <w:sz w:val="24"/>
                <w:szCs w:val="24"/>
              </w:rPr>
              <w:t>（1）企业应提供“营业执照”；</w:t>
            </w:r>
          </w:p>
          <w:p w14:paraId="633FA482">
            <w:pPr>
              <w:pStyle w:val="31"/>
              <w:snapToGrid w:val="0"/>
              <w:spacing w:line="0" w:lineRule="atLeast"/>
              <w:jc w:val="both"/>
              <w:rPr>
                <w:rFonts w:hint="eastAsia" w:ascii="仿宋" w:hAnsi="仿宋" w:eastAsia="仿宋" w:cs="仿宋"/>
                <w:sz w:val="24"/>
                <w:szCs w:val="24"/>
              </w:rPr>
            </w:pPr>
            <w:r>
              <w:rPr>
                <w:rFonts w:hint="eastAsia" w:ascii="仿宋" w:hAnsi="仿宋" w:eastAsia="仿宋" w:cs="仿宋"/>
                <w:sz w:val="24"/>
                <w:szCs w:val="24"/>
              </w:rPr>
              <w:t>（2）事业单位应提供“事业单位法人证书”；</w:t>
            </w:r>
          </w:p>
          <w:p w14:paraId="2377311B">
            <w:pPr>
              <w:pStyle w:val="31"/>
              <w:snapToGrid w:val="0"/>
              <w:spacing w:line="0" w:lineRule="atLeast"/>
              <w:jc w:val="both"/>
              <w:rPr>
                <w:rFonts w:hint="eastAsia" w:ascii="仿宋" w:hAnsi="仿宋" w:eastAsia="仿宋" w:cs="仿宋"/>
                <w:sz w:val="24"/>
                <w:szCs w:val="24"/>
              </w:rPr>
            </w:pPr>
            <w:r>
              <w:rPr>
                <w:rFonts w:hint="eastAsia" w:ascii="仿宋" w:hAnsi="仿宋" w:eastAsia="仿宋" w:cs="仿宋"/>
                <w:sz w:val="24"/>
                <w:szCs w:val="24"/>
              </w:rPr>
              <w:t>（3）非企业专业服务机构应提供执业许可证等证明文件；</w:t>
            </w:r>
          </w:p>
          <w:p w14:paraId="41AFDB2B">
            <w:pPr>
              <w:pStyle w:val="31"/>
              <w:snapToGrid w:val="0"/>
              <w:spacing w:line="0" w:lineRule="atLeast"/>
              <w:jc w:val="both"/>
              <w:rPr>
                <w:rFonts w:hint="eastAsia" w:ascii="仿宋" w:hAnsi="仿宋" w:eastAsia="仿宋" w:cs="仿宋"/>
                <w:sz w:val="24"/>
                <w:szCs w:val="24"/>
              </w:rPr>
            </w:pPr>
            <w:r>
              <w:rPr>
                <w:rFonts w:hint="eastAsia" w:ascii="仿宋" w:hAnsi="仿宋" w:eastAsia="仿宋" w:cs="仿宋"/>
                <w:sz w:val="24"/>
                <w:szCs w:val="24"/>
              </w:rPr>
              <w:t>（4）个体工商户应提供“个体工商户营业执照”；</w:t>
            </w:r>
          </w:p>
          <w:p w14:paraId="483D8BED">
            <w:pPr>
              <w:pStyle w:val="31"/>
              <w:snapToGrid w:val="0"/>
              <w:spacing w:line="0" w:lineRule="atLeast"/>
              <w:jc w:val="both"/>
              <w:rPr>
                <w:rFonts w:hint="eastAsia" w:ascii="仿宋" w:hAnsi="仿宋" w:eastAsia="仿宋" w:cs="仿宋"/>
                <w:sz w:val="24"/>
                <w:szCs w:val="24"/>
              </w:rPr>
            </w:pPr>
            <w:r>
              <w:rPr>
                <w:rFonts w:hint="eastAsia" w:ascii="仿宋" w:hAnsi="仿宋" w:eastAsia="仿宋" w:cs="仿宋"/>
                <w:sz w:val="24"/>
                <w:szCs w:val="24"/>
              </w:rPr>
              <w:t>（5）自然人应提供自然人身份证明。</w:t>
            </w:r>
          </w:p>
        </w:tc>
      </w:tr>
      <w:tr w14:paraId="6F15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ADE339B">
            <w:pPr>
              <w:widowControl/>
              <w:snapToGrid w:val="0"/>
              <w:spacing w:line="0" w:lineRule="atLeast"/>
              <w:jc w:val="center"/>
              <w:rPr>
                <w:rFonts w:hint="eastAsia" w:ascii="仿宋" w:hAnsi="仿宋" w:eastAsia="仿宋" w:cs="仿宋"/>
                <w:szCs w:val="24"/>
              </w:rPr>
            </w:pPr>
          </w:p>
        </w:tc>
        <w:tc>
          <w:tcPr>
            <w:tcW w:w="1539" w:type="pct"/>
            <w:tcBorders>
              <w:top w:val="single" w:color="auto" w:sz="4" w:space="0"/>
              <w:left w:val="single" w:color="auto" w:sz="4" w:space="0"/>
              <w:bottom w:val="single" w:color="auto" w:sz="4" w:space="0"/>
              <w:right w:val="single" w:color="auto" w:sz="4" w:space="0"/>
            </w:tcBorders>
            <w:vAlign w:val="center"/>
          </w:tcPr>
          <w:p w14:paraId="2C28FBF7">
            <w:pPr>
              <w:pStyle w:val="31"/>
              <w:snapToGrid w:val="0"/>
              <w:spacing w:line="0" w:lineRule="atLeast"/>
              <w:jc w:val="both"/>
              <w:rPr>
                <w:rFonts w:hint="eastAsia" w:ascii="仿宋" w:hAnsi="仿宋" w:eastAsia="仿宋" w:cs="仿宋"/>
                <w:sz w:val="24"/>
                <w:szCs w:val="24"/>
              </w:rPr>
            </w:pPr>
            <w:r>
              <w:rPr>
                <w:rFonts w:hint="eastAsia" w:ascii="仿宋" w:hAnsi="仿宋" w:eastAsia="仿宋" w:cs="仿宋"/>
                <w:sz w:val="24"/>
                <w:szCs w:val="24"/>
              </w:rPr>
              <w:t>具有良好的商业信誉和健全的财务会计制度</w:t>
            </w:r>
          </w:p>
        </w:tc>
        <w:tc>
          <w:tcPr>
            <w:tcW w:w="2952" w:type="pct"/>
            <w:tcBorders>
              <w:top w:val="single" w:color="auto" w:sz="4" w:space="0"/>
              <w:left w:val="single" w:color="auto" w:sz="4" w:space="0"/>
              <w:bottom w:val="single" w:color="auto" w:sz="4" w:space="0"/>
              <w:right w:val="single" w:color="auto" w:sz="4" w:space="0"/>
            </w:tcBorders>
            <w:vAlign w:val="center"/>
          </w:tcPr>
          <w:p w14:paraId="5BA23FFD">
            <w:pPr>
              <w:pStyle w:val="31"/>
              <w:snapToGrid w:val="0"/>
              <w:spacing w:line="0" w:lineRule="atLeast"/>
              <w:rPr>
                <w:rFonts w:hint="eastAsia" w:ascii="仿宋" w:hAnsi="仿宋" w:eastAsia="仿宋" w:cs="仿宋"/>
                <w:sz w:val="24"/>
                <w:szCs w:val="24"/>
              </w:rPr>
            </w:pPr>
            <w:r>
              <w:rPr>
                <w:rFonts w:hint="eastAsia" w:ascii="仿宋" w:hAnsi="仿宋" w:eastAsia="仿宋" w:cs="仿宋"/>
                <w:sz w:val="24"/>
                <w:szCs w:val="24"/>
              </w:rPr>
              <w:t>由供应商对以下内容提供书面承诺或声明，或提供相应证明材料。</w:t>
            </w:r>
          </w:p>
          <w:p w14:paraId="58CBE4AF">
            <w:pPr>
              <w:pStyle w:val="31"/>
              <w:snapToGrid w:val="0"/>
              <w:spacing w:line="0" w:lineRule="atLeast"/>
              <w:rPr>
                <w:rFonts w:hint="eastAsia" w:ascii="仿宋" w:hAnsi="仿宋" w:eastAsia="仿宋" w:cs="仿宋"/>
                <w:sz w:val="24"/>
                <w:szCs w:val="24"/>
              </w:rPr>
            </w:pPr>
            <w:r>
              <w:rPr>
                <w:rFonts w:hint="eastAsia" w:ascii="仿宋" w:hAnsi="仿宋" w:eastAsia="仿宋" w:cs="仿宋"/>
                <w:sz w:val="24"/>
                <w:szCs w:val="24"/>
              </w:rPr>
              <w:t>（1）供应商是法人的，应具有上一年度（</w:t>
            </w:r>
            <w:r>
              <w:rPr>
                <w:rFonts w:hint="eastAsia" w:ascii="仿宋" w:hAnsi="仿宋" w:eastAsia="仿宋" w:cs="仿宋"/>
                <w:sz w:val="24"/>
                <w:szCs w:val="24"/>
                <w:lang w:eastAsia="zh-CN"/>
              </w:rPr>
              <w:t>2023年度或2024年度</w:t>
            </w:r>
            <w:r>
              <w:rPr>
                <w:rFonts w:hint="eastAsia" w:ascii="仿宋" w:hAnsi="仿宋" w:eastAsia="仿宋" w:cs="仿宋"/>
                <w:sz w:val="24"/>
                <w:szCs w:val="24"/>
              </w:rPr>
              <w:t>）经审计的财务报告，或其基本开户银行出具的资信证明。其他组织和自然人，没有经审计的财务报告，应具有银行出具的资信证明。</w:t>
            </w:r>
          </w:p>
          <w:p w14:paraId="40658457">
            <w:pPr>
              <w:pStyle w:val="31"/>
              <w:snapToGrid w:val="0"/>
              <w:spacing w:line="0" w:lineRule="atLeast"/>
              <w:rPr>
                <w:rFonts w:hint="eastAsia" w:ascii="仿宋" w:hAnsi="仿宋" w:eastAsia="仿宋" w:cs="仿宋"/>
                <w:sz w:val="24"/>
                <w:szCs w:val="24"/>
              </w:rPr>
            </w:pPr>
            <w:r>
              <w:rPr>
                <w:rFonts w:hint="eastAsia" w:ascii="仿宋" w:hAnsi="仿宋" w:eastAsia="仿宋" w:cs="仿宋"/>
                <w:sz w:val="24"/>
                <w:szCs w:val="24"/>
              </w:rPr>
              <w:t>（2）有专业担保机构对供应商进行资信审查后出具投标担保函的，可以不用具备经审计的财务报告和银行资信证明文件。</w:t>
            </w:r>
          </w:p>
        </w:tc>
      </w:tr>
      <w:tr w14:paraId="09DD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73980A1">
            <w:pPr>
              <w:widowControl/>
              <w:snapToGrid w:val="0"/>
              <w:spacing w:line="0" w:lineRule="atLeast"/>
              <w:jc w:val="center"/>
              <w:rPr>
                <w:rFonts w:hint="eastAsia" w:ascii="仿宋" w:hAnsi="仿宋" w:eastAsia="仿宋" w:cs="仿宋"/>
                <w:szCs w:val="24"/>
              </w:rPr>
            </w:pPr>
          </w:p>
        </w:tc>
        <w:tc>
          <w:tcPr>
            <w:tcW w:w="1539" w:type="pct"/>
            <w:tcBorders>
              <w:top w:val="single" w:color="auto" w:sz="4" w:space="0"/>
              <w:left w:val="single" w:color="auto" w:sz="4" w:space="0"/>
              <w:bottom w:val="single" w:color="auto" w:sz="4" w:space="0"/>
              <w:right w:val="single" w:color="auto" w:sz="4" w:space="0"/>
            </w:tcBorders>
            <w:vAlign w:val="center"/>
          </w:tcPr>
          <w:p w14:paraId="5D32CD87">
            <w:pPr>
              <w:pStyle w:val="31"/>
              <w:snapToGrid w:val="0"/>
              <w:spacing w:line="0" w:lineRule="atLeast"/>
              <w:jc w:val="both"/>
              <w:rPr>
                <w:rFonts w:hint="eastAsia" w:ascii="仿宋" w:hAnsi="仿宋" w:eastAsia="仿宋" w:cs="仿宋"/>
                <w:sz w:val="24"/>
                <w:szCs w:val="24"/>
              </w:rPr>
            </w:pPr>
            <w:r>
              <w:rPr>
                <w:rFonts w:hint="eastAsia" w:ascii="仿宋" w:hAnsi="仿宋" w:eastAsia="仿宋" w:cs="仿宋"/>
                <w:sz w:val="24"/>
                <w:szCs w:val="24"/>
              </w:rPr>
              <w:t>具有履行合同所必需的设备和专业技术能力</w:t>
            </w:r>
          </w:p>
        </w:tc>
        <w:tc>
          <w:tcPr>
            <w:tcW w:w="2952" w:type="pct"/>
            <w:tcBorders>
              <w:top w:val="single" w:color="auto" w:sz="4" w:space="0"/>
              <w:left w:val="single" w:color="auto" w:sz="4" w:space="0"/>
              <w:bottom w:val="single" w:color="auto" w:sz="4" w:space="0"/>
              <w:right w:val="single" w:color="auto" w:sz="4" w:space="0"/>
            </w:tcBorders>
            <w:vAlign w:val="center"/>
          </w:tcPr>
          <w:p w14:paraId="57EBBB24">
            <w:pPr>
              <w:pStyle w:val="31"/>
              <w:snapToGrid w:val="0"/>
              <w:spacing w:line="0" w:lineRule="atLeast"/>
              <w:rPr>
                <w:rFonts w:hint="eastAsia" w:ascii="仿宋" w:hAnsi="仿宋" w:eastAsia="仿宋" w:cs="仿宋"/>
                <w:sz w:val="24"/>
                <w:szCs w:val="24"/>
              </w:rPr>
            </w:pPr>
            <w:r>
              <w:rPr>
                <w:rFonts w:hint="eastAsia" w:ascii="仿宋" w:hAnsi="仿宋" w:eastAsia="仿宋" w:cs="仿宋"/>
                <w:sz w:val="24"/>
                <w:szCs w:val="24"/>
              </w:rPr>
              <w:t>由供应商提供书面承诺或声明，或提供相应证明材料。</w:t>
            </w:r>
          </w:p>
        </w:tc>
      </w:tr>
      <w:tr w14:paraId="654C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C84235D">
            <w:pPr>
              <w:widowControl/>
              <w:snapToGrid w:val="0"/>
              <w:spacing w:line="0" w:lineRule="atLeast"/>
              <w:jc w:val="center"/>
              <w:rPr>
                <w:rFonts w:hint="eastAsia" w:ascii="仿宋" w:hAnsi="仿宋" w:eastAsia="仿宋" w:cs="仿宋"/>
                <w:szCs w:val="24"/>
              </w:rPr>
            </w:pPr>
          </w:p>
        </w:tc>
        <w:tc>
          <w:tcPr>
            <w:tcW w:w="1539" w:type="pct"/>
            <w:tcBorders>
              <w:top w:val="single" w:color="auto" w:sz="4" w:space="0"/>
              <w:left w:val="single" w:color="auto" w:sz="4" w:space="0"/>
              <w:bottom w:val="single" w:color="auto" w:sz="4" w:space="0"/>
              <w:right w:val="single" w:color="auto" w:sz="4" w:space="0"/>
            </w:tcBorders>
            <w:vAlign w:val="center"/>
          </w:tcPr>
          <w:p w14:paraId="1FB55547">
            <w:pPr>
              <w:pStyle w:val="31"/>
              <w:snapToGrid w:val="0"/>
              <w:spacing w:line="0" w:lineRule="atLeast"/>
              <w:jc w:val="both"/>
              <w:rPr>
                <w:rFonts w:hint="eastAsia" w:ascii="仿宋" w:hAnsi="仿宋" w:eastAsia="仿宋" w:cs="仿宋"/>
                <w:sz w:val="24"/>
                <w:szCs w:val="24"/>
              </w:rPr>
            </w:pPr>
            <w:r>
              <w:rPr>
                <w:rFonts w:hint="eastAsia" w:ascii="仿宋" w:hAnsi="仿宋" w:eastAsia="仿宋" w:cs="仿宋"/>
                <w:sz w:val="24"/>
                <w:szCs w:val="24"/>
              </w:rPr>
              <w:t>有依法缴纳税收和社会保障资金的良好记录</w:t>
            </w:r>
          </w:p>
        </w:tc>
        <w:tc>
          <w:tcPr>
            <w:tcW w:w="2952" w:type="pct"/>
            <w:tcBorders>
              <w:top w:val="single" w:color="auto" w:sz="4" w:space="0"/>
              <w:left w:val="single" w:color="auto" w:sz="4" w:space="0"/>
              <w:bottom w:val="single" w:color="auto" w:sz="4" w:space="0"/>
              <w:right w:val="single" w:color="auto" w:sz="4" w:space="0"/>
            </w:tcBorders>
            <w:vAlign w:val="center"/>
          </w:tcPr>
          <w:p w14:paraId="0581099B">
            <w:pPr>
              <w:pStyle w:val="31"/>
              <w:snapToGrid w:val="0"/>
              <w:spacing w:line="0" w:lineRule="atLeast"/>
              <w:rPr>
                <w:rFonts w:hint="eastAsia" w:ascii="仿宋" w:hAnsi="仿宋" w:eastAsia="仿宋" w:cs="仿宋"/>
                <w:sz w:val="24"/>
                <w:szCs w:val="24"/>
              </w:rPr>
            </w:pPr>
            <w:r>
              <w:rPr>
                <w:rFonts w:hint="eastAsia" w:ascii="仿宋" w:hAnsi="仿宋" w:eastAsia="仿宋" w:cs="仿宋"/>
                <w:sz w:val="24"/>
                <w:szCs w:val="24"/>
              </w:rPr>
              <w:t>由供应商对以下内容提供书面承诺或声明，或提供相应证明材料。</w:t>
            </w:r>
          </w:p>
          <w:p w14:paraId="43078595">
            <w:pPr>
              <w:pStyle w:val="31"/>
              <w:snapToGrid w:val="0"/>
              <w:spacing w:line="0" w:lineRule="atLeast"/>
              <w:rPr>
                <w:rFonts w:hint="eastAsia" w:ascii="仿宋" w:hAnsi="仿宋" w:eastAsia="仿宋" w:cs="仿宋"/>
                <w:sz w:val="24"/>
                <w:szCs w:val="24"/>
              </w:rPr>
            </w:pPr>
            <w:r>
              <w:rPr>
                <w:rFonts w:hint="eastAsia" w:ascii="仿宋" w:hAnsi="仿宋" w:eastAsia="仿宋" w:cs="仿宋"/>
                <w:sz w:val="24"/>
                <w:szCs w:val="24"/>
              </w:rPr>
              <w:t>（1）供应商依法缴纳税收：本项目公告发布时间前12个月内（至少有1个月）缴纳税收的凭据（完税证、缴款书、印花税票、银行代扣（代缴）转账凭证等均可）；</w:t>
            </w:r>
          </w:p>
          <w:p w14:paraId="025AF306">
            <w:pPr>
              <w:pStyle w:val="31"/>
              <w:snapToGrid w:val="0"/>
              <w:spacing w:line="0" w:lineRule="atLeast"/>
              <w:rPr>
                <w:rFonts w:hint="eastAsia" w:ascii="仿宋" w:hAnsi="仿宋" w:eastAsia="仿宋" w:cs="仿宋"/>
                <w:sz w:val="24"/>
                <w:szCs w:val="24"/>
              </w:rPr>
            </w:pPr>
            <w:r>
              <w:rPr>
                <w:rFonts w:hint="eastAsia" w:ascii="仿宋" w:hAnsi="仿宋" w:eastAsia="仿宋" w:cs="仿宋"/>
                <w:sz w:val="24"/>
                <w:szCs w:val="24"/>
              </w:rPr>
              <w:t>（2）供应商依法缴纳社会保障资金：本项目公告发布时间前12个月内（至少有1个月）缴纳社会保险的凭据（专用收据或社会保险交纳清单）；</w:t>
            </w:r>
          </w:p>
          <w:p w14:paraId="54071275">
            <w:pPr>
              <w:pStyle w:val="31"/>
              <w:snapToGrid w:val="0"/>
              <w:spacing w:line="0" w:lineRule="atLeast"/>
              <w:rPr>
                <w:rFonts w:hint="eastAsia" w:ascii="仿宋" w:hAnsi="仿宋" w:eastAsia="仿宋" w:cs="仿宋"/>
                <w:sz w:val="24"/>
                <w:szCs w:val="24"/>
              </w:rPr>
            </w:pPr>
            <w:r>
              <w:rPr>
                <w:rFonts w:hint="eastAsia" w:ascii="仿宋" w:hAnsi="仿宋" w:eastAsia="仿宋" w:cs="仿宋"/>
                <w:sz w:val="24"/>
                <w:szCs w:val="24"/>
              </w:rPr>
              <w:t>（3）供应商为其他组织或自然人的，也应满足以上要求；</w:t>
            </w:r>
          </w:p>
          <w:p w14:paraId="17E82A79">
            <w:pPr>
              <w:pStyle w:val="31"/>
              <w:snapToGrid w:val="0"/>
              <w:spacing w:line="0" w:lineRule="atLeast"/>
              <w:rPr>
                <w:rFonts w:hint="eastAsia" w:ascii="仿宋" w:hAnsi="仿宋" w:eastAsia="仿宋" w:cs="仿宋"/>
                <w:sz w:val="24"/>
                <w:szCs w:val="24"/>
              </w:rPr>
            </w:pPr>
            <w:r>
              <w:rPr>
                <w:rFonts w:hint="eastAsia" w:ascii="仿宋" w:hAnsi="仿宋" w:eastAsia="仿宋" w:cs="仿宋"/>
                <w:sz w:val="24"/>
                <w:szCs w:val="24"/>
              </w:rPr>
              <w:t>（4）递交投标文件截止时间的当月成立但因税务机关原因导致其尚未依法缴纳税收的供应商，提供将依法缴纳税收承诺书原件（格式自拟），该承诺书视同税收缴纳凭据；</w:t>
            </w:r>
          </w:p>
          <w:p w14:paraId="58DC9770">
            <w:pPr>
              <w:pStyle w:val="31"/>
              <w:snapToGrid w:val="0"/>
              <w:spacing w:line="0" w:lineRule="atLeast"/>
              <w:rPr>
                <w:rFonts w:hint="eastAsia" w:ascii="仿宋" w:hAnsi="仿宋" w:eastAsia="仿宋" w:cs="仿宋"/>
                <w:sz w:val="24"/>
                <w:szCs w:val="24"/>
              </w:rPr>
            </w:pPr>
            <w:r>
              <w:rPr>
                <w:rFonts w:hint="eastAsia" w:ascii="仿宋" w:hAnsi="仿宋" w:eastAsia="仿宋" w:cs="仿宋"/>
                <w:sz w:val="24"/>
                <w:szCs w:val="24"/>
              </w:rPr>
              <w:t>（5）递交投标文件截止时间的当月成立但因社会保障资金管理机关原因导致其尚未依法缴纳社会保障资金的供应商，提供将依法缴纳社会保障资金承诺书原件（格式自拟），该承诺书视同社会保险凭据；</w:t>
            </w:r>
          </w:p>
          <w:p w14:paraId="35246C87">
            <w:pPr>
              <w:pStyle w:val="31"/>
              <w:snapToGrid w:val="0"/>
              <w:spacing w:line="0" w:lineRule="atLeast"/>
              <w:rPr>
                <w:rFonts w:hint="eastAsia" w:ascii="仿宋" w:hAnsi="仿宋" w:eastAsia="仿宋" w:cs="仿宋"/>
                <w:sz w:val="24"/>
                <w:szCs w:val="24"/>
              </w:rPr>
            </w:pPr>
            <w:r>
              <w:rPr>
                <w:rFonts w:hint="eastAsia" w:ascii="仿宋" w:hAnsi="仿宋" w:eastAsia="仿宋" w:cs="仿宋"/>
                <w:sz w:val="24"/>
                <w:szCs w:val="24"/>
              </w:rPr>
              <w:t>（6）依法免税或不需要缴纳社会保障资金的供应商，具有相应文件证明其依法免税或不需要交纳社会保障资金。</w:t>
            </w:r>
          </w:p>
          <w:p w14:paraId="109BB063">
            <w:pPr>
              <w:pStyle w:val="31"/>
              <w:snapToGrid w:val="0"/>
              <w:spacing w:line="0" w:lineRule="atLeast"/>
              <w:rPr>
                <w:rFonts w:hint="eastAsia" w:ascii="仿宋" w:hAnsi="仿宋" w:eastAsia="仿宋" w:cs="仿宋"/>
                <w:sz w:val="24"/>
                <w:szCs w:val="24"/>
              </w:rPr>
            </w:pPr>
            <w:r>
              <w:rPr>
                <w:rFonts w:hint="eastAsia" w:ascii="仿宋" w:hAnsi="仿宋" w:eastAsia="仿宋" w:cs="仿宋"/>
                <w:sz w:val="24"/>
                <w:szCs w:val="24"/>
                <w:lang w:val="zh-CN"/>
              </w:rPr>
              <w:t>备注:如果供应商同时提供了1）书面承诺或声明、2）相应证明材料，且二者内容不一致的，评审专家有权任选其中一种进行评审，由供应商自行承担一切后果。</w:t>
            </w:r>
          </w:p>
        </w:tc>
      </w:tr>
      <w:tr w14:paraId="78BA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1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8D95DF5">
            <w:pPr>
              <w:widowControl/>
              <w:snapToGrid w:val="0"/>
              <w:spacing w:line="0" w:lineRule="atLeast"/>
              <w:jc w:val="center"/>
              <w:rPr>
                <w:rFonts w:hint="eastAsia" w:ascii="仿宋" w:hAnsi="仿宋" w:eastAsia="仿宋" w:cs="仿宋"/>
                <w:szCs w:val="24"/>
              </w:rPr>
            </w:pPr>
          </w:p>
        </w:tc>
        <w:tc>
          <w:tcPr>
            <w:tcW w:w="1539" w:type="pct"/>
            <w:tcBorders>
              <w:top w:val="single" w:color="auto" w:sz="4" w:space="0"/>
              <w:left w:val="single" w:color="auto" w:sz="4" w:space="0"/>
              <w:bottom w:val="single" w:color="auto" w:sz="4" w:space="0"/>
              <w:right w:val="single" w:color="auto" w:sz="4" w:space="0"/>
            </w:tcBorders>
            <w:vAlign w:val="center"/>
          </w:tcPr>
          <w:p w14:paraId="47060711">
            <w:pPr>
              <w:pStyle w:val="31"/>
              <w:snapToGrid w:val="0"/>
              <w:spacing w:line="0" w:lineRule="atLeast"/>
              <w:jc w:val="both"/>
              <w:rPr>
                <w:rFonts w:hint="eastAsia" w:ascii="仿宋" w:hAnsi="仿宋" w:eastAsia="仿宋" w:cs="仿宋"/>
                <w:sz w:val="24"/>
                <w:szCs w:val="24"/>
              </w:rPr>
            </w:pPr>
            <w:r>
              <w:rPr>
                <w:rFonts w:hint="eastAsia" w:ascii="仿宋" w:hAnsi="仿宋" w:eastAsia="仿宋" w:cs="仿宋"/>
                <w:sz w:val="24"/>
                <w:szCs w:val="24"/>
              </w:rPr>
              <w:t>参加政府采购活动前三年内，在经营活动中没有重大违法记录</w:t>
            </w:r>
          </w:p>
        </w:tc>
        <w:tc>
          <w:tcPr>
            <w:tcW w:w="2952" w:type="pct"/>
            <w:tcBorders>
              <w:top w:val="single" w:color="auto" w:sz="4" w:space="0"/>
              <w:left w:val="single" w:color="auto" w:sz="4" w:space="0"/>
              <w:bottom w:val="single" w:color="auto" w:sz="4" w:space="0"/>
              <w:right w:val="single" w:color="auto" w:sz="4" w:space="0"/>
            </w:tcBorders>
            <w:vAlign w:val="center"/>
          </w:tcPr>
          <w:p w14:paraId="13850636">
            <w:pPr>
              <w:pStyle w:val="31"/>
              <w:snapToGrid w:val="0"/>
              <w:spacing w:line="0" w:lineRule="atLeast"/>
              <w:rPr>
                <w:rFonts w:hint="eastAsia" w:ascii="仿宋" w:hAnsi="仿宋" w:eastAsia="仿宋" w:cs="仿宋"/>
                <w:sz w:val="24"/>
                <w:szCs w:val="24"/>
              </w:rPr>
            </w:pPr>
            <w:r>
              <w:rPr>
                <w:rFonts w:hint="eastAsia" w:ascii="仿宋" w:hAnsi="仿宋" w:eastAsia="仿宋" w:cs="仿宋"/>
                <w:sz w:val="24"/>
                <w:szCs w:val="24"/>
              </w:rPr>
              <w:t>由供应商提供书面承诺或声明，或提供相应证明材料。</w:t>
            </w:r>
          </w:p>
        </w:tc>
      </w:tr>
      <w:tr w14:paraId="14C8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72FDF8A">
            <w:pPr>
              <w:widowControl/>
              <w:snapToGrid w:val="0"/>
              <w:spacing w:line="0" w:lineRule="atLeast"/>
              <w:jc w:val="center"/>
              <w:rPr>
                <w:rFonts w:hint="eastAsia" w:ascii="仿宋" w:hAnsi="仿宋" w:eastAsia="仿宋" w:cs="仿宋"/>
                <w:szCs w:val="24"/>
              </w:rPr>
            </w:pPr>
          </w:p>
        </w:tc>
        <w:tc>
          <w:tcPr>
            <w:tcW w:w="1539" w:type="pct"/>
            <w:tcBorders>
              <w:top w:val="single" w:color="auto" w:sz="4" w:space="0"/>
              <w:left w:val="single" w:color="auto" w:sz="4" w:space="0"/>
              <w:bottom w:val="single" w:color="auto" w:sz="4" w:space="0"/>
              <w:right w:val="single" w:color="auto" w:sz="4" w:space="0"/>
            </w:tcBorders>
            <w:vAlign w:val="center"/>
          </w:tcPr>
          <w:p w14:paraId="160A6F95">
            <w:pPr>
              <w:pStyle w:val="31"/>
              <w:snapToGrid w:val="0"/>
              <w:spacing w:line="0" w:lineRule="atLeast"/>
              <w:jc w:val="both"/>
              <w:rPr>
                <w:rFonts w:hint="eastAsia" w:ascii="仿宋" w:hAnsi="仿宋" w:eastAsia="仿宋" w:cs="仿宋"/>
                <w:sz w:val="24"/>
                <w:szCs w:val="24"/>
              </w:rPr>
            </w:pPr>
            <w:r>
              <w:rPr>
                <w:rFonts w:hint="eastAsia" w:ascii="仿宋" w:hAnsi="仿宋" w:eastAsia="仿宋" w:cs="仿宋"/>
                <w:sz w:val="24"/>
                <w:szCs w:val="24"/>
              </w:rPr>
              <w:t>法律、行政法规规定的其他条件</w:t>
            </w:r>
          </w:p>
        </w:tc>
        <w:tc>
          <w:tcPr>
            <w:tcW w:w="2952" w:type="pct"/>
            <w:tcBorders>
              <w:top w:val="single" w:color="auto" w:sz="4" w:space="0"/>
              <w:left w:val="single" w:color="auto" w:sz="4" w:space="0"/>
              <w:bottom w:val="single" w:color="auto" w:sz="4" w:space="0"/>
              <w:right w:val="single" w:color="auto" w:sz="4" w:space="0"/>
            </w:tcBorders>
            <w:vAlign w:val="center"/>
          </w:tcPr>
          <w:p w14:paraId="25DBF403">
            <w:pPr>
              <w:pStyle w:val="31"/>
              <w:snapToGrid w:val="0"/>
              <w:spacing w:line="0" w:lineRule="atLeast"/>
              <w:rPr>
                <w:rFonts w:hint="eastAsia" w:ascii="仿宋" w:hAnsi="仿宋" w:eastAsia="仿宋" w:cs="仿宋"/>
                <w:sz w:val="24"/>
                <w:szCs w:val="24"/>
              </w:rPr>
            </w:pPr>
            <w:r>
              <w:rPr>
                <w:rFonts w:hint="eastAsia" w:ascii="仿宋" w:hAnsi="仿宋" w:eastAsia="仿宋" w:cs="仿宋"/>
                <w:sz w:val="24"/>
                <w:szCs w:val="24"/>
              </w:rPr>
              <w:t>由供应商提供书面承诺或声明，或提供相应证明材料。</w:t>
            </w:r>
          </w:p>
        </w:tc>
      </w:tr>
      <w:tr w14:paraId="0274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1622501F">
            <w:pPr>
              <w:pStyle w:val="31"/>
              <w:numPr>
                <w:ilvl w:val="0"/>
                <w:numId w:val="1"/>
              </w:numPr>
              <w:snapToGrid w:val="0"/>
              <w:spacing w:line="0" w:lineRule="atLeast"/>
              <w:jc w:val="center"/>
              <w:rPr>
                <w:rFonts w:hint="eastAsia" w:ascii="仿宋" w:hAnsi="仿宋" w:eastAsia="仿宋" w:cs="仿宋"/>
                <w:sz w:val="24"/>
                <w:szCs w:val="24"/>
              </w:rPr>
            </w:pPr>
          </w:p>
        </w:tc>
        <w:tc>
          <w:tcPr>
            <w:tcW w:w="1539" w:type="pct"/>
            <w:tcBorders>
              <w:top w:val="single" w:color="auto" w:sz="4" w:space="0"/>
              <w:left w:val="single" w:color="auto" w:sz="4" w:space="0"/>
              <w:bottom w:val="single" w:color="auto" w:sz="4" w:space="0"/>
              <w:right w:val="single" w:color="auto" w:sz="4" w:space="0"/>
            </w:tcBorders>
            <w:vAlign w:val="center"/>
          </w:tcPr>
          <w:p w14:paraId="5D96C2AC">
            <w:pPr>
              <w:pStyle w:val="31"/>
              <w:snapToGrid w:val="0"/>
              <w:spacing w:line="0" w:lineRule="atLeast"/>
              <w:jc w:val="both"/>
              <w:rPr>
                <w:rFonts w:hint="eastAsia" w:ascii="仿宋" w:hAnsi="仿宋" w:eastAsia="仿宋" w:cs="仿宋"/>
                <w:sz w:val="24"/>
                <w:szCs w:val="24"/>
              </w:rPr>
            </w:pPr>
            <w:r>
              <w:rPr>
                <w:rFonts w:hint="eastAsia" w:ascii="仿宋" w:hAnsi="仿宋" w:eastAsia="仿宋" w:cs="仿宋"/>
                <w:sz w:val="24"/>
                <w:szCs w:val="24"/>
              </w:rPr>
              <w:t>单位负责人为同一人或者存在直接控股、管理关系的不同供应商，不得参加本项目同一合同项下的政府采购活动</w:t>
            </w:r>
          </w:p>
        </w:tc>
        <w:tc>
          <w:tcPr>
            <w:tcW w:w="2952" w:type="pct"/>
            <w:tcBorders>
              <w:top w:val="single" w:color="auto" w:sz="4" w:space="0"/>
              <w:left w:val="single" w:color="auto" w:sz="4" w:space="0"/>
              <w:bottom w:val="single" w:color="auto" w:sz="4" w:space="0"/>
              <w:right w:val="single" w:color="auto" w:sz="4" w:space="0"/>
            </w:tcBorders>
            <w:vAlign w:val="center"/>
          </w:tcPr>
          <w:p w14:paraId="079DBF41">
            <w:pPr>
              <w:pStyle w:val="31"/>
              <w:snapToGrid w:val="0"/>
              <w:spacing w:line="0" w:lineRule="atLeast"/>
              <w:jc w:val="both"/>
              <w:rPr>
                <w:rFonts w:hint="eastAsia" w:ascii="仿宋" w:hAnsi="仿宋" w:eastAsia="仿宋" w:cs="仿宋"/>
                <w:sz w:val="24"/>
                <w:szCs w:val="24"/>
              </w:rPr>
            </w:pPr>
            <w:r>
              <w:rPr>
                <w:rFonts w:hint="eastAsia" w:ascii="仿宋" w:hAnsi="仿宋" w:eastAsia="仿宋" w:cs="仿宋"/>
                <w:sz w:val="24"/>
                <w:szCs w:val="24"/>
              </w:rPr>
              <w:t>由供应商在《响应函》中声明。</w:t>
            </w:r>
          </w:p>
        </w:tc>
      </w:tr>
      <w:tr w14:paraId="3E7F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250FF279">
            <w:pPr>
              <w:pStyle w:val="31"/>
              <w:numPr>
                <w:ilvl w:val="0"/>
                <w:numId w:val="1"/>
              </w:numPr>
              <w:snapToGrid w:val="0"/>
              <w:spacing w:line="0" w:lineRule="atLeast"/>
              <w:jc w:val="center"/>
              <w:rPr>
                <w:rFonts w:hint="eastAsia" w:ascii="仿宋" w:hAnsi="仿宋" w:eastAsia="仿宋" w:cs="仿宋"/>
                <w:sz w:val="24"/>
                <w:szCs w:val="24"/>
              </w:rPr>
            </w:pPr>
          </w:p>
        </w:tc>
        <w:tc>
          <w:tcPr>
            <w:tcW w:w="1539" w:type="pct"/>
            <w:tcBorders>
              <w:top w:val="single" w:color="auto" w:sz="4" w:space="0"/>
              <w:left w:val="single" w:color="auto" w:sz="4" w:space="0"/>
              <w:bottom w:val="single" w:color="auto" w:sz="4" w:space="0"/>
              <w:right w:val="single" w:color="auto" w:sz="4" w:space="0"/>
            </w:tcBorders>
            <w:vAlign w:val="center"/>
          </w:tcPr>
          <w:p w14:paraId="4C17CAC3">
            <w:pPr>
              <w:pStyle w:val="31"/>
              <w:snapToGrid w:val="0"/>
              <w:spacing w:line="0" w:lineRule="atLeast"/>
              <w:jc w:val="both"/>
              <w:rPr>
                <w:rFonts w:hint="eastAsia" w:ascii="仿宋" w:hAnsi="仿宋" w:eastAsia="仿宋" w:cs="仿宋"/>
                <w:sz w:val="24"/>
                <w:szCs w:val="24"/>
              </w:rPr>
            </w:pPr>
            <w:r>
              <w:rPr>
                <w:rFonts w:hint="eastAsia" w:ascii="仿宋" w:hAnsi="仿宋" w:eastAsia="仿宋" w:cs="仿宋"/>
                <w:sz w:val="24"/>
                <w:szCs w:val="24"/>
              </w:rPr>
              <w:t>为本采购项目提供整体设计、规范编制或者项目管理、监理、检测等服务的，不得再参加本项目的其他招标采购活动</w:t>
            </w:r>
          </w:p>
        </w:tc>
        <w:tc>
          <w:tcPr>
            <w:tcW w:w="2952" w:type="pct"/>
            <w:tcBorders>
              <w:top w:val="single" w:color="auto" w:sz="4" w:space="0"/>
              <w:left w:val="single" w:color="auto" w:sz="4" w:space="0"/>
              <w:bottom w:val="single" w:color="auto" w:sz="4" w:space="0"/>
              <w:right w:val="single" w:color="auto" w:sz="4" w:space="0"/>
            </w:tcBorders>
            <w:vAlign w:val="center"/>
          </w:tcPr>
          <w:p w14:paraId="5010678F">
            <w:pPr>
              <w:pStyle w:val="31"/>
              <w:snapToGrid w:val="0"/>
              <w:spacing w:line="0" w:lineRule="atLeast"/>
              <w:jc w:val="both"/>
              <w:rPr>
                <w:rFonts w:hint="eastAsia" w:ascii="仿宋" w:hAnsi="仿宋" w:eastAsia="仿宋" w:cs="仿宋"/>
                <w:sz w:val="24"/>
                <w:szCs w:val="24"/>
              </w:rPr>
            </w:pPr>
            <w:r>
              <w:rPr>
                <w:rFonts w:hint="eastAsia" w:ascii="仿宋" w:hAnsi="仿宋" w:eastAsia="仿宋" w:cs="仿宋"/>
                <w:sz w:val="24"/>
                <w:szCs w:val="24"/>
              </w:rPr>
              <w:t>由供应商在《响应函》中声明。</w:t>
            </w:r>
          </w:p>
        </w:tc>
      </w:tr>
      <w:tr w14:paraId="05BC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386A890B">
            <w:pPr>
              <w:pStyle w:val="31"/>
              <w:numPr>
                <w:ilvl w:val="0"/>
                <w:numId w:val="1"/>
              </w:numPr>
              <w:snapToGrid w:val="0"/>
              <w:spacing w:line="0" w:lineRule="atLeast"/>
              <w:jc w:val="center"/>
              <w:rPr>
                <w:rFonts w:hint="eastAsia" w:ascii="仿宋" w:hAnsi="仿宋" w:eastAsia="仿宋" w:cs="仿宋"/>
                <w:sz w:val="24"/>
                <w:szCs w:val="24"/>
              </w:rPr>
            </w:pPr>
          </w:p>
        </w:tc>
        <w:tc>
          <w:tcPr>
            <w:tcW w:w="1539" w:type="pct"/>
            <w:tcBorders>
              <w:top w:val="single" w:color="auto" w:sz="4" w:space="0"/>
              <w:left w:val="single" w:color="auto" w:sz="4" w:space="0"/>
              <w:bottom w:val="single" w:color="auto" w:sz="4" w:space="0"/>
              <w:right w:val="single" w:color="auto" w:sz="4" w:space="0"/>
            </w:tcBorders>
            <w:vAlign w:val="center"/>
          </w:tcPr>
          <w:p w14:paraId="6B782EA3">
            <w:pPr>
              <w:pStyle w:val="31"/>
              <w:snapToGrid w:val="0"/>
              <w:spacing w:line="0" w:lineRule="atLeast"/>
              <w:jc w:val="both"/>
              <w:rPr>
                <w:rFonts w:hint="eastAsia" w:ascii="仿宋" w:hAnsi="仿宋" w:eastAsia="仿宋" w:cs="仿宋"/>
                <w:sz w:val="24"/>
                <w:szCs w:val="24"/>
              </w:rPr>
            </w:pPr>
            <w:r>
              <w:rPr>
                <w:rFonts w:hint="eastAsia" w:ascii="仿宋" w:hAnsi="仿宋" w:eastAsia="仿宋" w:cs="仿宋"/>
                <w:sz w:val="24"/>
                <w:szCs w:val="24"/>
              </w:rPr>
              <w:t>未被列入失信被执行人、“重大税收违法失信主体”，未被列入政府采购严重违法失信行为记录名单</w:t>
            </w:r>
          </w:p>
        </w:tc>
        <w:tc>
          <w:tcPr>
            <w:tcW w:w="2952" w:type="pct"/>
            <w:tcBorders>
              <w:top w:val="single" w:color="auto" w:sz="4" w:space="0"/>
              <w:left w:val="single" w:color="auto" w:sz="4" w:space="0"/>
              <w:bottom w:val="single" w:color="auto" w:sz="4" w:space="0"/>
              <w:right w:val="single" w:color="auto" w:sz="4" w:space="0"/>
            </w:tcBorders>
            <w:vAlign w:val="center"/>
          </w:tcPr>
          <w:p w14:paraId="73C36926">
            <w:pPr>
              <w:pStyle w:val="31"/>
              <w:snapToGrid w:val="0"/>
              <w:spacing w:line="0" w:lineRule="atLeast"/>
              <w:jc w:val="both"/>
              <w:rPr>
                <w:rFonts w:hint="eastAsia" w:ascii="仿宋" w:hAnsi="仿宋" w:eastAsia="仿宋" w:cs="仿宋"/>
                <w:sz w:val="24"/>
                <w:szCs w:val="24"/>
              </w:rPr>
            </w:pPr>
            <w:r>
              <w:rPr>
                <w:rFonts w:hint="eastAsia" w:ascii="仿宋" w:hAnsi="仿宋" w:eastAsia="仿宋" w:cs="仿宋"/>
                <w:sz w:val="24"/>
                <w:szCs w:val="24"/>
              </w:rPr>
              <w:t>以采购人和采购代理机构在响应文件递交截止日在“信用中国”网站（www.creditchina.gov.cn）及中国政府采购网</w:t>
            </w:r>
            <w:r>
              <w:rPr>
                <w:rFonts w:hint="eastAsia" w:ascii="仿宋" w:hAnsi="仿宋" w:eastAsia="仿宋" w:cs="仿宋"/>
                <w:sz w:val="24"/>
                <w:szCs w:val="24"/>
                <w:lang w:eastAsia="zh-CN"/>
              </w:rPr>
              <w:t>（</w:t>
            </w:r>
            <w:r>
              <w:rPr>
                <w:rFonts w:hint="eastAsia" w:ascii="仿宋" w:hAnsi="仿宋" w:eastAsia="仿宋" w:cs="仿宋"/>
                <w:sz w:val="24"/>
                <w:szCs w:val="24"/>
              </w:rPr>
              <w:t>www.ccgp.gov.cn</w:t>
            </w:r>
            <w:r>
              <w:rPr>
                <w:rFonts w:hint="eastAsia" w:ascii="仿宋" w:hAnsi="仿宋" w:eastAsia="仿宋" w:cs="仿宋"/>
                <w:sz w:val="24"/>
                <w:szCs w:val="24"/>
                <w:lang w:eastAsia="zh-CN"/>
              </w:rPr>
              <w:t>）</w:t>
            </w:r>
            <w:r>
              <w:rPr>
                <w:rFonts w:hint="eastAsia" w:ascii="仿宋" w:hAnsi="仿宋" w:eastAsia="仿宋" w:cs="仿宋"/>
                <w:sz w:val="24"/>
                <w:szCs w:val="24"/>
              </w:rPr>
              <w:t>查询的供应商参加政府采购活动前三年内的结果为准（采购人和采购代理机构对信用信息查询记录和证据截图或下载存档）。</w:t>
            </w:r>
          </w:p>
        </w:tc>
      </w:tr>
      <w:tr w14:paraId="48DB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5B25E1B7">
            <w:pPr>
              <w:pStyle w:val="31"/>
              <w:numPr>
                <w:ilvl w:val="0"/>
                <w:numId w:val="1"/>
              </w:numPr>
              <w:snapToGrid w:val="0"/>
              <w:spacing w:line="0" w:lineRule="atLeast"/>
              <w:jc w:val="center"/>
              <w:rPr>
                <w:rFonts w:hint="eastAsia" w:ascii="仿宋" w:hAnsi="仿宋" w:eastAsia="仿宋" w:cs="仿宋"/>
                <w:sz w:val="24"/>
                <w:szCs w:val="24"/>
              </w:rPr>
            </w:pPr>
          </w:p>
        </w:tc>
        <w:tc>
          <w:tcPr>
            <w:tcW w:w="1539" w:type="pct"/>
            <w:tcBorders>
              <w:top w:val="single" w:color="auto" w:sz="4" w:space="0"/>
              <w:left w:val="single" w:color="auto" w:sz="4" w:space="0"/>
              <w:bottom w:val="single" w:color="auto" w:sz="4" w:space="0"/>
              <w:right w:val="single" w:color="auto" w:sz="4" w:space="0"/>
            </w:tcBorders>
            <w:vAlign w:val="center"/>
          </w:tcPr>
          <w:p w14:paraId="39DC2517">
            <w:pPr>
              <w:pStyle w:val="31"/>
              <w:snapToGrid w:val="0"/>
              <w:spacing w:line="0" w:lineRule="atLeast"/>
              <w:jc w:val="both"/>
              <w:rPr>
                <w:rFonts w:hint="eastAsia" w:ascii="仿宋" w:hAnsi="仿宋" w:eastAsia="仿宋" w:cs="仿宋"/>
                <w:sz w:val="24"/>
                <w:szCs w:val="24"/>
              </w:rPr>
            </w:pPr>
            <w:r>
              <w:rPr>
                <w:rFonts w:hint="eastAsia" w:ascii="仿宋" w:hAnsi="仿宋" w:eastAsia="仿宋" w:cs="仿宋"/>
                <w:sz w:val="24"/>
                <w:szCs w:val="24"/>
              </w:rPr>
              <w:t>落实政府采购政策需满足的资格要求</w:t>
            </w:r>
          </w:p>
        </w:tc>
        <w:tc>
          <w:tcPr>
            <w:tcW w:w="2952" w:type="pct"/>
            <w:tcBorders>
              <w:top w:val="single" w:color="auto" w:sz="4" w:space="0"/>
              <w:left w:val="single" w:color="auto" w:sz="4" w:space="0"/>
              <w:bottom w:val="single" w:color="auto" w:sz="4" w:space="0"/>
              <w:right w:val="single" w:color="auto" w:sz="4" w:space="0"/>
            </w:tcBorders>
            <w:vAlign w:val="center"/>
          </w:tcPr>
          <w:p w14:paraId="1D6C57C9">
            <w:pPr>
              <w:widowControl/>
              <w:spacing w:line="24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sym w:font="Wingdings" w:char="00FE"/>
            </w:r>
            <w:r>
              <w:rPr>
                <w:rFonts w:hint="eastAsia" w:ascii="仿宋" w:hAnsi="仿宋" w:eastAsia="仿宋" w:cs="仿宋"/>
                <w:color w:val="auto"/>
                <w:szCs w:val="24"/>
                <w:highlight w:val="none"/>
              </w:rPr>
              <w:t>支持中小企业发展资格要求：提供《中小企业声明函》，本项目供应商属于监狱企业或者残疾人福利性单位的，同时提供监狱企业证明材料或者《残疾人福利性单位声明函》；</w:t>
            </w:r>
          </w:p>
          <w:p w14:paraId="787FF6A3">
            <w:pPr>
              <w:pStyle w:val="31"/>
              <w:snapToGrid w:val="0"/>
              <w:spacing w:line="0" w:lineRule="atLeast"/>
              <w:jc w:val="both"/>
              <w:rPr>
                <w:rFonts w:hint="eastAsia" w:ascii="仿宋" w:hAnsi="仿宋" w:eastAsia="仿宋" w:cs="仿宋"/>
                <w:sz w:val="24"/>
                <w:szCs w:val="24"/>
              </w:rPr>
            </w:pPr>
            <w:r>
              <w:rPr>
                <w:rFonts w:hint="eastAsia" w:ascii="仿宋" w:hAnsi="仿宋" w:eastAsia="仿宋" w:cs="仿宋"/>
                <w:color w:val="auto"/>
                <w:szCs w:val="24"/>
                <w:highlight w:val="none"/>
              </w:rPr>
              <w:sym w:font="Wingdings" w:char="F0A8"/>
            </w:r>
            <w:r>
              <w:rPr>
                <w:rFonts w:hint="eastAsia" w:ascii="仿宋" w:hAnsi="仿宋" w:eastAsia="仿宋" w:cs="仿宋"/>
                <w:color w:val="auto"/>
                <w:szCs w:val="24"/>
                <w:highlight w:val="none"/>
              </w:rPr>
              <w:t>其他政府采购政策需满足的资格要求：</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single"/>
                <w:lang w:val="en-US" w:eastAsia="zh-CN"/>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none"/>
              </w:rPr>
              <w:t xml:space="preserve"> </w:t>
            </w:r>
            <w:r>
              <w:rPr>
                <w:rFonts w:hint="eastAsia" w:ascii="仿宋" w:hAnsi="仿宋" w:eastAsia="仿宋" w:cs="仿宋"/>
                <w:color w:val="auto"/>
                <w:szCs w:val="24"/>
                <w:highlight w:val="none"/>
              </w:rPr>
              <w:t>。</w:t>
            </w:r>
          </w:p>
        </w:tc>
      </w:tr>
      <w:tr w14:paraId="2C7F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409D1B98">
            <w:pPr>
              <w:pStyle w:val="31"/>
              <w:numPr>
                <w:ilvl w:val="0"/>
                <w:numId w:val="1"/>
              </w:numPr>
              <w:snapToGrid w:val="0"/>
              <w:spacing w:line="0" w:lineRule="atLeast"/>
              <w:jc w:val="center"/>
              <w:rPr>
                <w:rFonts w:hint="eastAsia" w:ascii="仿宋" w:hAnsi="仿宋" w:eastAsia="仿宋" w:cs="仿宋"/>
                <w:sz w:val="24"/>
                <w:szCs w:val="24"/>
              </w:rPr>
            </w:pPr>
          </w:p>
        </w:tc>
        <w:tc>
          <w:tcPr>
            <w:tcW w:w="1539" w:type="pct"/>
            <w:tcBorders>
              <w:top w:val="single" w:color="auto" w:sz="4" w:space="0"/>
              <w:left w:val="single" w:color="auto" w:sz="4" w:space="0"/>
              <w:bottom w:val="single" w:color="auto" w:sz="4" w:space="0"/>
              <w:right w:val="single" w:color="auto" w:sz="4" w:space="0"/>
            </w:tcBorders>
            <w:vAlign w:val="center"/>
          </w:tcPr>
          <w:p w14:paraId="65FDA577">
            <w:pPr>
              <w:pStyle w:val="31"/>
              <w:snapToGrid w:val="0"/>
              <w:spacing w:line="0" w:lineRule="atLeast"/>
              <w:jc w:val="both"/>
              <w:rPr>
                <w:rFonts w:hint="eastAsia" w:ascii="仿宋" w:hAnsi="仿宋" w:eastAsia="仿宋" w:cs="仿宋"/>
                <w:sz w:val="24"/>
                <w:szCs w:val="24"/>
              </w:rPr>
            </w:pPr>
            <w:r>
              <w:rPr>
                <w:rFonts w:hint="eastAsia" w:ascii="仿宋" w:hAnsi="仿宋" w:eastAsia="仿宋" w:cs="仿宋"/>
                <w:sz w:val="24"/>
                <w:szCs w:val="24"/>
              </w:rPr>
              <w:t>本项目的特定资格要求</w:t>
            </w:r>
          </w:p>
        </w:tc>
        <w:tc>
          <w:tcPr>
            <w:tcW w:w="2952" w:type="pct"/>
            <w:tcBorders>
              <w:top w:val="single" w:color="auto" w:sz="4" w:space="0"/>
              <w:left w:val="single" w:color="auto" w:sz="4" w:space="0"/>
              <w:bottom w:val="single" w:color="auto" w:sz="4" w:space="0"/>
              <w:right w:val="single" w:color="auto" w:sz="4" w:space="0"/>
            </w:tcBorders>
            <w:vAlign w:val="center"/>
          </w:tcPr>
          <w:p w14:paraId="1069152A">
            <w:pPr>
              <w:pStyle w:val="31"/>
              <w:snapToGrid w:val="0"/>
              <w:spacing w:line="0" w:lineRule="atLeast"/>
              <w:jc w:val="both"/>
              <w:rPr>
                <w:rFonts w:hint="eastAsia" w:ascii="仿宋" w:hAnsi="仿宋" w:eastAsia="仿宋" w:cs="仿宋"/>
                <w:sz w:val="24"/>
                <w:szCs w:val="24"/>
              </w:rPr>
            </w:pPr>
            <w:r>
              <w:rPr>
                <w:rFonts w:hint="eastAsia" w:ascii="仿宋" w:hAnsi="仿宋" w:eastAsia="仿宋" w:cs="仿宋"/>
                <w:sz w:val="24"/>
                <w:szCs w:val="24"/>
                <w:highlight w:val="none"/>
              </w:rPr>
              <w:t>供应商需取得质量技术监督管理局颁发的计量认定（CMA）证书，且在有效期内；该证书检测资质范围需具备以下类别：①土壤（包含pH值、镉、汞、砷、铅、铬）；②地表水（包含pH值、水温、镉、汞、砷、铅、铬）。</w:t>
            </w:r>
          </w:p>
        </w:tc>
      </w:tr>
      <w:bookmarkEnd w:id="45"/>
    </w:tbl>
    <w:p w14:paraId="18024146">
      <w:pPr>
        <w:rPr>
          <w:rFonts w:hint="eastAsia" w:ascii="仿宋" w:hAnsi="仿宋" w:eastAsia="仿宋" w:cs="仿宋"/>
          <w:b/>
          <w:bCs/>
          <w:sz w:val="28"/>
          <w:szCs w:val="28"/>
        </w:rPr>
      </w:pPr>
      <w:r>
        <w:rPr>
          <w:rFonts w:hint="eastAsia" w:ascii="仿宋" w:hAnsi="仿宋" w:eastAsia="仿宋" w:cs="仿宋"/>
          <w:b/>
          <w:bCs/>
          <w:sz w:val="28"/>
          <w:szCs w:val="28"/>
        </w:rPr>
        <w:t>备注：</w:t>
      </w:r>
    </w:p>
    <w:p w14:paraId="387CAF5D">
      <w:pPr>
        <w:pStyle w:val="33"/>
        <w:ind w:firstLine="560"/>
        <w:rPr>
          <w:rFonts w:hint="eastAsia" w:ascii="仿宋" w:hAnsi="仿宋" w:eastAsia="仿宋" w:cs="仿宋"/>
          <w:sz w:val="28"/>
          <w:szCs w:val="28"/>
        </w:rPr>
      </w:pPr>
      <w:r>
        <w:rPr>
          <w:rFonts w:hint="eastAsia" w:ascii="仿宋" w:hAnsi="仿宋" w:eastAsia="仿宋" w:cs="仿宋"/>
          <w:sz w:val="28"/>
          <w:szCs w:val="28"/>
        </w:rPr>
        <w:t>1.资格证明文件应为原件的扫描件或复印件，响应文件中须编入清晰的扫描件或复印件。所有证明材料须清晰可辨认，如因证明材料模糊无法辨认，缺页、漏页导致无法进行评审认定的责任由供应商自负。</w:t>
      </w:r>
    </w:p>
    <w:p w14:paraId="7B217BFE">
      <w:pPr>
        <w:pStyle w:val="33"/>
        <w:ind w:left="435" w:leftChars="207" w:firstLine="70" w:firstLineChars="25"/>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zh-CN"/>
        </w:rPr>
        <w:t>信用信息核</w:t>
      </w:r>
      <w:r>
        <w:rPr>
          <w:rFonts w:hint="eastAsia" w:ascii="仿宋" w:hAnsi="仿宋" w:eastAsia="仿宋" w:cs="仿宋"/>
          <w:sz w:val="28"/>
          <w:szCs w:val="28"/>
        </w:rPr>
        <w:t>查</w:t>
      </w:r>
    </w:p>
    <w:p w14:paraId="3E3EE0E2">
      <w:pPr>
        <w:pStyle w:val="32"/>
        <w:ind w:firstLine="560"/>
        <w:rPr>
          <w:rFonts w:hint="eastAsia" w:ascii="仿宋" w:hAnsi="仿宋" w:eastAsia="仿宋" w:cs="仿宋"/>
          <w:sz w:val="28"/>
          <w:szCs w:val="28"/>
        </w:rPr>
      </w:pPr>
      <w:r>
        <w:rPr>
          <w:rFonts w:hint="eastAsia" w:ascii="仿宋" w:hAnsi="仿宋" w:eastAsia="仿宋" w:cs="仿宋"/>
          <w:sz w:val="28"/>
          <w:szCs w:val="28"/>
        </w:rPr>
        <w:t>2.1资格审查当日应当核查供应商信用记录，供应商被列入失信被执行人、重大税收违法案件当事人名单、政府采购严重违法失信行为记录名单的，采购代理机构拒绝其参与政府采购活动。</w:t>
      </w:r>
    </w:p>
    <w:p w14:paraId="083845AF">
      <w:pPr>
        <w:pStyle w:val="32"/>
        <w:ind w:firstLine="560"/>
        <w:rPr>
          <w:rFonts w:hint="eastAsia" w:ascii="仿宋" w:hAnsi="仿宋" w:eastAsia="仿宋" w:cs="仿宋"/>
          <w:sz w:val="28"/>
          <w:szCs w:val="28"/>
        </w:rPr>
      </w:pPr>
      <w:r>
        <w:rPr>
          <w:rFonts w:hint="eastAsia" w:ascii="仿宋" w:hAnsi="仿宋" w:eastAsia="仿宋" w:cs="仿宋"/>
          <w:sz w:val="28"/>
          <w:szCs w:val="28"/>
        </w:rPr>
        <w:t>2.2以联合体形式参与磋商的，应当核查联合体所有成员和信用记录，联合体成员存在不良信用记录的，视同联合体存在不良信用信息。</w:t>
      </w:r>
    </w:p>
    <w:p w14:paraId="42A6E632">
      <w:pPr>
        <w:pStyle w:val="33"/>
        <w:ind w:firstLine="560"/>
        <w:rPr>
          <w:rFonts w:hint="eastAsia" w:ascii="仿宋" w:hAnsi="仿宋" w:eastAsia="仿宋" w:cs="仿宋"/>
          <w:sz w:val="28"/>
          <w:szCs w:val="28"/>
        </w:rPr>
      </w:pPr>
      <w:r>
        <w:rPr>
          <w:rFonts w:hint="eastAsia" w:ascii="仿宋" w:hAnsi="仿宋" w:eastAsia="仿宋" w:cs="仿宋"/>
          <w:sz w:val="28"/>
          <w:szCs w:val="28"/>
        </w:rPr>
        <w:t>3.对于响应文件中有任意一条不满足上表要求的将导致其</w:t>
      </w:r>
      <w:r>
        <w:rPr>
          <w:rFonts w:hint="eastAsia" w:ascii="仿宋" w:hAnsi="仿宋" w:eastAsia="仿宋" w:cs="仿宋"/>
          <w:b/>
          <w:bCs/>
          <w:sz w:val="28"/>
          <w:szCs w:val="28"/>
        </w:rPr>
        <w:t>响应无效</w:t>
      </w:r>
      <w:r>
        <w:rPr>
          <w:rFonts w:hint="eastAsia" w:ascii="仿宋" w:hAnsi="仿宋" w:eastAsia="仿宋" w:cs="仿宋"/>
          <w:sz w:val="28"/>
          <w:szCs w:val="28"/>
        </w:rPr>
        <w:t>，不进入下一项评审。</w:t>
      </w:r>
    </w:p>
    <w:p w14:paraId="3DF3FB83">
      <w:pPr>
        <w:keepNext/>
        <w:keepLines/>
        <w:ind w:left="435" w:leftChars="207" w:firstLine="70" w:firstLineChars="25"/>
        <w:rPr>
          <w:rFonts w:hint="eastAsia" w:ascii="仿宋" w:hAnsi="仿宋" w:eastAsia="仿宋" w:cs="仿宋"/>
          <w:b/>
          <w:bCs/>
          <w:sz w:val="28"/>
          <w:szCs w:val="28"/>
        </w:rPr>
      </w:pPr>
      <w:bookmarkStart w:id="47" w:name="_Toc10692"/>
      <w:r>
        <w:rPr>
          <w:rFonts w:hint="eastAsia" w:ascii="仿宋" w:hAnsi="仿宋" w:eastAsia="仿宋" w:cs="仿宋"/>
          <w:b/>
          <w:bCs/>
          <w:sz w:val="28"/>
          <w:szCs w:val="28"/>
        </w:rPr>
        <w:br w:type="page"/>
      </w:r>
    </w:p>
    <w:p w14:paraId="485EA79B">
      <w:pPr>
        <w:pStyle w:val="4"/>
        <w:spacing w:before="0" w:after="0" w:line="360" w:lineRule="auto"/>
        <w:ind w:left="435" w:leftChars="207" w:firstLine="70" w:firstLineChars="25"/>
        <w:rPr>
          <w:rFonts w:hint="eastAsia" w:ascii="仿宋" w:hAnsi="仿宋" w:eastAsia="仿宋" w:cs="仿宋"/>
          <w:sz w:val="28"/>
          <w:szCs w:val="28"/>
        </w:rPr>
      </w:pPr>
      <w:bookmarkStart w:id="48" w:name="_Toc23011"/>
      <w:bookmarkStart w:id="49" w:name="_Toc10630"/>
      <w:bookmarkStart w:id="50" w:name="_Toc15871"/>
      <w:r>
        <w:rPr>
          <w:rFonts w:hint="eastAsia" w:ascii="仿宋" w:hAnsi="仿宋" w:eastAsia="仿宋" w:cs="仿宋"/>
          <w:sz w:val="28"/>
          <w:szCs w:val="28"/>
        </w:rPr>
        <w:t>（二）符合性审查表</w:t>
      </w:r>
      <w:bookmarkEnd w:id="46"/>
      <w:bookmarkEnd w:id="47"/>
      <w:bookmarkEnd w:id="48"/>
      <w:bookmarkEnd w:id="49"/>
      <w:bookmarkEnd w:id="50"/>
    </w:p>
    <w:tbl>
      <w:tblPr>
        <w:tblStyle w:val="1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1945"/>
        <w:gridCol w:w="5763"/>
      </w:tblGrid>
      <w:tr w14:paraId="52520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478" w:type="pct"/>
            <w:shd w:val="clear" w:color="auto" w:fill="D8D8D8" w:themeFill="background1" w:themeFillShade="D9"/>
            <w:vAlign w:val="center"/>
          </w:tcPr>
          <w:p w14:paraId="023AEF9A">
            <w:pPr>
              <w:pStyle w:val="31"/>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序号</w:t>
            </w:r>
          </w:p>
        </w:tc>
        <w:tc>
          <w:tcPr>
            <w:tcW w:w="1141" w:type="pct"/>
            <w:shd w:val="clear" w:color="auto" w:fill="D8D8D8" w:themeFill="background1" w:themeFillShade="D9"/>
            <w:vAlign w:val="center"/>
          </w:tcPr>
          <w:p w14:paraId="088C67E6">
            <w:pPr>
              <w:pStyle w:val="31"/>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审查项名称</w:t>
            </w:r>
          </w:p>
        </w:tc>
        <w:tc>
          <w:tcPr>
            <w:tcW w:w="3381" w:type="pct"/>
            <w:shd w:val="clear" w:color="auto" w:fill="D8D8D8" w:themeFill="background1" w:themeFillShade="D9"/>
            <w:vAlign w:val="center"/>
          </w:tcPr>
          <w:p w14:paraId="1A8CF5A9">
            <w:pPr>
              <w:pStyle w:val="31"/>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审查内容</w:t>
            </w:r>
          </w:p>
        </w:tc>
      </w:tr>
      <w:tr w14:paraId="4DDD6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trPr>
        <w:tc>
          <w:tcPr>
            <w:tcW w:w="478" w:type="pct"/>
            <w:shd w:val="clear" w:color="auto" w:fill="auto"/>
            <w:vAlign w:val="center"/>
          </w:tcPr>
          <w:p w14:paraId="7756D7E4">
            <w:pPr>
              <w:pStyle w:val="31"/>
              <w:numPr>
                <w:ilvl w:val="0"/>
                <w:numId w:val="2"/>
              </w:numPr>
              <w:jc w:val="center"/>
              <w:rPr>
                <w:rFonts w:hint="eastAsia" w:ascii="仿宋" w:hAnsi="仿宋" w:eastAsia="仿宋" w:cs="仿宋"/>
                <w:sz w:val="24"/>
                <w:szCs w:val="24"/>
                <w:lang w:val="zh-CN"/>
              </w:rPr>
            </w:pPr>
          </w:p>
        </w:tc>
        <w:tc>
          <w:tcPr>
            <w:tcW w:w="1141" w:type="pct"/>
            <w:vAlign w:val="center"/>
          </w:tcPr>
          <w:p w14:paraId="43415406">
            <w:pPr>
              <w:pStyle w:val="31"/>
              <w:jc w:val="center"/>
              <w:rPr>
                <w:rFonts w:hint="eastAsia" w:ascii="仿宋" w:hAnsi="仿宋" w:eastAsia="仿宋" w:cs="仿宋"/>
                <w:sz w:val="24"/>
                <w:szCs w:val="24"/>
                <w:lang w:val="zh-CN"/>
              </w:rPr>
            </w:pPr>
            <w:r>
              <w:rPr>
                <w:rFonts w:hint="eastAsia" w:ascii="仿宋" w:hAnsi="仿宋" w:eastAsia="仿宋" w:cs="仿宋"/>
                <w:sz w:val="24"/>
                <w:szCs w:val="24"/>
                <w:lang w:val="zh-CN"/>
              </w:rPr>
              <w:t>磋商报价</w:t>
            </w:r>
          </w:p>
        </w:tc>
        <w:tc>
          <w:tcPr>
            <w:tcW w:w="3381" w:type="pct"/>
            <w:shd w:val="clear" w:color="auto" w:fill="auto"/>
            <w:vAlign w:val="center"/>
          </w:tcPr>
          <w:p w14:paraId="6475577E">
            <w:pPr>
              <w:pStyle w:val="31"/>
              <w:ind w:left="540" w:hanging="540"/>
              <w:rPr>
                <w:rFonts w:hint="eastAsia" w:ascii="仿宋" w:hAnsi="仿宋" w:eastAsia="仿宋" w:cs="仿宋"/>
                <w:sz w:val="24"/>
                <w:szCs w:val="24"/>
                <w:lang w:val="zh-CN"/>
              </w:rPr>
            </w:pPr>
            <w:r>
              <w:rPr>
                <w:rFonts w:hint="eastAsia" w:ascii="仿宋" w:hAnsi="仿宋" w:eastAsia="仿宋" w:cs="仿宋"/>
                <w:sz w:val="24"/>
                <w:szCs w:val="24"/>
                <w:lang w:val="zh-CN"/>
              </w:rPr>
              <w:t>总报价不超过项目（分包）预算金额或最高限价。</w:t>
            </w:r>
          </w:p>
        </w:tc>
      </w:tr>
      <w:tr w14:paraId="268C4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48B3A3E4">
            <w:pPr>
              <w:pStyle w:val="31"/>
              <w:numPr>
                <w:ilvl w:val="0"/>
                <w:numId w:val="2"/>
              </w:numPr>
              <w:jc w:val="center"/>
              <w:rPr>
                <w:rFonts w:hint="eastAsia" w:ascii="仿宋" w:hAnsi="仿宋" w:eastAsia="仿宋" w:cs="仿宋"/>
                <w:sz w:val="24"/>
                <w:szCs w:val="24"/>
                <w:lang w:val="zh-CN"/>
              </w:rPr>
            </w:pPr>
          </w:p>
        </w:tc>
        <w:tc>
          <w:tcPr>
            <w:tcW w:w="1141" w:type="pct"/>
            <w:vAlign w:val="center"/>
          </w:tcPr>
          <w:p w14:paraId="50BA771C">
            <w:pPr>
              <w:pStyle w:val="31"/>
              <w:jc w:val="center"/>
              <w:rPr>
                <w:rFonts w:hint="eastAsia" w:ascii="仿宋" w:hAnsi="仿宋" w:eastAsia="仿宋" w:cs="仿宋"/>
                <w:sz w:val="24"/>
                <w:szCs w:val="24"/>
                <w:lang w:val="zh-CN"/>
              </w:rPr>
            </w:pPr>
            <w:r>
              <w:rPr>
                <w:rFonts w:hint="eastAsia" w:ascii="仿宋" w:hAnsi="仿宋" w:eastAsia="仿宋" w:cs="仿宋"/>
                <w:sz w:val="24"/>
                <w:szCs w:val="24"/>
                <w:lang w:val="zh-CN"/>
              </w:rPr>
              <w:t>响应文件编制</w:t>
            </w:r>
          </w:p>
        </w:tc>
        <w:tc>
          <w:tcPr>
            <w:tcW w:w="3381" w:type="pct"/>
            <w:shd w:val="clear" w:color="auto" w:fill="auto"/>
            <w:vAlign w:val="center"/>
          </w:tcPr>
          <w:p w14:paraId="4D902D67">
            <w:pPr>
              <w:pStyle w:val="31"/>
              <w:rPr>
                <w:rFonts w:hint="eastAsia" w:ascii="仿宋" w:hAnsi="仿宋" w:eastAsia="仿宋" w:cs="仿宋"/>
                <w:sz w:val="24"/>
                <w:szCs w:val="24"/>
              </w:rPr>
            </w:pPr>
            <w:r>
              <w:rPr>
                <w:rFonts w:hint="eastAsia" w:ascii="仿宋" w:hAnsi="仿宋" w:eastAsia="仿宋" w:cs="仿宋"/>
                <w:sz w:val="24"/>
                <w:szCs w:val="24"/>
                <w:lang w:val="zh-CN"/>
              </w:rPr>
              <w:t>（1）按照</w:t>
            </w:r>
            <w:r>
              <w:rPr>
                <w:rFonts w:hint="eastAsia" w:ascii="仿宋" w:hAnsi="仿宋" w:eastAsia="仿宋" w:cs="仿宋"/>
                <w:sz w:val="24"/>
                <w:szCs w:val="24"/>
              </w:rPr>
              <w:t>竞争性磋商文件要求提供</w:t>
            </w:r>
            <w:r>
              <w:rPr>
                <w:rFonts w:hint="eastAsia" w:ascii="仿宋" w:hAnsi="仿宋" w:eastAsia="仿宋" w:cs="仿宋"/>
                <w:sz w:val="24"/>
                <w:szCs w:val="24"/>
                <w:lang w:val="zh-CN"/>
              </w:rPr>
              <w:t>《</w:t>
            </w:r>
            <w:r>
              <w:rPr>
                <w:rFonts w:hint="eastAsia" w:ascii="仿宋" w:hAnsi="仿宋" w:eastAsia="仿宋" w:cs="仿宋"/>
                <w:sz w:val="24"/>
                <w:szCs w:val="24"/>
              </w:rPr>
              <w:t>响应函》；</w:t>
            </w:r>
          </w:p>
          <w:p w14:paraId="7952C8CE">
            <w:pPr>
              <w:pStyle w:val="31"/>
              <w:rPr>
                <w:rFonts w:hint="eastAsia" w:ascii="仿宋" w:hAnsi="仿宋" w:eastAsia="仿宋" w:cs="仿宋"/>
                <w:sz w:val="24"/>
                <w:szCs w:val="24"/>
              </w:rPr>
            </w:pPr>
            <w:r>
              <w:rPr>
                <w:rFonts w:hint="eastAsia" w:ascii="仿宋" w:hAnsi="仿宋" w:eastAsia="仿宋" w:cs="仿宋"/>
                <w:sz w:val="24"/>
                <w:szCs w:val="24"/>
              </w:rPr>
              <w:t>（2）不存在两个或两个以上磋商方案；</w:t>
            </w:r>
          </w:p>
          <w:p w14:paraId="0E6FCCBC">
            <w:pPr>
              <w:pStyle w:val="31"/>
              <w:rPr>
                <w:rFonts w:hint="eastAsia" w:ascii="仿宋" w:hAnsi="仿宋" w:eastAsia="仿宋" w:cs="仿宋"/>
                <w:sz w:val="24"/>
                <w:szCs w:val="24"/>
                <w:lang w:val="zh-CN"/>
              </w:rPr>
            </w:pPr>
            <w:r>
              <w:rPr>
                <w:rFonts w:hint="eastAsia" w:ascii="仿宋" w:hAnsi="仿宋" w:eastAsia="仿宋" w:cs="仿宋"/>
                <w:sz w:val="24"/>
                <w:szCs w:val="24"/>
              </w:rPr>
              <w:t>（3）未按磋商文件要求盖章或签字（签章）。</w:t>
            </w:r>
          </w:p>
        </w:tc>
      </w:tr>
      <w:tr w14:paraId="67665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171C661B">
            <w:pPr>
              <w:pStyle w:val="31"/>
              <w:numPr>
                <w:ilvl w:val="0"/>
                <w:numId w:val="2"/>
              </w:numPr>
              <w:jc w:val="center"/>
              <w:rPr>
                <w:rFonts w:hint="eastAsia" w:ascii="仿宋" w:hAnsi="仿宋" w:eastAsia="仿宋" w:cs="仿宋"/>
                <w:sz w:val="24"/>
                <w:szCs w:val="24"/>
                <w:lang w:val="zh-CN"/>
              </w:rPr>
            </w:pPr>
          </w:p>
        </w:tc>
        <w:tc>
          <w:tcPr>
            <w:tcW w:w="1141" w:type="pct"/>
            <w:vAlign w:val="center"/>
          </w:tcPr>
          <w:p w14:paraId="6DC0B9F3">
            <w:pPr>
              <w:pStyle w:val="31"/>
              <w:jc w:val="center"/>
              <w:rPr>
                <w:rFonts w:hint="eastAsia" w:ascii="仿宋" w:hAnsi="仿宋" w:eastAsia="仿宋" w:cs="仿宋"/>
                <w:color w:val="191919"/>
                <w:sz w:val="24"/>
                <w:szCs w:val="24"/>
              </w:rPr>
            </w:pPr>
            <w:r>
              <w:rPr>
                <w:rFonts w:hint="eastAsia" w:ascii="仿宋" w:hAnsi="仿宋" w:eastAsia="仿宋" w:cs="仿宋"/>
                <w:color w:val="191919"/>
                <w:sz w:val="24"/>
                <w:szCs w:val="24"/>
              </w:rPr>
              <w:t>响应的要求</w:t>
            </w:r>
          </w:p>
        </w:tc>
        <w:tc>
          <w:tcPr>
            <w:tcW w:w="3381" w:type="pct"/>
            <w:shd w:val="clear" w:color="auto" w:fill="auto"/>
            <w:vAlign w:val="center"/>
          </w:tcPr>
          <w:p w14:paraId="2C4D38E6">
            <w:pPr>
              <w:pStyle w:val="31"/>
              <w:rPr>
                <w:rFonts w:hint="eastAsia" w:ascii="仿宋" w:hAnsi="仿宋" w:eastAsia="仿宋" w:cs="仿宋"/>
                <w:sz w:val="24"/>
                <w:szCs w:val="24"/>
                <w:lang w:val="zh-CN"/>
              </w:rPr>
            </w:pPr>
            <w:r>
              <w:rPr>
                <w:rFonts w:hint="eastAsia" w:ascii="仿宋" w:hAnsi="仿宋" w:eastAsia="仿宋" w:cs="仿宋"/>
                <w:sz w:val="24"/>
                <w:szCs w:val="24"/>
                <w:lang w:val="zh-CN"/>
              </w:rPr>
              <w:t>竞争性磋商文件不接受进口产品时，供应商所投产品</w:t>
            </w:r>
            <w:r>
              <w:rPr>
                <w:rFonts w:hint="eastAsia" w:ascii="仿宋" w:hAnsi="仿宋" w:eastAsia="仿宋" w:cs="仿宋"/>
                <w:sz w:val="24"/>
                <w:szCs w:val="24"/>
              </w:rPr>
              <w:t>不</w:t>
            </w:r>
            <w:r>
              <w:rPr>
                <w:rFonts w:hint="eastAsia" w:ascii="仿宋" w:hAnsi="仿宋" w:eastAsia="仿宋" w:cs="仿宋"/>
                <w:sz w:val="24"/>
                <w:szCs w:val="24"/>
                <w:lang w:val="zh-CN"/>
              </w:rPr>
              <w:t>是通过中国海关报关验放进入中国境内且产自关境外的。</w:t>
            </w:r>
          </w:p>
        </w:tc>
      </w:tr>
      <w:tr w14:paraId="7DF28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038498CF">
            <w:pPr>
              <w:pStyle w:val="31"/>
              <w:numPr>
                <w:ilvl w:val="0"/>
                <w:numId w:val="2"/>
              </w:numPr>
              <w:jc w:val="center"/>
              <w:rPr>
                <w:rFonts w:hint="eastAsia" w:ascii="仿宋" w:hAnsi="仿宋" w:eastAsia="仿宋" w:cs="仿宋"/>
                <w:sz w:val="24"/>
                <w:szCs w:val="24"/>
                <w:lang w:val="zh-CN"/>
              </w:rPr>
            </w:pPr>
          </w:p>
        </w:tc>
        <w:tc>
          <w:tcPr>
            <w:tcW w:w="1141" w:type="pct"/>
            <w:vAlign w:val="center"/>
          </w:tcPr>
          <w:p w14:paraId="5FAEB192">
            <w:pPr>
              <w:pStyle w:val="31"/>
              <w:jc w:val="center"/>
              <w:rPr>
                <w:rFonts w:hint="eastAsia" w:ascii="仿宋" w:hAnsi="仿宋" w:eastAsia="仿宋" w:cs="仿宋"/>
                <w:sz w:val="24"/>
                <w:szCs w:val="24"/>
                <w:lang w:val="zh-CN"/>
              </w:rPr>
            </w:pPr>
            <w:r>
              <w:rPr>
                <w:rFonts w:hint="eastAsia" w:ascii="仿宋" w:hAnsi="仿宋" w:eastAsia="仿宋" w:cs="仿宋"/>
                <w:sz w:val="24"/>
                <w:szCs w:val="24"/>
                <w:lang w:val="zh-CN"/>
              </w:rPr>
              <w:t>其他实质性要求</w:t>
            </w:r>
          </w:p>
        </w:tc>
        <w:tc>
          <w:tcPr>
            <w:tcW w:w="3381" w:type="pct"/>
            <w:shd w:val="clear" w:color="auto" w:fill="auto"/>
            <w:vAlign w:val="center"/>
          </w:tcPr>
          <w:p w14:paraId="63245887">
            <w:pPr>
              <w:pStyle w:val="31"/>
              <w:rPr>
                <w:rFonts w:hint="eastAsia"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sz w:val="24"/>
                <w:szCs w:val="24"/>
              </w:rPr>
              <w:t>合同履行期限</w:t>
            </w:r>
            <w:r>
              <w:rPr>
                <w:rFonts w:hint="eastAsia" w:ascii="仿宋" w:hAnsi="仿宋" w:eastAsia="仿宋" w:cs="仿宋"/>
                <w:sz w:val="24"/>
                <w:szCs w:val="24"/>
                <w:lang w:val="zh-CN"/>
              </w:rPr>
              <w:t>符合竞争性磋商文件要求；</w:t>
            </w:r>
          </w:p>
          <w:p w14:paraId="6B4555B4">
            <w:pPr>
              <w:pStyle w:val="31"/>
              <w:rPr>
                <w:rFonts w:hint="eastAsia" w:ascii="仿宋" w:hAnsi="仿宋" w:eastAsia="仿宋" w:cs="仿宋"/>
                <w:sz w:val="24"/>
                <w:szCs w:val="24"/>
                <w:lang w:val="zh-CN"/>
              </w:rPr>
            </w:pPr>
            <w:r>
              <w:rPr>
                <w:rFonts w:hint="eastAsia" w:ascii="仿宋" w:hAnsi="仿宋" w:eastAsia="仿宋" w:cs="仿宋"/>
                <w:sz w:val="24"/>
                <w:szCs w:val="24"/>
                <w:lang w:val="zh-CN"/>
              </w:rPr>
              <w:t>（2）磋商有效期符合竞争性磋商文件要求；</w:t>
            </w:r>
          </w:p>
          <w:p w14:paraId="5F1EC4B4">
            <w:pPr>
              <w:pStyle w:val="31"/>
              <w:rPr>
                <w:rFonts w:hint="eastAsia" w:ascii="仿宋" w:hAnsi="仿宋" w:eastAsia="仿宋" w:cs="仿宋"/>
                <w:sz w:val="24"/>
                <w:szCs w:val="24"/>
                <w:lang w:val="zh-CN"/>
              </w:rPr>
            </w:pPr>
            <w:r>
              <w:rPr>
                <w:rFonts w:hint="eastAsia" w:ascii="仿宋" w:hAnsi="仿宋" w:eastAsia="仿宋" w:cs="仿宋"/>
                <w:sz w:val="24"/>
                <w:szCs w:val="24"/>
                <w:lang w:val="zh-CN"/>
              </w:rPr>
              <w:t>（3）不存在采购人不能接受的附加条件。</w:t>
            </w:r>
          </w:p>
        </w:tc>
      </w:tr>
      <w:tr w14:paraId="2A5D1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6CE1228F">
            <w:pPr>
              <w:pStyle w:val="31"/>
              <w:numPr>
                <w:ilvl w:val="0"/>
                <w:numId w:val="2"/>
              </w:numPr>
              <w:jc w:val="center"/>
              <w:rPr>
                <w:rFonts w:hint="eastAsia" w:ascii="仿宋" w:hAnsi="仿宋" w:eastAsia="仿宋" w:cs="仿宋"/>
                <w:sz w:val="24"/>
                <w:szCs w:val="24"/>
                <w:lang w:val="zh-CN"/>
              </w:rPr>
            </w:pPr>
          </w:p>
        </w:tc>
        <w:tc>
          <w:tcPr>
            <w:tcW w:w="1141" w:type="pct"/>
            <w:vAlign w:val="center"/>
          </w:tcPr>
          <w:p w14:paraId="0034E906">
            <w:pPr>
              <w:pStyle w:val="31"/>
              <w:jc w:val="center"/>
              <w:rPr>
                <w:rFonts w:hint="eastAsia" w:ascii="仿宋" w:hAnsi="仿宋" w:eastAsia="仿宋" w:cs="仿宋"/>
                <w:sz w:val="24"/>
                <w:szCs w:val="24"/>
              </w:rPr>
            </w:pPr>
            <w:r>
              <w:rPr>
                <w:rFonts w:hint="eastAsia" w:ascii="仿宋" w:hAnsi="仿宋" w:eastAsia="仿宋" w:cs="仿宋"/>
                <w:sz w:val="24"/>
                <w:szCs w:val="24"/>
              </w:rPr>
              <w:t>围标串标情形</w:t>
            </w:r>
          </w:p>
        </w:tc>
        <w:tc>
          <w:tcPr>
            <w:tcW w:w="3381" w:type="pct"/>
            <w:shd w:val="clear" w:color="auto" w:fill="auto"/>
            <w:vAlign w:val="center"/>
          </w:tcPr>
          <w:p w14:paraId="47A35643">
            <w:pPr>
              <w:pStyle w:val="31"/>
              <w:rPr>
                <w:rFonts w:hint="eastAsia" w:ascii="仿宋" w:hAnsi="仿宋" w:eastAsia="仿宋" w:cs="仿宋"/>
                <w:sz w:val="24"/>
                <w:szCs w:val="24"/>
              </w:rPr>
            </w:pPr>
            <w:r>
              <w:rPr>
                <w:rFonts w:hint="eastAsia" w:ascii="仿宋" w:hAnsi="仿宋" w:eastAsia="仿宋" w:cs="仿宋"/>
                <w:sz w:val="24"/>
                <w:szCs w:val="24"/>
              </w:rPr>
              <w:t>供应商不存在下列任一情形：</w:t>
            </w:r>
          </w:p>
          <w:p w14:paraId="08D89CE9">
            <w:pPr>
              <w:pStyle w:val="31"/>
              <w:rPr>
                <w:rFonts w:hint="eastAsia" w:ascii="仿宋" w:hAnsi="仿宋" w:eastAsia="仿宋" w:cs="仿宋"/>
                <w:sz w:val="24"/>
                <w:szCs w:val="24"/>
              </w:rPr>
            </w:pPr>
            <w:r>
              <w:rPr>
                <w:rFonts w:hint="eastAsia" w:ascii="仿宋" w:hAnsi="仿宋" w:eastAsia="仿宋" w:cs="仿宋"/>
                <w:sz w:val="24"/>
                <w:szCs w:val="24"/>
              </w:rPr>
              <w:t>（1）不同供应商的响应文件由同一单位或者个人编制；</w:t>
            </w:r>
          </w:p>
          <w:p w14:paraId="480481ED">
            <w:pPr>
              <w:pStyle w:val="31"/>
              <w:rPr>
                <w:rFonts w:hint="eastAsia" w:ascii="仿宋" w:hAnsi="仿宋" w:eastAsia="仿宋" w:cs="仿宋"/>
                <w:sz w:val="24"/>
                <w:szCs w:val="24"/>
              </w:rPr>
            </w:pPr>
            <w:r>
              <w:rPr>
                <w:rFonts w:hint="eastAsia" w:ascii="仿宋" w:hAnsi="仿宋" w:eastAsia="仿宋" w:cs="仿宋"/>
                <w:sz w:val="24"/>
                <w:szCs w:val="24"/>
              </w:rPr>
              <w:t>（2）不同供应商委托同一单位或者个人办理磋商事宜；</w:t>
            </w:r>
          </w:p>
          <w:p w14:paraId="0DF9ABAD">
            <w:pPr>
              <w:pStyle w:val="31"/>
              <w:rPr>
                <w:rFonts w:hint="eastAsia" w:ascii="仿宋" w:hAnsi="仿宋" w:eastAsia="仿宋" w:cs="仿宋"/>
                <w:sz w:val="24"/>
                <w:szCs w:val="24"/>
              </w:rPr>
            </w:pPr>
            <w:r>
              <w:rPr>
                <w:rFonts w:hint="eastAsia" w:ascii="仿宋" w:hAnsi="仿宋" w:eastAsia="仿宋" w:cs="仿宋"/>
                <w:sz w:val="24"/>
                <w:szCs w:val="24"/>
              </w:rPr>
              <w:t>（3）不同供应商的响应文件载明的项目管理成员或者联系人员为同一人；</w:t>
            </w:r>
          </w:p>
          <w:p w14:paraId="4B9D243F">
            <w:pPr>
              <w:pStyle w:val="31"/>
              <w:rPr>
                <w:rFonts w:hint="eastAsia" w:ascii="仿宋" w:hAnsi="仿宋" w:eastAsia="仿宋" w:cs="仿宋"/>
                <w:sz w:val="24"/>
                <w:szCs w:val="24"/>
              </w:rPr>
            </w:pPr>
            <w:r>
              <w:rPr>
                <w:rFonts w:hint="eastAsia" w:ascii="仿宋" w:hAnsi="仿宋" w:eastAsia="仿宋" w:cs="仿宋"/>
                <w:sz w:val="24"/>
                <w:szCs w:val="24"/>
              </w:rPr>
              <w:t>（4）不同供应商的响应文件异常一致或者报价呈规律性差异；</w:t>
            </w:r>
          </w:p>
          <w:p w14:paraId="1A990F64">
            <w:pPr>
              <w:pStyle w:val="31"/>
              <w:rPr>
                <w:rFonts w:hint="eastAsia" w:ascii="仿宋" w:hAnsi="仿宋" w:eastAsia="仿宋" w:cs="仿宋"/>
                <w:sz w:val="24"/>
                <w:szCs w:val="24"/>
              </w:rPr>
            </w:pPr>
            <w:r>
              <w:rPr>
                <w:rFonts w:hint="eastAsia" w:ascii="仿宋" w:hAnsi="仿宋" w:eastAsia="仿宋" w:cs="仿宋"/>
                <w:sz w:val="24"/>
                <w:szCs w:val="24"/>
              </w:rPr>
              <w:t>（5）不同供应商的响应文件相互混装；</w:t>
            </w:r>
          </w:p>
          <w:p w14:paraId="59075975">
            <w:pPr>
              <w:pStyle w:val="31"/>
              <w:rPr>
                <w:rFonts w:hint="eastAsia" w:ascii="仿宋" w:hAnsi="仿宋" w:eastAsia="仿宋" w:cs="仿宋"/>
                <w:sz w:val="24"/>
                <w:szCs w:val="24"/>
                <w:lang w:val="zh-CN"/>
              </w:rPr>
            </w:pPr>
            <w:r>
              <w:rPr>
                <w:rFonts w:hint="eastAsia" w:ascii="仿宋" w:hAnsi="仿宋" w:eastAsia="仿宋" w:cs="仿宋"/>
                <w:sz w:val="24"/>
                <w:szCs w:val="24"/>
              </w:rPr>
              <w:t>（6）</w:t>
            </w:r>
            <w:r>
              <w:rPr>
                <w:rFonts w:hint="eastAsia" w:ascii="仿宋" w:hAnsi="仿宋" w:eastAsia="仿宋" w:cs="仿宋"/>
                <w:sz w:val="24"/>
                <w:szCs w:val="24"/>
                <w:lang w:val="zh-CN"/>
              </w:rPr>
              <w:t>不同供应商使用同一电脑（机器特征值一致：如MAC地址等）或使用同一电子密钥，编制或上传电子响应文件。</w:t>
            </w:r>
          </w:p>
        </w:tc>
      </w:tr>
      <w:tr w14:paraId="2F7CE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07B934F9">
            <w:pPr>
              <w:pStyle w:val="31"/>
              <w:numPr>
                <w:ilvl w:val="0"/>
                <w:numId w:val="2"/>
              </w:numPr>
              <w:jc w:val="center"/>
              <w:rPr>
                <w:rFonts w:hint="eastAsia" w:ascii="仿宋" w:hAnsi="仿宋" w:eastAsia="仿宋" w:cs="仿宋"/>
                <w:sz w:val="24"/>
                <w:szCs w:val="24"/>
                <w:lang w:val="zh-CN"/>
              </w:rPr>
            </w:pPr>
          </w:p>
        </w:tc>
        <w:tc>
          <w:tcPr>
            <w:tcW w:w="1141" w:type="pct"/>
            <w:vAlign w:val="center"/>
          </w:tcPr>
          <w:p w14:paraId="2196DC1F">
            <w:pPr>
              <w:pStyle w:val="31"/>
              <w:jc w:val="center"/>
              <w:rPr>
                <w:rFonts w:hint="eastAsia" w:ascii="仿宋" w:hAnsi="仿宋" w:eastAsia="仿宋" w:cs="仿宋"/>
                <w:sz w:val="24"/>
                <w:szCs w:val="24"/>
                <w:lang w:val="zh-CN"/>
              </w:rPr>
            </w:pPr>
            <w:r>
              <w:rPr>
                <w:rFonts w:hint="eastAsia" w:ascii="仿宋" w:hAnsi="仿宋" w:eastAsia="仿宋" w:cs="仿宋"/>
                <w:sz w:val="24"/>
                <w:szCs w:val="24"/>
                <w:lang w:val="zh-CN"/>
              </w:rPr>
              <w:t>其他无效情形</w:t>
            </w:r>
          </w:p>
        </w:tc>
        <w:tc>
          <w:tcPr>
            <w:tcW w:w="3381" w:type="pct"/>
            <w:shd w:val="clear" w:color="auto" w:fill="auto"/>
            <w:vAlign w:val="center"/>
          </w:tcPr>
          <w:p w14:paraId="51547517">
            <w:pPr>
              <w:pStyle w:val="31"/>
              <w:rPr>
                <w:rFonts w:hint="eastAsia" w:ascii="仿宋" w:hAnsi="仿宋" w:eastAsia="仿宋" w:cs="仿宋"/>
                <w:sz w:val="24"/>
                <w:szCs w:val="24"/>
                <w:lang w:val="zh-CN"/>
              </w:rPr>
            </w:pPr>
            <w:r>
              <w:rPr>
                <w:rFonts w:hint="eastAsia" w:ascii="仿宋" w:hAnsi="仿宋" w:eastAsia="仿宋" w:cs="仿宋"/>
                <w:sz w:val="24"/>
                <w:szCs w:val="24"/>
                <w:lang w:val="zh-CN"/>
              </w:rPr>
              <w:t>不存在法律、法规和磋商文件规定的其他无效磋商情形。</w:t>
            </w:r>
          </w:p>
        </w:tc>
      </w:tr>
    </w:tbl>
    <w:p w14:paraId="74B523EF">
      <w:pPr>
        <w:rPr>
          <w:rFonts w:hint="eastAsia" w:ascii="仿宋" w:hAnsi="仿宋" w:eastAsia="仿宋" w:cs="仿宋"/>
          <w:b/>
          <w:bCs/>
          <w:sz w:val="28"/>
          <w:szCs w:val="28"/>
        </w:rPr>
      </w:pPr>
      <w:r>
        <w:rPr>
          <w:rFonts w:hint="eastAsia" w:ascii="仿宋" w:hAnsi="仿宋" w:eastAsia="仿宋" w:cs="仿宋"/>
          <w:b/>
          <w:bCs/>
          <w:sz w:val="28"/>
          <w:szCs w:val="28"/>
        </w:rPr>
        <w:br w:type="page"/>
      </w:r>
    </w:p>
    <w:p w14:paraId="3BA2F027">
      <w:pPr>
        <w:pStyle w:val="4"/>
        <w:spacing w:before="0" w:after="0" w:line="360" w:lineRule="auto"/>
        <w:ind w:left="420" w:hanging="420"/>
        <w:rPr>
          <w:rFonts w:hint="eastAsia"/>
          <w:highlight w:val="none"/>
        </w:rPr>
      </w:pPr>
      <w:bookmarkStart w:id="51" w:name="_Toc16444"/>
      <w:bookmarkStart w:id="52" w:name="_Toc4319"/>
      <w:bookmarkStart w:id="53" w:name="_Toc3288"/>
      <w:bookmarkStart w:id="54" w:name="_Toc16285"/>
      <w:r>
        <w:rPr>
          <w:rFonts w:hint="eastAsia" w:ascii="仿宋" w:hAnsi="仿宋" w:eastAsia="仿宋" w:cs="仿宋"/>
          <w:sz w:val="28"/>
          <w:szCs w:val="28"/>
          <w:highlight w:val="none"/>
        </w:rPr>
        <w:t>（三）评分标准</w:t>
      </w:r>
      <w:bookmarkEnd w:id="51"/>
      <w:bookmarkEnd w:id="52"/>
      <w:bookmarkEnd w:id="53"/>
      <w:bookmarkEnd w:id="54"/>
    </w:p>
    <w:tbl>
      <w:tblPr>
        <w:tblStyle w:val="18"/>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1457"/>
        <w:gridCol w:w="788"/>
        <w:gridCol w:w="5408"/>
      </w:tblGrid>
      <w:tr w14:paraId="26B0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4" w:type="pct"/>
            <w:shd w:val="clear" w:color="auto" w:fill="D8D8D8" w:themeFill="background1" w:themeFillShade="D9"/>
            <w:vAlign w:val="center"/>
          </w:tcPr>
          <w:p w14:paraId="487BB2A7">
            <w:pPr>
              <w:pStyle w:val="31"/>
              <w:snapToGrid w:val="0"/>
              <w:spacing w:line="0" w:lineRule="atLeast"/>
              <w:jc w:val="center"/>
              <w:rPr>
                <w:rFonts w:hint="eastAsia" w:ascii="黑体" w:hAnsi="黑体" w:eastAsia="黑体" w:cs="黑体"/>
                <w:sz w:val="28"/>
                <w:szCs w:val="28"/>
              </w:rPr>
            </w:pPr>
            <w:r>
              <w:rPr>
                <w:rFonts w:hint="eastAsia" w:ascii="黑体" w:hAnsi="黑体" w:eastAsia="黑体" w:cs="黑体"/>
                <w:sz w:val="28"/>
                <w:szCs w:val="28"/>
              </w:rPr>
              <w:t>评审项目</w:t>
            </w:r>
          </w:p>
        </w:tc>
        <w:tc>
          <w:tcPr>
            <w:tcW w:w="810" w:type="pct"/>
            <w:shd w:val="clear" w:color="auto" w:fill="D8D8D8" w:themeFill="background1" w:themeFillShade="D9"/>
            <w:vAlign w:val="center"/>
          </w:tcPr>
          <w:p w14:paraId="208646BF">
            <w:pPr>
              <w:pStyle w:val="31"/>
              <w:snapToGrid w:val="0"/>
              <w:spacing w:line="0" w:lineRule="atLeast"/>
              <w:jc w:val="center"/>
              <w:rPr>
                <w:rFonts w:hint="eastAsia" w:ascii="黑体" w:hAnsi="黑体" w:eastAsia="黑体" w:cs="黑体"/>
                <w:sz w:val="28"/>
                <w:szCs w:val="28"/>
              </w:rPr>
            </w:pPr>
            <w:r>
              <w:rPr>
                <w:rFonts w:hint="eastAsia" w:ascii="黑体" w:hAnsi="黑体" w:eastAsia="黑体" w:cs="黑体"/>
                <w:sz w:val="28"/>
                <w:szCs w:val="28"/>
              </w:rPr>
              <w:t>评审分项</w:t>
            </w:r>
          </w:p>
        </w:tc>
        <w:tc>
          <w:tcPr>
            <w:tcW w:w="438" w:type="pct"/>
            <w:shd w:val="clear" w:color="auto" w:fill="D8D8D8" w:themeFill="background1" w:themeFillShade="D9"/>
            <w:vAlign w:val="center"/>
          </w:tcPr>
          <w:p w14:paraId="5E206B71">
            <w:pPr>
              <w:pStyle w:val="31"/>
              <w:snapToGrid w:val="0"/>
              <w:spacing w:line="0" w:lineRule="atLeast"/>
              <w:jc w:val="center"/>
              <w:rPr>
                <w:rFonts w:hint="eastAsia" w:ascii="黑体" w:hAnsi="黑体" w:eastAsia="黑体" w:cs="黑体"/>
                <w:sz w:val="28"/>
                <w:szCs w:val="28"/>
              </w:rPr>
            </w:pPr>
            <w:r>
              <w:rPr>
                <w:rFonts w:hint="eastAsia" w:ascii="黑体" w:hAnsi="黑体" w:eastAsia="黑体" w:cs="黑体"/>
                <w:sz w:val="28"/>
                <w:szCs w:val="28"/>
              </w:rPr>
              <w:t>分值</w:t>
            </w:r>
          </w:p>
        </w:tc>
        <w:tc>
          <w:tcPr>
            <w:tcW w:w="3007" w:type="pct"/>
            <w:shd w:val="clear" w:color="auto" w:fill="D8D8D8" w:themeFill="background1" w:themeFillShade="D9"/>
            <w:vAlign w:val="center"/>
          </w:tcPr>
          <w:p w14:paraId="1841E39A">
            <w:pPr>
              <w:pStyle w:val="31"/>
              <w:snapToGrid w:val="0"/>
              <w:spacing w:line="0" w:lineRule="atLeast"/>
              <w:jc w:val="center"/>
              <w:rPr>
                <w:rFonts w:hint="eastAsia" w:ascii="黑体" w:hAnsi="黑体" w:eastAsia="黑体" w:cs="黑体"/>
                <w:sz w:val="28"/>
                <w:szCs w:val="28"/>
              </w:rPr>
            </w:pPr>
            <w:r>
              <w:rPr>
                <w:rFonts w:hint="eastAsia" w:ascii="黑体" w:hAnsi="黑体" w:eastAsia="黑体" w:cs="黑体"/>
                <w:sz w:val="28"/>
                <w:szCs w:val="28"/>
              </w:rPr>
              <w:t>子项目及分值</w:t>
            </w:r>
          </w:p>
        </w:tc>
      </w:tr>
      <w:tr w14:paraId="4571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pct"/>
            <w:vAlign w:val="center"/>
          </w:tcPr>
          <w:p w14:paraId="0F26FD6F">
            <w:pPr>
              <w:pStyle w:val="31"/>
              <w:snapToGrid w:val="0"/>
              <w:spacing w:line="0" w:lineRule="atLeast"/>
              <w:rPr>
                <w:rFonts w:hint="eastAsia" w:ascii="仿宋" w:hAnsi="仿宋" w:eastAsia="仿宋" w:cs="仿宋"/>
                <w:sz w:val="28"/>
                <w:szCs w:val="28"/>
              </w:rPr>
            </w:pPr>
            <w:r>
              <w:rPr>
                <w:rFonts w:hint="eastAsia" w:ascii="仿宋" w:hAnsi="仿宋" w:eastAsia="仿宋" w:cs="仿宋"/>
                <w:sz w:val="28"/>
                <w:szCs w:val="28"/>
              </w:rPr>
              <w:t>价格部分</w:t>
            </w:r>
          </w:p>
          <w:p w14:paraId="6547D54F">
            <w:pPr>
              <w:pStyle w:val="31"/>
              <w:snapToGrid w:val="0"/>
              <w:spacing w:line="0" w:lineRule="atLeast"/>
              <w:rPr>
                <w:rFonts w:hint="eastAsia" w:ascii="仿宋" w:hAnsi="仿宋" w:eastAsia="仿宋" w:cs="仿宋"/>
                <w:sz w:val="28"/>
                <w:szCs w:val="28"/>
              </w:rPr>
            </w:pPr>
            <w:r>
              <w:rPr>
                <w:rFonts w:hint="eastAsia" w:ascii="仿宋" w:hAnsi="仿宋" w:eastAsia="仿宋" w:cs="仿宋"/>
                <w:sz w:val="28"/>
                <w:szCs w:val="28"/>
              </w:rPr>
              <w:t>（10分）</w:t>
            </w:r>
          </w:p>
        </w:tc>
        <w:tc>
          <w:tcPr>
            <w:tcW w:w="810" w:type="pct"/>
            <w:tcBorders>
              <w:bottom w:val="single" w:color="auto" w:sz="4" w:space="0"/>
            </w:tcBorders>
            <w:vAlign w:val="center"/>
          </w:tcPr>
          <w:p w14:paraId="591EBBE7">
            <w:pPr>
              <w:pStyle w:val="31"/>
              <w:snapToGrid w:val="0"/>
              <w:spacing w:line="0" w:lineRule="atLeast"/>
              <w:jc w:val="center"/>
              <w:rPr>
                <w:rFonts w:hint="eastAsia" w:ascii="仿宋" w:hAnsi="仿宋" w:eastAsia="仿宋" w:cs="仿宋"/>
                <w:sz w:val="28"/>
                <w:szCs w:val="28"/>
              </w:rPr>
            </w:pPr>
            <w:r>
              <w:rPr>
                <w:rFonts w:hint="eastAsia" w:ascii="仿宋" w:hAnsi="仿宋" w:eastAsia="仿宋" w:cs="仿宋"/>
                <w:sz w:val="28"/>
                <w:szCs w:val="28"/>
                <w:lang w:val="zh-CN"/>
              </w:rPr>
              <w:t>报价得分</w:t>
            </w:r>
          </w:p>
        </w:tc>
        <w:tc>
          <w:tcPr>
            <w:tcW w:w="438" w:type="pct"/>
            <w:vAlign w:val="center"/>
          </w:tcPr>
          <w:p w14:paraId="7C54F642">
            <w:pPr>
              <w:pStyle w:val="31"/>
              <w:snapToGrid w:val="0"/>
              <w:spacing w:line="0" w:lineRule="atLeast"/>
              <w:jc w:val="center"/>
              <w:rPr>
                <w:rFonts w:hint="eastAsia" w:ascii="仿宋" w:hAnsi="仿宋" w:eastAsia="仿宋" w:cs="仿宋"/>
                <w:sz w:val="28"/>
                <w:szCs w:val="28"/>
              </w:rPr>
            </w:pPr>
            <w:r>
              <w:rPr>
                <w:rFonts w:hint="eastAsia" w:ascii="仿宋" w:hAnsi="仿宋" w:eastAsia="仿宋" w:cs="仿宋"/>
                <w:sz w:val="28"/>
                <w:szCs w:val="28"/>
              </w:rPr>
              <w:t>10</w:t>
            </w:r>
          </w:p>
        </w:tc>
        <w:tc>
          <w:tcPr>
            <w:tcW w:w="3007" w:type="pct"/>
            <w:vAlign w:val="center"/>
          </w:tcPr>
          <w:p w14:paraId="79720734">
            <w:pPr>
              <w:pStyle w:val="31"/>
              <w:snapToGrid w:val="0"/>
              <w:spacing w:line="0" w:lineRule="atLeast"/>
              <w:rPr>
                <w:rFonts w:hint="eastAsia" w:ascii="仿宋" w:hAnsi="仿宋" w:eastAsia="仿宋" w:cs="仿宋"/>
                <w:sz w:val="28"/>
                <w:szCs w:val="28"/>
              </w:rPr>
            </w:pPr>
            <w:r>
              <w:rPr>
                <w:rFonts w:hint="eastAsia" w:ascii="仿宋" w:hAnsi="仿宋" w:eastAsia="仿宋" w:cs="仿宋"/>
                <w:sz w:val="28"/>
                <w:szCs w:val="28"/>
              </w:rPr>
              <w:t>满足竞争性磋商文件要求且报价最低的报价为评审基准价，其价格分为满分。其他供应商的价格分统一按照下列公式计算：</w:t>
            </w:r>
          </w:p>
          <w:p w14:paraId="7344701A">
            <w:pPr>
              <w:pStyle w:val="31"/>
              <w:snapToGrid w:val="0"/>
              <w:spacing w:line="0" w:lineRule="atLeast"/>
              <w:rPr>
                <w:rFonts w:hint="eastAsia" w:ascii="仿宋" w:hAnsi="仿宋" w:eastAsia="仿宋" w:cs="仿宋"/>
                <w:sz w:val="28"/>
                <w:szCs w:val="28"/>
              </w:rPr>
            </w:pPr>
            <w:r>
              <w:rPr>
                <w:rFonts w:hint="eastAsia" w:ascii="仿宋" w:hAnsi="仿宋" w:eastAsia="仿宋" w:cs="仿宋"/>
                <w:sz w:val="28"/>
                <w:szCs w:val="28"/>
              </w:rPr>
              <w:t>报价得分=（评审基准价／报价</w:t>
            </w:r>
            <w:r>
              <w:rPr>
                <w:rFonts w:hint="eastAsia" w:ascii="仿宋" w:hAnsi="仿宋" w:eastAsia="仿宋" w:cs="仿宋"/>
                <w:sz w:val="28"/>
                <w:szCs w:val="28"/>
                <w:lang w:eastAsia="zh-CN"/>
              </w:rPr>
              <w:t>）</w:t>
            </w:r>
            <w:r>
              <w:rPr>
                <w:rFonts w:hint="eastAsia" w:ascii="仿宋" w:hAnsi="仿宋" w:eastAsia="仿宋" w:cs="仿宋"/>
                <w:sz w:val="28"/>
                <w:szCs w:val="28"/>
              </w:rPr>
              <w:t>×价格权值×100</w:t>
            </w:r>
          </w:p>
          <w:p w14:paraId="2BCE7FE4">
            <w:pPr>
              <w:pStyle w:val="31"/>
              <w:snapToGrid w:val="0"/>
              <w:spacing w:line="0" w:lineRule="atLeast"/>
              <w:rPr>
                <w:rFonts w:hint="eastAsia" w:ascii="仿宋" w:hAnsi="仿宋" w:eastAsia="仿宋" w:cs="仿宋"/>
                <w:sz w:val="28"/>
                <w:szCs w:val="28"/>
              </w:rPr>
            </w:pPr>
            <w:r>
              <w:rPr>
                <w:rFonts w:hint="eastAsia" w:ascii="仿宋" w:hAnsi="仿宋" w:eastAsia="仿宋" w:cs="仿宋"/>
                <w:sz w:val="28"/>
                <w:szCs w:val="28"/>
              </w:rPr>
              <w:t>价格权值=10%</w:t>
            </w:r>
          </w:p>
          <w:p w14:paraId="4C31A6CC">
            <w:pPr>
              <w:pStyle w:val="31"/>
              <w:snapToGrid w:val="0"/>
              <w:spacing w:line="0" w:lineRule="atLeast"/>
              <w:rPr>
                <w:rFonts w:hint="eastAsia" w:ascii="仿宋" w:hAnsi="仿宋" w:eastAsia="仿宋" w:cs="仿宋"/>
                <w:sz w:val="28"/>
                <w:szCs w:val="28"/>
              </w:rPr>
            </w:pPr>
            <w:r>
              <w:rPr>
                <w:rFonts w:hint="eastAsia" w:ascii="仿宋" w:hAnsi="仿宋" w:eastAsia="仿宋" w:cs="仿宋"/>
                <w:sz w:val="28"/>
                <w:szCs w:val="28"/>
              </w:rPr>
              <w:t>备注：符合供应商须知中价格扣除规定的，在评审时予以价格扣除，用扣除后的价格参与评审。</w:t>
            </w:r>
          </w:p>
        </w:tc>
      </w:tr>
      <w:tr w14:paraId="67D3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pct"/>
            <w:vMerge w:val="restart"/>
            <w:vAlign w:val="center"/>
          </w:tcPr>
          <w:p w14:paraId="6DAB65F9">
            <w:pPr>
              <w:pStyle w:val="31"/>
              <w:snapToGrid w:val="0"/>
              <w:spacing w:line="0" w:lineRule="atLeast"/>
              <w:rPr>
                <w:rFonts w:hint="eastAsia" w:ascii="仿宋" w:hAnsi="仿宋" w:eastAsia="仿宋" w:cs="仿宋"/>
                <w:sz w:val="28"/>
                <w:szCs w:val="28"/>
              </w:rPr>
            </w:pPr>
            <w:r>
              <w:rPr>
                <w:rFonts w:hint="eastAsia" w:ascii="仿宋" w:hAnsi="仿宋" w:eastAsia="仿宋" w:cs="仿宋"/>
                <w:sz w:val="28"/>
                <w:szCs w:val="28"/>
              </w:rPr>
              <w:t>商务部分</w:t>
            </w:r>
          </w:p>
          <w:p w14:paraId="43F7C656">
            <w:pPr>
              <w:pStyle w:val="31"/>
              <w:snapToGrid w:val="0"/>
              <w:spacing w:line="0" w:lineRule="atLeast"/>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30</w:t>
            </w:r>
            <w:r>
              <w:rPr>
                <w:rFonts w:hint="eastAsia" w:ascii="仿宋" w:hAnsi="仿宋" w:eastAsia="仿宋" w:cs="仿宋"/>
                <w:sz w:val="28"/>
                <w:szCs w:val="28"/>
              </w:rPr>
              <w:t>分）</w:t>
            </w:r>
          </w:p>
        </w:tc>
        <w:tc>
          <w:tcPr>
            <w:tcW w:w="810" w:type="pct"/>
            <w:tcBorders>
              <w:top w:val="single" w:color="auto" w:sz="4" w:space="0"/>
            </w:tcBorders>
            <w:vAlign w:val="center"/>
          </w:tcPr>
          <w:p w14:paraId="052A408E">
            <w:pPr>
              <w:keepNext w:val="0"/>
              <w:keepLines w:val="0"/>
              <w:pageBreakBefore w:val="0"/>
              <w:widowControl w:val="0"/>
              <w:kinsoku/>
              <w:wordWrap/>
              <w:overflowPunct/>
              <w:topLinePunct w:val="0"/>
              <w:autoSpaceDE w:val="0"/>
              <w:autoSpaceDN w:val="0"/>
              <w:bidi w:val="0"/>
              <w:adjustRightInd w:val="0"/>
              <w:snapToGrid/>
              <w:spacing w:line="0" w:lineRule="atLeast"/>
              <w:jc w:val="center"/>
              <w:textAlignment w:val="auto"/>
              <w:rPr>
                <w:rFonts w:hint="eastAsia" w:ascii="仿宋" w:hAnsi="仿宋" w:eastAsia="仿宋" w:cs="仿宋"/>
                <w:sz w:val="28"/>
                <w:szCs w:val="28"/>
              </w:rPr>
            </w:pPr>
            <w:r>
              <w:rPr>
                <w:rFonts w:hint="eastAsia" w:ascii="仿宋" w:hAnsi="仿宋" w:eastAsia="仿宋" w:cs="仿宋"/>
                <w:color w:val="000000"/>
                <w:sz w:val="28"/>
                <w:szCs w:val="28"/>
                <w:highlight w:val="none"/>
                <w:lang w:val="en-US" w:eastAsia="zh-CN"/>
              </w:rPr>
              <w:t>类似业绩</w:t>
            </w:r>
          </w:p>
        </w:tc>
        <w:tc>
          <w:tcPr>
            <w:tcW w:w="438" w:type="pct"/>
            <w:vAlign w:val="center"/>
          </w:tcPr>
          <w:p w14:paraId="38FFE57D">
            <w:pPr>
              <w:keepNext w:val="0"/>
              <w:keepLines w:val="0"/>
              <w:pageBreakBefore w:val="0"/>
              <w:kinsoku/>
              <w:wordWrap/>
              <w:overflowPunct/>
              <w:topLinePunct w:val="0"/>
              <w:bidi w:val="0"/>
              <w:snapToGrid/>
              <w:spacing w:line="0" w:lineRule="atLeas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12</w:t>
            </w:r>
          </w:p>
        </w:tc>
        <w:tc>
          <w:tcPr>
            <w:tcW w:w="3007" w:type="pct"/>
            <w:vAlign w:val="center"/>
          </w:tcPr>
          <w:p w14:paraId="0732CAEE">
            <w:pPr>
              <w:keepNext w:val="0"/>
              <w:keepLines w:val="0"/>
              <w:pageBreakBefore w:val="0"/>
              <w:widowControl w:val="0"/>
              <w:kinsoku/>
              <w:wordWrap/>
              <w:overflowPunct/>
              <w:topLinePunct w:val="0"/>
              <w:autoSpaceDE w:val="0"/>
              <w:autoSpaceDN w:val="0"/>
              <w:bidi w:val="0"/>
              <w:adjustRightInd w:val="0"/>
              <w:snapToGrid/>
              <w:spacing w:line="0" w:lineRule="atLeast"/>
              <w:jc w:val="both"/>
              <w:textAlignment w:val="auto"/>
              <w:rPr>
                <w:rFonts w:hint="eastAsia" w:ascii="仿宋" w:hAnsi="仿宋" w:eastAsia="仿宋" w:cs="仿宋"/>
                <w:sz w:val="28"/>
                <w:szCs w:val="28"/>
              </w:rPr>
            </w:pPr>
            <w:r>
              <w:rPr>
                <w:rFonts w:hint="eastAsia" w:ascii="仿宋" w:hAnsi="仿宋" w:eastAsia="仿宋" w:cs="Times New Roman"/>
                <w:sz w:val="28"/>
                <w:szCs w:val="28"/>
                <w:lang w:val="zh-CN"/>
              </w:rPr>
              <w:t>供应商提供</w:t>
            </w:r>
            <w:r>
              <w:rPr>
                <w:rFonts w:hint="eastAsia" w:ascii="仿宋" w:hAnsi="仿宋" w:eastAsia="仿宋" w:cs="仿宋"/>
                <w:color w:val="000000"/>
                <w:sz w:val="28"/>
                <w:szCs w:val="28"/>
                <w:lang w:val="en-US" w:eastAsia="zh-CN"/>
              </w:rPr>
              <w:t>自</w:t>
            </w:r>
            <w:r>
              <w:rPr>
                <w:rFonts w:hint="eastAsia" w:ascii="仿宋" w:hAnsi="仿宋" w:eastAsia="仿宋" w:cs="仿宋"/>
                <w:color w:val="000000"/>
                <w:sz w:val="28"/>
                <w:szCs w:val="28"/>
                <w:lang w:val="zh-CN" w:eastAsia="zh-CN"/>
              </w:rPr>
              <w:t>20</w:t>
            </w:r>
            <w:r>
              <w:rPr>
                <w:rFonts w:hint="eastAsia" w:ascii="仿宋" w:hAnsi="仿宋" w:eastAsia="仿宋" w:cs="仿宋"/>
                <w:color w:val="000000"/>
                <w:sz w:val="28"/>
                <w:szCs w:val="28"/>
                <w:lang w:val="en-US" w:eastAsia="zh-CN"/>
              </w:rPr>
              <w:t>21</w:t>
            </w:r>
            <w:r>
              <w:rPr>
                <w:rFonts w:hint="eastAsia" w:ascii="仿宋" w:hAnsi="仿宋" w:eastAsia="仿宋" w:cs="仿宋"/>
                <w:color w:val="000000"/>
                <w:sz w:val="28"/>
                <w:szCs w:val="28"/>
                <w:lang w:val="zh-CN" w:eastAsia="zh-CN"/>
              </w:rPr>
              <w:t>年1月1日</w:t>
            </w:r>
            <w:r>
              <w:rPr>
                <w:rFonts w:hint="eastAsia" w:ascii="仿宋" w:hAnsi="仿宋" w:eastAsia="仿宋" w:cs="仿宋"/>
                <w:color w:val="000000"/>
                <w:sz w:val="28"/>
                <w:szCs w:val="28"/>
                <w:lang w:val="en-US" w:eastAsia="zh-CN"/>
              </w:rPr>
              <w:t>至今</w:t>
            </w:r>
            <w:r>
              <w:rPr>
                <w:rFonts w:hint="eastAsia" w:ascii="仿宋" w:hAnsi="仿宋" w:eastAsia="仿宋"/>
                <w:sz w:val="28"/>
                <w:szCs w:val="28"/>
              </w:rPr>
              <w:t>（以合同签订时间为准）</w:t>
            </w:r>
            <w:r>
              <w:rPr>
                <w:rFonts w:hint="eastAsia" w:ascii="仿宋" w:hAnsi="仿宋" w:eastAsia="仿宋" w:cs="仿宋"/>
                <w:color w:val="000000"/>
                <w:sz w:val="28"/>
                <w:szCs w:val="28"/>
                <w:lang w:val="zh-CN" w:eastAsia="zh-CN"/>
              </w:rPr>
              <w:t>承</w:t>
            </w:r>
            <w:r>
              <w:rPr>
                <w:rFonts w:hint="eastAsia" w:ascii="仿宋" w:hAnsi="仿宋" w:eastAsia="仿宋" w:cs="仿宋"/>
                <w:color w:val="000000"/>
                <w:sz w:val="28"/>
                <w:szCs w:val="28"/>
                <w:lang w:val="en-US" w:eastAsia="zh-CN"/>
              </w:rPr>
              <w:t>担过</w:t>
            </w:r>
            <w:r>
              <w:rPr>
                <w:rFonts w:hint="eastAsia" w:ascii="仿宋" w:hAnsi="仿宋" w:eastAsia="仿宋" w:cs="仿宋"/>
                <w:color w:val="000000"/>
                <w:sz w:val="28"/>
                <w:szCs w:val="28"/>
                <w:lang w:val="zh-CN" w:eastAsia="zh-CN"/>
              </w:rPr>
              <w:t>类似受污染耕地安全利用项目或耕地生产障碍修复利用</w:t>
            </w:r>
            <w:r>
              <w:rPr>
                <w:rFonts w:hint="eastAsia" w:ascii="仿宋" w:hAnsi="仿宋" w:eastAsia="仿宋" w:cs="仿宋"/>
                <w:color w:val="000000"/>
                <w:sz w:val="28"/>
                <w:szCs w:val="28"/>
                <w:lang w:val="en-US" w:eastAsia="zh-CN"/>
              </w:rPr>
              <w:t>项目</w:t>
            </w:r>
            <w:r>
              <w:rPr>
                <w:rFonts w:hint="eastAsia" w:ascii="仿宋" w:hAnsi="仿宋" w:eastAsia="仿宋" w:cs="仿宋"/>
                <w:color w:val="000000"/>
                <w:sz w:val="28"/>
                <w:szCs w:val="28"/>
                <w:lang w:val="zh-CN" w:eastAsia="zh-CN"/>
              </w:rPr>
              <w:t>的</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lang w:val="zh-CN" w:eastAsia="zh-CN"/>
              </w:rPr>
              <w:t>每提供一</w:t>
            </w:r>
            <w:r>
              <w:rPr>
                <w:rFonts w:hint="eastAsia" w:ascii="仿宋" w:hAnsi="仿宋" w:eastAsia="仿宋" w:cs="仿宋"/>
                <w:color w:val="000000"/>
                <w:sz w:val="28"/>
                <w:szCs w:val="28"/>
                <w:lang w:val="en-US" w:eastAsia="zh-CN"/>
              </w:rPr>
              <w:t>个</w:t>
            </w:r>
            <w:r>
              <w:rPr>
                <w:rFonts w:hint="eastAsia" w:ascii="仿宋" w:hAnsi="仿宋" w:eastAsia="仿宋" w:cs="仿宋"/>
                <w:color w:val="000000"/>
                <w:sz w:val="28"/>
                <w:szCs w:val="28"/>
                <w:lang w:val="zh-CN" w:eastAsia="zh-CN"/>
              </w:rPr>
              <w:t>得</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val="zh-CN" w:eastAsia="zh-CN"/>
              </w:rPr>
              <w:t>分，</w:t>
            </w:r>
            <w:r>
              <w:rPr>
                <w:rFonts w:hint="eastAsia" w:ascii="仿宋" w:hAnsi="仿宋" w:eastAsia="仿宋" w:cs="仿宋"/>
                <w:color w:val="000000"/>
                <w:sz w:val="28"/>
                <w:szCs w:val="28"/>
                <w:lang w:val="en-US" w:eastAsia="zh-CN"/>
              </w:rPr>
              <w:t>最高得12</w:t>
            </w:r>
            <w:r>
              <w:rPr>
                <w:rFonts w:hint="eastAsia" w:ascii="仿宋" w:hAnsi="仿宋" w:eastAsia="仿宋" w:cs="仿宋"/>
                <w:color w:val="000000"/>
                <w:sz w:val="28"/>
                <w:szCs w:val="28"/>
                <w:lang w:val="zh-CN" w:eastAsia="zh-CN"/>
              </w:rPr>
              <w:t>分。（</w:t>
            </w:r>
            <w:r>
              <w:rPr>
                <w:rFonts w:hint="eastAsia" w:ascii="仿宋" w:hAnsi="仿宋" w:eastAsia="仿宋" w:cs="仿宋"/>
                <w:color w:val="000000"/>
                <w:sz w:val="28"/>
                <w:szCs w:val="28"/>
                <w:lang w:val="en-US" w:eastAsia="zh-CN"/>
              </w:rPr>
              <w:t>需</w:t>
            </w:r>
            <w:r>
              <w:rPr>
                <w:rFonts w:hint="eastAsia" w:ascii="仿宋" w:hAnsi="仿宋" w:eastAsia="仿宋" w:cs="仿宋"/>
                <w:color w:val="000000"/>
                <w:sz w:val="28"/>
                <w:szCs w:val="28"/>
                <w:lang w:val="zh-CN" w:eastAsia="zh-CN"/>
              </w:rPr>
              <w:t>提供相关合同</w:t>
            </w:r>
            <w:r>
              <w:rPr>
                <w:rFonts w:hint="eastAsia" w:ascii="仿宋" w:hAnsi="仿宋" w:eastAsia="仿宋" w:cs="仿宋"/>
                <w:color w:val="auto"/>
                <w:sz w:val="28"/>
                <w:szCs w:val="28"/>
                <w:highlight w:val="none"/>
                <w:lang w:val="en-US" w:eastAsia="zh-CN"/>
              </w:rPr>
              <w:t>等相关材料复印件，未提供不得分</w:t>
            </w:r>
            <w:r>
              <w:rPr>
                <w:rFonts w:hint="eastAsia" w:ascii="仿宋" w:hAnsi="仿宋" w:eastAsia="仿宋" w:cs="仿宋"/>
                <w:color w:val="000000"/>
                <w:sz w:val="28"/>
                <w:szCs w:val="28"/>
                <w:lang w:val="zh-CN" w:eastAsia="zh-CN"/>
              </w:rPr>
              <w:t>。）</w:t>
            </w:r>
          </w:p>
        </w:tc>
      </w:tr>
      <w:tr w14:paraId="16A2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pct"/>
            <w:vMerge w:val="continue"/>
            <w:vAlign w:val="center"/>
          </w:tcPr>
          <w:p w14:paraId="7D297AB5">
            <w:pPr>
              <w:pStyle w:val="31"/>
              <w:snapToGrid w:val="0"/>
              <w:spacing w:line="0" w:lineRule="atLeast"/>
              <w:rPr>
                <w:rFonts w:hint="eastAsia" w:ascii="仿宋" w:hAnsi="仿宋" w:eastAsia="仿宋" w:cs="仿宋"/>
                <w:sz w:val="28"/>
                <w:szCs w:val="28"/>
              </w:rPr>
            </w:pPr>
          </w:p>
        </w:tc>
        <w:tc>
          <w:tcPr>
            <w:tcW w:w="810" w:type="pct"/>
            <w:tcBorders>
              <w:top w:val="single" w:color="auto" w:sz="4" w:space="0"/>
            </w:tcBorders>
            <w:vAlign w:val="center"/>
          </w:tcPr>
          <w:p w14:paraId="3D22A287">
            <w:pPr>
              <w:keepNext w:val="0"/>
              <w:keepLines w:val="0"/>
              <w:pageBreakBefore w:val="0"/>
              <w:widowControl/>
              <w:kinsoku/>
              <w:wordWrap/>
              <w:overflowPunct/>
              <w:topLinePunct w:val="0"/>
              <w:autoSpaceDE w:val="0"/>
              <w:autoSpaceDN w:val="0"/>
              <w:bidi w:val="0"/>
              <w:adjustRightInd w:val="0"/>
              <w:snapToGrid/>
              <w:spacing w:line="0" w:lineRule="atLeas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highlight w:val="none"/>
                <w:lang w:val="en-US" w:eastAsia="zh-CN"/>
              </w:rPr>
              <w:t>检测场地</w:t>
            </w:r>
            <w:r>
              <w:rPr>
                <w:rFonts w:ascii="仿宋" w:hAnsi="仿宋" w:eastAsia="仿宋" w:cs="仿宋"/>
                <w:sz w:val="28"/>
                <w:szCs w:val="28"/>
                <w:highlight w:val="none"/>
              </w:rPr>
              <w:t>配置</w:t>
            </w:r>
          </w:p>
        </w:tc>
        <w:tc>
          <w:tcPr>
            <w:tcW w:w="438" w:type="pct"/>
            <w:vAlign w:val="center"/>
          </w:tcPr>
          <w:p w14:paraId="67060241">
            <w:pPr>
              <w:keepNext w:val="0"/>
              <w:keepLines w:val="0"/>
              <w:pageBreakBefore w:val="0"/>
              <w:widowControl/>
              <w:kinsoku/>
              <w:wordWrap/>
              <w:overflowPunct/>
              <w:topLinePunct w:val="0"/>
              <w:autoSpaceDE w:val="0"/>
              <w:autoSpaceDN w:val="0"/>
              <w:bidi w:val="0"/>
              <w:adjustRightInd w:val="0"/>
              <w:snapToGrid/>
              <w:spacing w:line="0" w:lineRule="atLeas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000000"/>
                <w:sz w:val="28"/>
                <w:szCs w:val="28"/>
                <w:highlight w:val="none"/>
                <w:lang w:val="en-US" w:eastAsia="zh-CN"/>
              </w:rPr>
              <w:t>8</w:t>
            </w:r>
          </w:p>
        </w:tc>
        <w:tc>
          <w:tcPr>
            <w:tcW w:w="3007" w:type="pct"/>
            <w:vAlign w:val="center"/>
          </w:tcPr>
          <w:p w14:paraId="1921D32F">
            <w:pPr>
              <w:keepNext w:val="0"/>
              <w:keepLines w:val="0"/>
              <w:pageBreakBefore w:val="0"/>
              <w:widowControl w:val="0"/>
              <w:kinsoku/>
              <w:wordWrap/>
              <w:overflowPunct/>
              <w:topLinePunct w:val="0"/>
              <w:autoSpaceDE w:val="0"/>
              <w:autoSpaceDN w:val="0"/>
              <w:bidi w:val="0"/>
              <w:adjustRightInd w:val="0"/>
              <w:snapToGrid/>
              <w:spacing w:line="0" w:lineRule="atLeast"/>
              <w:jc w:val="both"/>
              <w:textAlignment w:val="auto"/>
              <w:rPr>
                <w:rFonts w:hint="eastAsia" w:ascii="仿宋" w:hAnsi="仿宋" w:eastAsia="仿宋" w:cs="仿宋"/>
                <w:color w:val="auto"/>
                <w:sz w:val="28"/>
                <w:szCs w:val="28"/>
                <w:highlight w:val="none"/>
                <w:lang w:val="zh-CN"/>
              </w:rPr>
            </w:pP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具有固定的</w:t>
            </w:r>
            <w:r>
              <w:rPr>
                <w:rFonts w:hint="eastAsia" w:ascii="仿宋" w:hAnsi="仿宋" w:eastAsia="仿宋" w:cs="Times New Roman"/>
                <w:sz w:val="28"/>
                <w:szCs w:val="28"/>
                <w:lang w:val="zh-CN"/>
              </w:rPr>
              <w:t>检测实验室</w:t>
            </w:r>
            <w:r>
              <w:rPr>
                <w:rFonts w:hint="eastAsia" w:ascii="仿宋" w:hAnsi="仿宋" w:eastAsia="仿宋" w:cs="仿宋"/>
                <w:sz w:val="28"/>
                <w:szCs w:val="28"/>
                <w:highlight w:val="none"/>
              </w:rPr>
              <w:t>，</w:t>
            </w:r>
            <w:r>
              <w:rPr>
                <w:rFonts w:hint="eastAsia" w:ascii="仿宋" w:hAnsi="仿宋" w:eastAsia="仿宋" w:cs="Times New Roman"/>
                <w:sz w:val="28"/>
                <w:szCs w:val="28"/>
                <w:lang w:val="zh-CN"/>
              </w:rPr>
              <w:t>实验室</w:t>
            </w:r>
            <w:r>
              <w:rPr>
                <w:rFonts w:hint="eastAsia" w:ascii="仿宋" w:hAnsi="仿宋" w:eastAsia="仿宋" w:cs="仿宋"/>
                <w:sz w:val="28"/>
                <w:szCs w:val="28"/>
                <w:highlight w:val="none"/>
              </w:rPr>
              <w:t>总面积</w:t>
            </w:r>
            <w:r>
              <w:rPr>
                <w:rFonts w:hint="eastAsia" w:ascii="仿宋" w:hAnsi="仿宋" w:eastAsia="仿宋" w:cs="仿宋"/>
                <w:sz w:val="28"/>
                <w:szCs w:val="28"/>
                <w:highlight w:val="none"/>
                <w:lang w:val="en-US" w:eastAsia="zh-CN"/>
              </w:rPr>
              <w:t>500</w:t>
            </w:r>
            <w:r>
              <w:rPr>
                <w:rFonts w:hint="eastAsia" w:ascii="仿宋" w:hAnsi="仿宋" w:eastAsia="仿宋" w:cs="仿宋"/>
                <w:sz w:val="28"/>
                <w:szCs w:val="28"/>
                <w:highlight w:val="none"/>
              </w:rPr>
              <w:t>㎡（含）</w:t>
            </w:r>
            <w:r>
              <w:rPr>
                <w:rFonts w:hint="eastAsia" w:ascii="仿宋" w:hAnsi="仿宋" w:eastAsia="仿宋" w:cs="仿宋"/>
                <w:sz w:val="28"/>
                <w:szCs w:val="28"/>
                <w:highlight w:val="none"/>
                <w:lang w:val="en-US" w:eastAsia="zh-CN"/>
              </w:rPr>
              <w:t>以下</w:t>
            </w:r>
            <w:r>
              <w:rPr>
                <w:rFonts w:hint="eastAsia" w:ascii="仿宋" w:hAnsi="仿宋" w:eastAsia="仿宋" w:cs="仿宋"/>
                <w:sz w:val="28"/>
                <w:szCs w:val="28"/>
                <w:highlight w:val="none"/>
              </w:rPr>
              <w:t>的得2分；总面积</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00㎡（不含）-700㎡（含）的得</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分；总面积</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00㎡（不含）-</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00㎡（含）的得</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总面积</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000㎡（不含）以上的得</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分。（自有场地需提供场地权属证明作为证明材料；租赁场地提供场地权属证明及租赁合同作为证明材料；未提供不得分）</w:t>
            </w:r>
          </w:p>
        </w:tc>
      </w:tr>
      <w:tr w14:paraId="3A3D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744" w:type="pct"/>
            <w:vMerge w:val="continue"/>
            <w:vAlign w:val="center"/>
          </w:tcPr>
          <w:p w14:paraId="4BC65AA3">
            <w:pPr>
              <w:pStyle w:val="31"/>
              <w:snapToGrid w:val="0"/>
              <w:spacing w:line="0" w:lineRule="atLeast"/>
              <w:rPr>
                <w:rFonts w:hint="eastAsia" w:ascii="仿宋" w:hAnsi="仿宋" w:eastAsia="仿宋" w:cs="仿宋"/>
                <w:sz w:val="28"/>
                <w:szCs w:val="28"/>
              </w:rPr>
            </w:pPr>
          </w:p>
        </w:tc>
        <w:tc>
          <w:tcPr>
            <w:tcW w:w="810" w:type="pct"/>
            <w:tcBorders>
              <w:top w:val="single" w:color="auto" w:sz="4" w:space="0"/>
            </w:tcBorders>
            <w:vAlign w:val="center"/>
          </w:tcPr>
          <w:p w14:paraId="53E41213">
            <w:pPr>
              <w:keepNext w:val="0"/>
              <w:keepLines w:val="0"/>
              <w:pageBreakBefore w:val="0"/>
              <w:widowControl/>
              <w:kinsoku/>
              <w:wordWrap/>
              <w:overflowPunct/>
              <w:topLinePunct w:val="0"/>
              <w:autoSpaceDE w:val="0"/>
              <w:autoSpaceDN w:val="0"/>
              <w:bidi w:val="0"/>
              <w:adjustRightInd w:val="0"/>
              <w:snapToGrid/>
              <w:spacing w:line="0" w:lineRule="atLeast"/>
              <w:jc w:val="center"/>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sz w:val="28"/>
                <w:szCs w:val="28"/>
                <w:lang w:val="en-US" w:eastAsia="zh-CN"/>
              </w:rPr>
              <w:t>项目人员配备</w:t>
            </w:r>
          </w:p>
        </w:tc>
        <w:tc>
          <w:tcPr>
            <w:tcW w:w="438" w:type="pct"/>
            <w:vAlign w:val="center"/>
          </w:tcPr>
          <w:p w14:paraId="7810AA90">
            <w:pPr>
              <w:keepNext w:val="0"/>
              <w:keepLines w:val="0"/>
              <w:pageBreakBefore w:val="0"/>
              <w:widowControl/>
              <w:kinsoku/>
              <w:wordWrap/>
              <w:overflowPunct/>
              <w:topLinePunct w:val="0"/>
              <w:autoSpaceDE w:val="0"/>
              <w:autoSpaceDN w:val="0"/>
              <w:bidi w:val="0"/>
              <w:adjustRightInd w:val="0"/>
              <w:snapToGrid/>
              <w:spacing w:line="0" w:lineRule="atLeas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000000"/>
                <w:sz w:val="28"/>
                <w:szCs w:val="28"/>
                <w:highlight w:val="none"/>
                <w:lang w:val="en-US" w:eastAsia="zh-CN"/>
              </w:rPr>
              <w:t>10</w:t>
            </w:r>
          </w:p>
        </w:tc>
        <w:tc>
          <w:tcPr>
            <w:tcW w:w="3007" w:type="pct"/>
            <w:vAlign w:val="center"/>
          </w:tcPr>
          <w:p w14:paraId="440ED49E">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1.供应商拟派项目负责人具有农业或环境类相关专业高级职称的得4分；</w:t>
            </w:r>
          </w:p>
          <w:p w14:paraId="23D9590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2.供应商拟派其他项目成员具有农业或环境类相关专业中级及以上职称，每提供一人得1分，最多得6分。</w:t>
            </w:r>
          </w:p>
          <w:p w14:paraId="4761D33A">
            <w:pPr>
              <w:keepNext w:val="0"/>
              <w:keepLines w:val="0"/>
              <w:pageBreakBefore w:val="0"/>
              <w:widowControl w:val="0"/>
              <w:kinsoku/>
              <w:wordWrap/>
              <w:overflowPunct/>
              <w:topLinePunct w:val="0"/>
              <w:autoSpaceDE w:val="0"/>
              <w:autoSpaceDN w:val="0"/>
              <w:bidi w:val="0"/>
              <w:adjustRightInd w:val="0"/>
              <w:snapToGrid/>
              <w:spacing w:line="0" w:lineRule="atLeast"/>
              <w:jc w:val="both"/>
              <w:textAlignment w:val="auto"/>
              <w:rPr>
                <w:rFonts w:hint="eastAsia" w:ascii="仿宋" w:hAnsi="仿宋" w:eastAsia="仿宋" w:cs="仿宋"/>
                <w:sz w:val="28"/>
                <w:szCs w:val="28"/>
              </w:rPr>
            </w:pPr>
            <w:r>
              <w:rPr>
                <w:rFonts w:hint="eastAsia" w:ascii="仿宋" w:hAnsi="仿宋" w:eastAsia="仿宋" w:cs="仿宋"/>
                <w:color w:val="auto"/>
                <w:sz w:val="28"/>
                <w:szCs w:val="28"/>
                <w:highlight w:val="none"/>
                <w:lang w:val="en-US" w:eastAsia="zh-CN"/>
              </w:rPr>
              <w:t>（上述人员须提供相关证书作为证明材料，未提供不得分）</w:t>
            </w:r>
          </w:p>
        </w:tc>
      </w:tr>
      <w:tr w14:paraId="6EC5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pct"/>
            <w:vMerge w:val="restart"/>
            <w:vAlign w:val="center"/>
          </w:tcPr>
          <w:p w14:paraId="5204BDC6">
            <w:pPr>
              <w:pStyle w:val="31"/>
              <w:snapToGrid w:val="0"/>
              <w:spacing w:line="0" w:lineRule="atLeast"/>
              <w:rPr>
                <w:rFonts w:hint="eastAsia" w:ascii="仿宋" w:hAnsi="仿宋" w:eastAsia="仿宋" w:cs="仿宋"/>
                <w:sz w:val="28"/>
                <w:szCs w:val="28"/>
              </w:rPr>
            </w:pPr>
            <w:r>
              <w:rPr>
                <w:rFonts w:hint="eastAsia" w:ascii="仿宋" w:hAnsi="仿宋" w:eastAsia="仿宋" w:cs="仿宋"/>
                <w:sz w:val="28"/>
                <w:szCs w:val="28"/>
              </w:rPr>
              <w:t>技术部分</w:t>
            </w:r>
          </w:p>
          <w:p w14:paraId="26C57456">
            <w:pPr>
              <w:pStyle w:val="31"/>
              <w:snapToGrid w:val="0"/>
              <w:spacing w:line="0" w:lineRule="atLeast"/>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60</w:t>
            </w:r>
            <w:r>
              <w:rPr>
                <w:rFonts w:hint="eastAsia" w:ascii="仿宋" w:hAnsi="仿宋" w:eastAsia="仿宋" w:cs="仿宋"/>
                <w:sz w:val="28"/>
                <w:szCs w:val="28"/>
              </w:rPr>
              <w:t>分）</w:t>
            </w:r>
          </w:p>
        </w:tc>
        <w:tc>
          <w:tcPr>
            <w:tcW w:w="810" w:type="pct"/>
            <w:tcBorders>
              <w:top w:val="single" w:color="auto" w:sz="4" w:space="0"/>
            </w:tcBorders>
            <w:vAlign w:val="center"/>
          </w:tcPr>
          <w:p w14:paraId="2D2019B7">
            <w:pPr>
              <w:keepNext w:val="0"/>
              <w:keepLines w:val="0"/>
              <w:pageBreakBefore w:val="0"/>
              <w:kinsoku/>
              <w:wordWrap/>
              <w:overflowPunct/>
              <w:topLinePunct w:val="0"/>
              <w:bidi w:val="0"/>
              <w:adjustRightInd w:val="0"/>
              <w:snapToGrid w:val="0"/>
              <w:spacing w:line="0" w:lineRule="atLeast"/>
              <w:ind w:left="1" w:leftChars="0"/>
              <w:jc w:val="center"/>
              <w:textAlignment w:val="bottom"/>
              <w:rPr>
                <w:rFonts w:hint="default" w:ascii="仿宋" w:hAnsi="仿宋" w:eastAsia="仿宋" w:cs="仿宋"/>
                <w:sz w:val="28"/>
                <w:szCs w:val="28"/>
                <w:lang w:val="en-US" w:eastAsia="zh-CN"/>
              </w:rPr>
            </w:pP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val="en-US" w:eastAsia="zh-CN"/>
              </w:rPr>
              <w:t>理解与</w:t>
            </w:r>
            <w:r>
              <w:rPr>
                <w:rFonts w:hint="eastAsia" w:ascii="仿宋" w:hAnsi="仿宋" w:eastAsia="仿宋" w:cs="仿宋"/>
                <w:color w:val="auto"/>
                <w:sz w:val="28"/>
                <w:szCs w:val="28"/>
                <w:highlight w:val="none"/>
              </w:rPr>
              <w:t>分析</w:t>
            </w:r>
          </w:p>
        </w:tc>
        <w:tc>
          <w:tcPr>
            <w:tcW w:w="438" w:type="pct"/>
            <w:vAlign w:val="center"/>
          </w:tcPr>
          <w:p w14:paraId="2D82692F">
            <w:pPr>
              <w:keepNext w:val="0"/>
              <w:keepLines w:val="0"/>
              <w:pageBreakBefore w:val="0"/>
              <w:kinsoku/>
              <w:wordWrap/>
              <w:overflowPunct/>
              <w:topLinePunct w:val="0"/>
              <w:bidi w:val="0"/>
              <w:adjustRightInd w:val="0"/>
              <w:snapToGrid w:val="0"/>
              <w:spacing w:line="0" w:lineRule="atLeast"/>
              <w:ind w:left="1" w:leftChars="0"/>
              <w:jc w:val="center"/>
              <w:textAlignment w:val="bottom"/>
              <w:rPr>
                <w:rFonts w:hint="default" w:ascii="仿宋" w:hAnsi="仿宋" w:eastAsia="仿宋" w:cs="仿宋"/>
                <w:sz w:val="28"/>
                <w:szCs w:val="28"/>
                <w:lang w:val="en-US" w:eastAsia="zh-CN"/>
              </w:rPr>
            </w:pPr>
            <w:r>
              <w:rPr>
                <w:rFonts w:hint="eastAsia" w:ascii="仿宋" w:hAnsi="仿宋" w:eastAsia="仿宋" w:cs="仿宋"/>
                <w:color w:val="auto"/>
                <w:spacing w:val="4"/>
                <w:sz w:val="28"/>
                <w:szCs w:val="28"/>
                <w:highlight w:val="none"/>
                <w:lang w:val="en-US" w:eastAsia="zh-CN"/>
              </w:rPr>
              <w:t>16</w:t>
            </w:r>
          </w:p>
        </w:tc>
        <w:tc>
          <w:tcPr>
            <w:tcW w:w="3007" w:type="pct"/>
            <w:vAlign w:val="center"/>
          </w:tcPr>
          <w:p w14:paraId="0E840605">
            <w:pPr>
              <w:widowControl/>
              <w:autoSpaceDE w:val="0"/>
              <w:autoSpaceDN w:val="0"/>
              <w:adjustRightInd w:val="0"/>
              <w:snapToGrid w:val="0"/>
              <w:spacing w:line="0" w:lineRule="atLeast"/>
              <w:jc w:val="both"/>
              <w:rPr>
                <w:rFonts w:hint="eastAsia" w:ascii="仿宋" w:hAnsi="仿宋" w:eastAsia="仿宋" w:cs="仿宋"/>
                <w:sz w:val="28"/>
                <w:szCs w:val="28"/>
              </w:rPr>
            </w:pPr>
            <w:r>
              <w:rPr>
                <w:rFonts w:hint="eastAsia" w:ascii="仿宋" w:hAnsi="仿宋" w:eastAsia="仿宋" w:cs="仿宋"/>
                <w:sz w:val="28"/>
                <w:szCs w:val="28"/>
              </w:rPr>
              <w:t>评审标准：</w:t>
            </w:r>
          </w:p>
          <w:p w14:paraId="5272BACF">
            <w:pPr>
              <w:keepNext w:val="0"/>
              <w:keepLines w:val="0"/>
              <w:pageBreakBefore w:val="0"/>
              <w:kinsoku/>
              <w:wordWrap/>
              <w:overflowPunct/>
              <w:topLinePunct w:val="0"/>
              <w:bidi w:val="0"/>
              <w:adjustRightInd w:val="0"/>
              <w:snapToGrid w:val="0"/>
              <w:spacing w:line="0" w:lineRule="atLeast"/>
              <w:ind w:left="1" w:leftChars="0"/>
              <w:textAlignment w:val="bottom"/>
              <w:rPr>
                <w:rFonts w:hint="eastAsia" w:ascii="仿宋" w:hAnsi="仿宋" w:eastAsia="仿宋" w:cs="仿宋"/>
                <w:sz w:val="28"/>
                <w:szCs w:val="28"/>
                <w:lang w:val="zh-CN"/>
              </w:rPr>
            </w:pPr>
            <w:r>
              <w:rPr>
                <w:rFonts w:ascii="仿宋" w:hAnsi="仿宋" w:eastAsia="仿宋" w:cs="仿宋"/>
                <w:bCs/>
                <w:sz w:val="28"/>
                <w:szCs w:val="28"/>
              </w:rPr>
              <w:t>1</w:t>
            </w:r>
            <w:r>
              <w:rPr>
                <w:rFonts w:hint="eastAsia" w:ascii="仿宋" w:hAnsi="仿宋" w:eastAsia="仿宋" w:cs="仿宋"/>
                <w:bCs/>
                <w:sz w:val="28"/>
                <w:szCs w:val="28"/>
              </w:rPr>
              <w:t>.</w:t>
            </w:r>
            <w:r>
              <w:rPr>
                <w:rFonts w:ascii="仿宋" w:hAnsi="仿宋" w:eastAsia="仿宋" w:cs="仿宋"/>
                <w:bCs/>
                <w:sz w:val="28"/>
                <w:szCs w:val="28"/>
              </w:rPr>
              <w:t>评审考核内容：</w:t>
            </w:r>
            <w:r>
              <w:rPr>
                <w:rFonts w:hint="eastAsia" w:ascii="仿宋" w:hAnsi="仿宋" w:eastAsia="仿宋" w:cs="仿宋"/>
                <w:bCs/>
                <w:sz w:val="28"/>
                <w:szCs w:val="28"/>
              </w:rPr>
              <w:t>供应商根据文件要求，制定</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val="en-US" w:eastAsia="zh-CN"/>
              </w:rPr>
              <w:t>理解与</w:t>
            </w:r>
            <w:r>
              <w:rPr>
                <w:rFonts w:hint="eastAsia" w:ascii="仿宋" w:hAnsi="仿宋" w:eastAsia="仿宋" w:cs="仿宋"/>
                <w:color w:val="auto"/>
                <w:sz w:val="28"/>
                <w:szCs w:val="28"/>
                <w:highlight w:val="none"/>
              </w:rPr>
              <w:t>分析</w:t>
            </w:r>
            <w:r>
              <w:rPr>
                <w:rFonts w:hint="eastAsia" w:ascii="仿宋" w:hAnsi="仿宋" w:eastAsia="仿宋" w:cs="仿宋"/>
                <w:bCs/>
                <w:sz w:val="28"/>
                <w:szCs w:val="28"/>
              </w:rPr>
              <w:t>，内容包括但不限于：</w:t>
            </w:r>
          </w:p>
          <w:p w14:paraId="3F6E73CD">
            <w:pPr>
              <w:keepNext w:val="0"/>
              <w:keepLines w:val="0"/>
              <w:pageBreakBefore w:val="0"/>
              <w:kinsoku/>
              <w:wordWrap/>
              <w:overflowPunct/>
              <w:topLinePunct w:val="0"/>
              <w:bidi w:val="0"/>
              <w:adjustRightInd w:val="0"/>
              <w:snapToGrid w:val="0"/>
              <w:spacing w:line="0" w:lineRule="atLeast"/>
              <w:ind w:left="1" w:leftChars="0"/>
              <w:textAlignment w:val="bottom"/>
              <w:rPr>
                <w:rFonts w:hint="eastAsia" w:ascii="仿宋" w:hAnsi="仿宋" w:eastAsia="仿宋" w:cs="仿宋"/>
                <w:sz w:val="28"/>
                <w:szCs w:val="28"/>
                <w:lang w:val="zh-CN"/>
              </w:rPr>
            </w:pPr>
            <w:r>
              <w:rPr>
                <w:rFonts w:hint="eastAsia" w:ascii="仿宋" w:hAnsi="仿宋" w:eastAsia="仿宋" w:cs="仿宋"/>
                <w:sz w:val="28"/>
                <w:szCs w:val="28"/>
                <w:lang w:val="zh-CN"/>
              </w:rPr>
              <w:t>①总体目标；②需求分析重；</w:t>
            </w:r>
            <w:r>
              <w:rPr>
                <w:rFonts w:hint="eastAsia" w:ascii="仿宋" w:hAnsi="仿宋" w:eastAsia="仿宋" w:cs="仿宋"/>
                <w:sz w:val="28"/>
                <w:szCs w:val="28"/>
                <w:lang w:val="zh-CN" w:eastAsia="zh-CN"/>
              </w:rPr>
              <w:t>③</w:t>
            </w:r>
            <w:r>
              <w:rPr>
                <w:rFonts w:hint="eastAsia" w:ascii="仿宋" w:hAnsi="仿宋" w:eastAsia="仿宋" w:cs="仿宋"/>
                <w:sz w:val="28"/>
                <w:szCs w:val="28"/>
                <w:lang w:val="zh-CN"/>
              </w:rPr>
              <w:t>主要任务；</w:t>
            </w:r>
            <w:r>
              <w:rPr>
                <w:rFonts w:hint="eastAsia" w:ascii="仿宋" w:hAnsi="仿宋" w:eastAsia="仿宋" w:cs="仿宋"/>
                <w:sz w:val="28"/>
                <w:szCs w:val="28"/>
                <w:lang w:val="zh-CN" w:eastAsia="zh-CN"/>
              </w:rPr>
              <w:t>④</w:t>
            </w:r>
            <w:r>
              <w:rPr>
                <w:rFonts w:hint="eastAsia" w:ascii="仿宋" w:hAnsi="仿宋" w:eastAsia="仿宋" w:cs="仿宋"/>
                <w:sz w:val="28"/>
                <w:szCs w:val="28"/>
                <w:lang w:val="zh-CN"/>
              </w:rPr>
              <w:t>重难点解决措施；</w:t>
            </w:r>
          </w:p>
          <w:p w14:paraId="1F72725E">
            <w:pPr>
              <w:keepNext w:val="0"/>
              <w:keepLines w:val="0"/>
              <w:pageBreakBefore w:val="0"/>
              <w:kinsoku/>
              <w:wordWrap/>
              <w:overflowPunct/>
              <w:topLinePunct w:val="0"/>
              <w:bidi w:val="0"/>
              <w:adjustRightInd w:val="0"/>
              <w:snapToGrid w:val="0"/>
              <w:spacing w:line="0" w:lineRule="atLeast"/>
              <w:ind w:left="1" w:leftChars="0"/>
              <w:textAlignment w:val="bottom"/>
              <w:rPr>
                <w:rFonts w:hint="eastAsia" w:ascii="仿宋" w:hAnsi="仿宋" w:eastAsia="仿宋" w:cs="仿宋"/>
                <w:sz w:val="28"/>
                <w:szCs w:val="28"/>
                <w:lang w:val="zh-CN"/>
              </w:rPr>
            </w:pPr>
            <w:r>
              <w:rPr>
                <w:rFonts w:hint="eastAsia" w:ascii="仿宋" w:hAnsi="仿宋" w:eastAsia="仿宋" w:cs="仿宋"/>
                <w:sz w:val="28"/>
                <w:szCs w:val="28"/>
                <w:lang w:val="zh-CN"/>
              </w:rPr>
              <w:t>2.评审指标：</w:t>
            </w:r>
          </w:p>
          <w:p w14:paraId="1A12178A">
            <w:pPr>
              <w:keepNext w:val="0"/>
              <w:keepLines w:val="0"/>
              <w:pageBreakBefore w:val="0"/>
              <w:kinsoku/>
              <w:wordWrap/>
              <w:overflowPunct/>
              <w:topLinePunct w:val="0"/>
              <w:bidi w:val="0"/>
              <w:adjustRightInd w:val="0"/>
              <w:snapToGrid w:val="0"/>
              <w:spacing w:line="0" w:lineRule="atLeast"/>
              <w:ind w:left="1" w:leftChars="0"/>
              <w:textAlignment w:val="bottom"/>
              <w:rPr>
                <w:rFonts w:hint="eastAsia" w:ascii="仿宋" w:hAnsi="仿宋" w:eastAsia="仿宋" w:cs="仿宋"/>
                <w:sz w:val="28"/>
                <w:szCs w:val="28"/>
                <w:lang w:val="zh-CN"/>
              </w:rPr>
            </w:pPr>
            <w:r>
              <w:rPr>
                <w:rFonts w:hint="eastAsia" w:ascii="仿宋" w:hAnsi="仿宋" w:eastAsia="仿宋" w:cs="仿宋"/>
                <w:sz w:val="28"/>
                <w:szCs w:val="28"/>
                <w:lang w:val="zh-CN"/>
              </w:rPr>
              <w:t>①符合度：是否进行充分响应，</w:t>
            </w:r>
            <w:r>
              <w:rPr>
                <w:rFonts w:hint="eastAsia" w:ascii="仿宋" w:hAnsi="仿宋" w:eastAsia="仿宋" w:cs="仿宋"/>
                <w:sz w:val="28"/>
                <w:szCs w:val="28"/>
                <w:lang w:val="en-US" w:eastAsia="zh-CN"/>
              </w:rPr>
              <w:t>是否</w:t>
            </w:r>
            <w:r>
              <w:rPr>
                <w:rFonts w:hint="eastAsia" w:ascii="仿宋" w:hAnsi="仿宋" w:eastAsia="仿宋" w:cs="仿宋"/>
                <w:sz w:val="28"/>
                <w:szCs w:val="28"/>
                <w:lang w:val="zh-CN"/>
              </w:rPr>
              <w:t>提供与本评审项无关内容；</w:t>
            </w:r>
          </w:p>
          <w:p w14:paraId="73CCBE4B">
            <w:pPr>
              <w:keepNext w:val="0"/>
              <w:keepLines w:val="0"/>
              <w:pageBreakBefore w:val="0"/>
              <w:kinsoku/>
              <w:wordWrap/>
              <w:overflowPunct/>
              <w:topLinePunct w:val="0"/>
              <w:bidi w:val="0"/>
              <w:adjustRightInd w:val="0"/>
              <w:snapToGrid w:val="0"/>
              <w:spacing w:line="0" w:lineRule="atLeast"/>
              <w:ind w:left="1" w:leftChars="0"/>
              <w:textAlignment w:val="bottom"/>
              <w:rPr>
                <w:rFonts w:hint="eastAsia" w:ascii="仿宋" w:hAnsi="仿宋" w:eastAsia="仿宋" w:cs="仿宋"/>
                <w:sz w:val="28"/>
                <w:szCs w:val="28"/>
                <w:lang w:val="zh-CN"/>
              </w:rPr>
            </w:pPr>
            <w:r>
              <w:rPr>
                <w:rFonts w:hint="eastAsia" w:ascii="仿宋" w:hAnsi="仿宋" w:eastAsia="仿宋" w:cs="仿宋"/>
                <w:sz w:val="28"/>
                <w:szCs w:val="28"/>
                <w:lang w:val="zh-CN"/>
              </w:rPr>
              <w:t>②完整性：需结合整体需求，进行全方面的描述，</w:t>
            </w:r>
            <w:r>
              <w:rPr>
                <w:rFonts w:hint="eastAsia" w:ascii="仿宋" w:hAnsi="仿宋" w:eastAsia="仿宋" w:cs="仿宋"/>
                <w:sz w:val="28"/>
                <w:szCs w:val="28"/>
                <w:lang w:val="en-US" w:eastAsia="zh-CN"/>
              </w:rPr>
              <w:t>是否</w:t>
            </w:r>
            <w:r>
              <w:rPr>
                <w:rFonts w:hint="eastAsia" w:ascii="仿宋" w:hAnsi="仿宋" w:eastAsia="仿宋" w:cs="仿宋"/>
                <w:sz w:val="28"/>
                <w:szCs w:val="28"/>
                <w:lang w:val="zh-CN"/>
              </w:rPr>
              <w:t>缺项；</w:t>
            </w:r>
          </w:p>
          <w:p w14:paraId="1E700B92">
            <w:pPr>
              <w:keepNext w:val="0"/>
              <w:keepLines w:val="0"/>
              <w:pageBreakBefore w:val="0"/>
              <w:kinsoku/>
              <w:wordWrap/>
              <w:overflowPunct/>
              <w:topLinePunct w:val="0"/>
              <w:bidi w:val="0"/>
              <w:adjustRightInd w:val="0"/>
              <w:snapToGrid w:val="0"/>
              <w:spacing w:line="0" w:lineRule="atLeast"/>
              <w:ind w:left="1" w:leftChars="0"/>
              <w:textAlignment w:val="bottom"/>
              <w:rPr>
                <w:rFonts w:hint="eastAsia" w:ascii="仿宋" w:hAnsi="仿宋" w:eastAsia="仿宋" w:cs="仿宋"/>
                <w:sz w:val="28"/>
                <w:szCs w:val="28"/>
                <w:lang w:val="zh-CN"/>
              </w:rPr>
            </w:pPr>
            <w:r>
              <w:rPr>
                <w:rFonts w:hint="eastAsia" w:ascii="仿宋" w:hAnsi="仿宋" w:eastAsia="仿宋" w:cs="仿宋"/>
                <w:sz w:val="28"/>
                <w:szCs w:val="28"/>
                <w:lang w:val="zh-CN"/>
              </w:rPr>
              <w:t>③合理性：需依据本项目阐述，具有可执行性。</w:t>
            </w:r>
          </w:p>
          <w:p w14:paraId="145C3264">
            <w:pPr>
              <w:keepNext w:val="0"/>
              <w:keepLines w:val="0"/>
              <w:pageBreakBefore w:val="0"/>
              <w:kinsoku/>
              <w:wordWrap/>
              <w:overflowPunct/>
              <w:topLinePunct w:val="0"/>
              <w:bidi w:val="0"/>
              <w:adjustRightInd w:val="0"/>
              <w:snapToGrid w:val="0"/>
              <w:spacing w:line="0" w:lineRule="atLeast"/>
              <w:ind w:left="1" w:leftChars="0"/>
              <w:textAlignment w:val="bottom"/>
              <w:rPr>
                <w:rFonts w:hint="eastAsia" w:ascii="仿宋" w:hAnsi="仿宋" w:eastAsia="仿宋" w:cs="仿宋"/>
                <w:sz w:val="28"/>
                <w:szCs w:val="28"/>
                <w:lang w:val="zh-CN"/>
              </w:rPr>
            </w:pPr>
            <w:r>
              <w:rPr>
                <w:rFonts w:hint="eastAsia" w:ascii="仿宋" w:hAnsi="仿宋" w:eastAsia="仿宋" w:cs="仿宋"/>
                <w:sz w:val="28"/>
                <w:szCs w:val="28"/>
                <w:lang w:val="zh-CN"/>
              </w:rPr>
              <w:t>内容完全满足以上评审标准的得</w:t>
            </w:r>
            <w:r>
              <w:rPr>
                <w:rFonts w:hint="eastAsia" w:ascii="仿宋" w:hAnsi="仿宋" w:eastAsia="仿宋" w:cs="仿宋"/>
                <w:sz w:val="28"/>
                <w:szCs w:val="28"/>
                <w:lang w:val="en-US" w:eastAsia="zh-CN"/>
              </w:rPr>
              <w:t>16</w:t>
            </w:r>
            <w:r>
              <w:rPr>
                <w:rFonts w:hint="eastAsia" w:ascii="仿宋" w:hAnsi="仿宋" w:eastAsia="仿宋" w:cs="仿宋"/>
                <w:sz w:val="28"/>
                <w:szCs w:val="28"/>
                <w:lang w:val="zh-CN"/>
              </w:rPr>
              <w:t>分，每缺少一项评审考核内容的扣</w:t>
            </w:r>
            <w:r>
              <w:rPr>
                <w:rFonts w:hint="eastAsia" w:ascii="仿宋" w:hAnsi="仿宋" w:eastAsia="仿宋" w:cs="仿宋"/>
                <w:sz w:val="28"/>
                <w:szCs w:val="28"/>
                <w:lang w:val="en-US" w:eastAsia="zh-CN"/>
              </w:rPr>
              <w:t>4</w:t>
            </w:r>
            <w:r>
              <w:rPr>
                <w:rFonts w:hint="eastAsia" w:ascii="仿宋" w:hAnsi="仿宋" w:eastAsia="仿宋" w:cs="仿宋"/>
                <w:sz w:val="28"/>
                <w:szCs w:val="28"/>
                <w:lang w:val="zh-CN"/>
              </w:rPr>
              <w:t>分，每项评审指标中存在缺陷的每处扣1分，扣完为止；未提供的得0分。</w:t>
            </w:r>
          </w:p>
        </w:tc>
      </w:tr>
      <w:tr w14:paraId="2193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pct"/>
            <w:vMerge w:val="continue"/>
            <w:vAlign w:val="center"/>
          </w:tcPr>
          <w:p w14:paraId="0BADB544">
            <w:pPr>
              <w:pStyle w:val="31"/>
              <w:snapToGrid w:val="0"/>
              <w:spacing w:line="0" w:lineRule="atLeast"/>
              <w:rPr>
                <w:rFonts w:hint="eastAsia" w:ascii="仿宋" w:hAnsi="仿宋" w:eastAsia="仿宋" w:cs="仿宋"/>
                <w:sz w:val="28"/>
                <w:szCs w:val="28"/>
              </w:rPr>
            </w:pPr>
          </w:p>
        </w:tc>
        <w:tc>
          <w:tcPr>
            <w:tcW w:w="810" w:type="pct"/>
            <w:tcBorders>
              <w:top w:val="single" w:color="auto" w:sz="4" w:space="0"/>
            </w:tcBorders>
            <w:vAlign w:val="center"/>
          </w:tcPr>
          <w:p w14:paraId="23436CB0">
            <w:pPr>
              <w:keepNext w:val="0"/>
              <w:keepLines w:val="0"/>
              <w:pageBreakBefore w:val="0"/>
              <w:kinsoku/>
              <w:wordWrap/>
              <w:overflowPunct/>
              <w:topLinePunct w:val="0"/>
              <w:bidi w:val="0"/>
              <w:adjustRightInd w:val="0"/>
              <w:snapToGrid w:val="0"/>
              <w:spacing w:line="0" w:lineRule="atLeast"/>
              <w:ind w:left="1" w:leftChars="0"/>
              <w:jc w:val="center"/>
              <w:textAlignment w:val="bottom"/>
              <w:rPr>
                <w:rFonts w:hint="eastAsia" w:ascii="仿宋" w:hAnsi="仿宋" w:eastAsia="仿宋" w:cs="仿宋"/>
                <w:sz w:val="28"/>
                <w:szCs w:val="28"/>
              </w:rPr>
            </w:pPr>
            <w:r>
              <w:rPr>
                <w:rFonts w:hint="eastAsia" w:ascii="仿宋" w:hAnsi="仿宋" w:eastAsia="仿宋" w:cs="仿宋"/>
                <w:color w:val="auto"/>
                <w:sz w:val="28"/>
                <w:szCs w:val="28"/>
                <w:highlight w:val="none"/>
              </w:rPr>
              <w:t>总体</w:t>
            </w:r>
            <w:r>
              <w:rPr>
                <w:rFonts w:hint="eastAsia" w:ascii="仿宋" w:hAnsi="仿宋" w:eastAsia="仿宋" w:cs="仿宋"/>
                <w:color w:val="auto"/>
                <w:sz w:val="28"/>
                <w:szCs w:val="28"/>
                <w:highlight w:val="none"/>
                <w:lang w:val="en-US" w:eastAsia="zh-CN"/>
              </w:rPr>
              <w:t>实施</w:t>
            </w:r>
            <w:r>
              <w:rPr>
                <w:rFonts w:hint="eastAsia" w:ascii="仿宋" w:hAnsi="仿宋" w:eastAsia="仿宋" w:cs="仿宋"/>
                <w:color w:val="auto"/>
                <w:sz w:val="28"/>
                <w:szCs w:val="28"/>
                <w:highlight w:val="none"/>
              </w:rPr>
              <w:t>方案</w:t>
            </w:r>
          </w:p>
        </w:tc>
        <w:tc>
          <w:tcPr>
            <w:tcW w:w="438" w:type="pct"/>
            <w:vAlign w:val="center"/>
          </w:tcPr>
          <w:p w14:paraId="6A40A7A6">
            <w:pPr>
              <w:keepNext w:val="0"/>
              <w:keepLines w:val="0"/>
              <w:pageBreakBefore w:val="0"/>
              <w:kinsoku/>
              <w:wordWrap/>
              <w:overflowPunct/>
              <w:topLinePunct w:val="0"/>
              <w:bidi w:val="0"/>
              <w:adjustRightInd w:val="0"/>
              <w:snapToGrid w:val="0"/>
              <w:spacing w:line="0" w:lineRule="atLeast"/>
              <w:ind w:left="1" w:leftChars="0"/>
              <w:jc w:val="center"/>
              <w:textAlignment w:val="bottom"/>
              <w:rPr>
                <w:rFonts w:hint="default" w:ascii="仿宋" w:hAnsi="仿宋" w:eastAsia="仿宋" w:cs="仿宋"/>
                <w:sz w:val="28"/>
                <w:szCs w:val="28"/>
                <w:lang w:val="en-US" w:eastAsia="zh-CN"/>
              </w:rPr>
            </w:pPr>
            <w:r>
              <w:rPr>
                <w:rFonts w:hint="eastAsia" w:ascii="仿宋" w:hAnsi="仿宋" w:eastAsia="仿宋" w:cs="仿宋"/>
                <w:color w:val="auto"/>
                <w:spacing w:val="4"/>
                <w:sz w:val="28"/>
                <w:szCs w:val="28"/>
                <w:highlight w:val="none"/>
                <w:lang w:val="en-US" w:eastAsia="zh-CN"/>
              </w:rPr>
              <w:t>16</w:t>
            </w:r>
          </w:p>
        </w:tc>
        <w:tc>
          <w:tcPr>
            <w:tcW w:w="3007" w:type="pct"/>
            <w:vAlign w:val="center"/>
          </w:tcPr>
          <w:p w14:paraId="1DBD0746">
            <w:pPr>
              <w:keepNext w:val="0"/>
              <w:keepLines w:val="0"/>
              <w:pageBreakBefore w:val="0"/>
              <w:widowControl/>
              <w:numPr>
                <w:ilvl w:val="0"/>
                <w:numId w:val="0"/>
              </w:numPr>
              <w:kinsoku/>
              <w:wordWrap/>
              <w:overflowPunct/>
              <w:topLinePunct w:val="0"/>
              <w:autoSpaceDE w:val="0"/>
              <w:autoSpaceDN w:val="0"/>
              <w:bidi w:val="0"/>
              <w:adjustRightInd w:val="0"/>
              <w:snapToGrid w:val="0"/>
              <w:spacing w:line="0" w:lineRule="atLeas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评审标准：</w:t>
            </w:r>
          </w:p>
          <w:p w14:paraId="151A2086">
            <w:pPr>
              <w:keepNext w:val="0"/>
              <w:keepLines w:val="0"/>
              <w:pageBreakBefore w:val="0"/>
              <w:widowControl/>
              <w:numPr>
                <w:ilvl w:val="0"/>
                <w:numId w:val="0"/>
              </w:numPr>
              <w:kinsoku/>
              <w:wordWrap/>
              <w:overflowPunct/>
              <w:topLinePunct w:val="0"/>
              <w:autoSpaceDE w:val="0"/>
              <w:autoSpaceDN w:val="0"/>
              <w:bidi w:val="0"/>
              <w:adjustRightInd w:val="0"/>
              <w:snapToGrid/>
              <w:spacing w:line="0" w:lineRule="atLeast"/>
              <w:jc w:val="both"/>
              <w:textAlignment w:val="auto"/>
              <w:rPr>
                <w:rFonts w:hint="eastAsia" w:ascii="仿宋" w:hAnsi="仿宋" w:eastAsia="仿宋" w:cs="仿宋"/>
                <w:bCs/>
                <w:sz w:val="28"/>
                <w:szCs w:val="28"/>
                <w:lang w:val="zh-CN" w:eastAsia="zh-CN"/>
              </w:rPr>
            </w:pPr>
            <w:r>
              <w:rPr>
                <w:rFonts w:ascii="仿宋" w:hAnsi="仿宋" w:eastAsia="仿宋" w:cs="仿宋"/>
                <w:bCs/>
                <w:sz w:val="28"/>
                <w:szCs w:val="28"/>
              </w:rPr>
              <w:t>1</w:t>
            </w:r>
            <w:r>
              <w:rPr>
                <w:rFonts w:hint="eastAsia" w:ascii="仿宋" w:hAnsi="仿宋" w:eastAsia="仿宋" w:cs="仿宋"/>
                <w:bCs/>
                <w:sz w:val="28"/>
                <w:szCs w:val="28"/>
              </w:rPr>
              <w:t>.</w:t>
            </w:r>
            <w:r>
              <w:rPr>
                <w:rFonts w:ascii="仿宋" w:hAnsi="仿宋" w:eastAsia="仿宋" w:cs="仿宋"/>
                <w:bCs/>
                <w:sz w:val="28"/>
                <w:szCs w:val="28"/>
              </w:rPr>
              <w:t>评审考核内容：</w:t>
            </w:r>
            <w:r>
              <w:rPr>
                <w:rFonts w:hint="eastAsia" w:ascii="仿宋" w:hAnsi="仿宋" w:eastAsia="仿宋" w:cs="仿宋"/>
                <w:bCs/>
                <w:sz w:val="28"/>
                <w:szCs w:val="28"/>
              </w:rPr>
              <w:t>供应商根据文件要求，制定总体</w:t>
            </w:r>
            <w:r>
              <w:rPr>
                <w:rFonts w:hint="eastAsia" w:ascii="仿宋" w:hAnsi="仿宋" w:eastAsia="仿宋" w:cs="仿宋"/>
                <w:bCs/>
                <w:sz w:val="28"/>
                <w:szCs w:val="28"/>
                <w:lang w:val="en-US" w:eastAsia="zh-CN"/>
              </w:rPr>
              <w:t>实施</w:t>
            </w:r>
            <w:r>
              <w:rPr>
                <w:rFonts w:hint="eastAsia" w:ascii="仿宋" w:hAnsi="仿宋" w:eastAsia="仿宋" w:cs="仿宋"/>
                <w:bCs/>
                <w:sz w:val="28"/>
                <w:szCs w:val="28"/>
              </w:rPr>
              <w:t>方案，内容包括但不限于：</w:t>
            </w:r>
          </w:p>
          <w:p w14:paraId="3254E313">
            <w:pPr>
              <w:keepNext w:val="0"/>
              <w:keepLines w:val="0"/>
              <w:pageBreakBefore w:val="0"/>
              <w:widowControl/>
              <w:numPr>
                <w:ilvl w:val="0"/>
                <w:numId w:val="0"/>
              </w:numPr>
              <w:kinsoku/>
              <w:wordWrap/>
              <w:overflowPunct/>
              <w:topLinePunct w:val="0"/>
              <w:autoSpaceDE w:val="0"/>
              <w:autoSpaceDN w:val="0"/>
              <w:bidi w:val="0"/>
              <w:adjustRightInd w:val="0"/>
              <w:snapToGrid/>
              <w:spacing w:line="0" w:lineRule="atLeast"/>
              <w:jc w:val="both"/>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lang w:eastAsia="zh-CN"/>
              </w:rPr>
              <w:t>①项目实施组织设计</w:t>
            </w:r>
            <w:r>
              <w:rPr>
                <w:rFonts w:hint="eastAsia" w:ascii="仿宋" w:hAnsi="仿宋" w:eastAsia="仿宋" w:cs="仿宋"/>
                <w:bCs/>
                <w:sz w:val="28"/>
                <w:szCs w:val="28"/>
                <w:lang w:val="zh-CN" w:eastAsia="zh-CN"/>
              </w:rPr>
              <w:t>；</w:t>
            </w:r>
            <w:r>
              <w:rPr>
                <w:rFonts w:hint="eastAsia" w:ascii="仿宋" w:hAnsi="仿宋" w:eastAsia="仿宋" w:cs="仿宋"/>
                <w:bCs/>
                <w:sz w:val="28"/>
                <w:szCs w:val="28"/>
                <w:lang w:eastAsia="zh-CN"/>
              </w:rPr>
              <w:t>②项目地踏勘与调差分析方案</w:t>
            </w:r>
            <w:r>
              <w:rPr>
                <w:rFonts w:hint="eastAsia" w:ascii="仿宋" w:hAnsi="仿宋" w:eastAsia="仿宋" w:cs="仿宋"/>
                <w:bCs/>
                <w:sz w:val="28"/>
                <w:szCs w:val="28"/>
                <w:lang w:val="zh-CN" w:eastAsia="zh-CN"/>
              </w:rPr>
              <w:t>；③安全利用实施方案；</w:t>
            </w:r>
            <w:r>
              <w:rPr>
                <w:rFonts w:hint="eastAsia" w:ascii="仿宋" w:hAnsi="仿宋" w:eastAsia="仿宋" w:cs="仿宋"/>
                <w:bCs/>
                <w:sz w:val="28"/>
                <w:szCs w:val="28"/>
                <w:lang w:val="zh-CN" w:eastAsia="zh-CN"/>
              </w:rPr>
              <w:fldChar w:fldCharType="begin"/>
            </w:r>
            <w:r>
              <w:rPr>
                <w:rFonts w:hint="eastAsia" w:ascii="仿宋" w:hAnsi="仿宋" w:eastAsia="仿宋" w:cs="仿宋"/>
                <w:bCs/>
                <w:sz w:val="28"/>
                <w:szCs w:val="28"/>
                <w:lang w:val="zh-CN" w:eastAsia="zh-CN"/>
              </w:rPr>
              <w:instrText xml:space="preserve"> = 4 \* GB3 \* MERGEFORMAT </w:instrText>
            </w:r>
            <w:r>
              <w:rPr>
                <w:rFonts w:hint="eastAsia" w:ascii="仿宋" w:hAnsi="仿宋" w:eastAsia="仿宋" w:cs="仿宋"/>
                <w:bCs/>
                <w:sz w:val="28"/>
                <w:szCs w:val="28"/>
                <w:lang w:val="zh-CN" w:eastAsia="zh-CN"/>
              </w:rPr>
              <w:fldChar w:fldCharType="separate"/>
            </w:r>
            <w:r>
              <w:rPr>
                <w:rFonts w:ascii="仿宋" w:hAnsi="仿宋" w:eastAsia="仿宋" w:cs="仿宋"/>
                <w:bCs/>
                <w:sz w:val="28"/>
                <w:szCs w:val="28"/>
              </w:rPr>
              <w:t>④</w:t>
            </w:r>
            <w:r>
              <w:rPr>
                <w:rFonts w:hint="eastAsia" w:ascii="仿宋" w:hAnsi="仿宋" w:eastAsia="仿宋" w:cs="仿宋"/>
                <w:bCs/>
                <w:sz w:val="28"/>
                <w:szCs w:val="28"/>
                <w:lang w:val="zh-CN" w:eastAsia="zh-CN"/>
              </w:rPr>
              <w:fldChar w:fldCharType="end"/>
            </w:r>
            <w:r>
              <w:rPr>
                <w:rFonts w:hint="eastAsia" w:ascii="仿宋" w:hAnsi="仿宋" w:eastAsia="仿宋" w:cs="仿宋"/>
                <w:bCs/>
                <w:sz w:val="28"/>
                <w:szCs w:val="28"/>
                <w:lang w:val="zh-CN" w:eastAsia="zh-CN"/>
              </w:rPr>
              <w:t>第三方抽样检测协同配合方案</w:t>
            </w:r>
            <w:r>
              <w:rPr>
                <w:rFonts w:hint="eastAsia" w:ascii="仿宋" w:hAnsi="仿宋" w:eastAsia="仿宋" w:cs="仿宋"/>
                <w:bCs/>
                <w:sz w:val="28"/>
                <w:szCs w:val="28"/>
                <w:lang w:val="en-US" w:eastAsia="zh-CN"/>
              </w:rPr>
              <w:t>等</w:t>
            </w:r>
          </w:p>
          <w:p w14:paraId="2C9D8034">
            <w:pPr>
              <w:keepNext w:val="0"/>
              <w:keepLines w:val="0"/>
              <w:pageBreakBefore w:val="0"/>
              <w:widowControl/>
              <w:numPr>
                <w:ilvl w:val="0"/>
                <w:numId w:val="0"/>
              </w:numPr>
              <w:kinsoku/>
              <w:wordWrap/>
              <w:overflowPunct/>
              <w:topLinePunct w:val="0"/>
              <w:autoSpaceDE w:val="0"/>
              <w:autoSpaceDN w:val="0"/>
              <w:bidi w:val="0"/>
              <w:adjustRightInd w:val="0"/>
              <w:snapToGrid w:val="0"/>
              <w:spacing w:line="0" w:lineRule="atLeast"/>
              <w:ind w:left="0" w:leftChars="0" w:firstLine="0" w:firstLineChars="0"/>
              <w:jc w:val="both"/>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2.评审</w:t>
            </w:r>
            <w:r>
              <w:rPr>
                <w:rFonts w:hint="eastAsia" w:ascii="仿宋" w:hAnsi="仿宋" w:eastAsia="仿宋" w:cs="仿宋"/>
                <w:color w:val="000000"/>
                <w:sz w:val="28"/>
                <w:szCs w:val="28"/>
                <w:lang w:val="en-US"/>
              </w:rPr>
              <w:t>指标</w:t>
            </w:r>
            <w:r>
              <w:rPr>
                <w:rFonts w:hint="eastAsia" w:ascii="仿宋" w:hAnsi="仿宋" w:eastAsia="仿宋" w:cs="仿宋"/>
                <w:sz w:val="28"/>
                <w:szCs w:val="28"/>
                <w:lang w:val="zh-CN" w:eastAsia="zh-CN"/>
              </w:rPr>
              <w:t>：</w:t>
            </w:r>
          </w:p>
          <w:p w14:paraId="077D246E">
            <w:pPr>
              <w:keepNext w:val="0"/>
              <w:keepLines w:val="0"/>
              <w:pageBreakBefore w:val="0"/>
              <w:kinsoku/>
              <w:wordWrap/>
              <w:overflowPunct/>
              <w:topLinePunct w:val="0"/>
              <w:bidi w:val="0"/>
              <w:snapToGrid/>
              <w:spacing w:line="0" w:lineRule="atLeast"/>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rPr>
              <w:t>①符合度：是否进行充分响应，</w:t>
            </w:r>
            <w:r>
              <w:rPr>
                <w:rFonts w:hint="eastAsia" w:ascii="仿宋" w:hAnsi="仿宋" w:eastAsia="仿宋" w:cs="仿宋"/>
                <w:color w:val="000000"/>
                <w:sz w:val="28"/>
                <w:szCs w:val="28"/>
                <w:lang w:val="en-US" w:eastAsia="zh-CN"/>
              </w:rPr>
              <w:t>是否</w:t>
            </w:r>
            <w:r>
              <w:rPr>
                <w:rFonts w:hint="eastAsia" w:ascii="仿宋" w:hAnsi="仿宋" w:eastAsia="仿宋" w:cs="仿宋"/>
                <w:color w:val="000000"/>
                <w:sz w:val="28"/>
                <w:szCs w:val="28"/>
                <w:lang w:val="en-US"/>
              </w:rPr>
              <w:t>提供与本评</w:t>
            </w:r>
            <w:r>
              <w:rPr>
                <w:rFonts w:hint="eastAsia" w:ascii="仿宋" w:hAnsi="仿宋" w:eastAsia="仿宋" w:cs="仿宋"/>
                <w:color w:val="000000"/>
                <w:sz w:val="28"/>
                <w:szCs w:val="28"/>
                <w:lang w:val="en-US" w:eastAsia="zh-CN"/>
              </w:rPr>
              <w:t>审</w:t>
            </w:r>
            <w:r>
              <w:rPr>
                <w:rFonts w:hint="eastAsia" w:ascii="仿宋" w:hAnsi="仿宋" w:eastAsia="仿宋" w:cs="仿宋"/>
                <w:color w:val="000000"/>
                <w:sz w:val="28"/>
                <w:szCs w:val="28"/>
                <w:lang w:val="en-US"/>
              </w:rPr>
              <w:t>项无关内容；</w:t>
            </w:r>
          </w:p>
          <w:p w14:paraId="0977BAFC">
            <w:pPr>
              <w:keepNext w:val="0"/>
              <w:keepLines w:val="0"/>
              <w:pageBreakBefore w:val="0"/>
              <w:kinsoku/>
              <w:wordWrap/>
              <w:overflowPunct/>
              <w:topLinePunct w:val="0"/>
              <w:bidi w:val="0"/>
              <w:snapToGrid/>
              <w:spacing w:line="0" w:lineRule="atLeast"/>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rPr>
              <w:t>②完整性：需结合整体需求，进行全方面的描述，</w:t>
            </w:r>
            <w:r>
              <w:rPr>
                <w:rFonts w:hint="eastAsia" w:ascii="仿宋" w:hAnsi="仿宋" w:eastAsia="仿宋" w:cs="仿宋"/>
                <w:color w:val="000000"/>
                <w:sz w:val="28"/>
                <w:szCs w:val="28"/>
                <w:lang w:val="en-US" w:eastAsia="zh-CN"/>
              </w:rPr>
              <w:t>是否</w:t>
            </w:r>
            <w:r>
              <w:rPr>
                <w:rFonts w:hint="eastAsia" w:ascii="仿宋" w:hAnsi="仿宋" w:eastAsia="仿宋" w:cs="仿宋"/>
                <w:color w:val="000000"/>
                <w:sz w:val="28"/>
                <w:szCs w:val="28"/>
                <w:lang w:val="en-US"/>
              </w:rPr>
              <w:t>缺项；</w:t>
            </w:r>
          </w:p>
          <w:p w14:paraId="59FAFB83">
            <w:pPr>
              <w:keepNext w:val="0"/>
              <w:keepLines w:val="0"/>
              <w:pageBreakBefore w:val="0"/>
              <w:kinsoku/>
              <w:wordWrap/>
              <w:overflowPunct/>
              <w:topLinePunct w:val="0"/>
              <w:bidi w:val="0"/>
              <w:snapToGrid/>
              <w:spacing w:line="0" w:lineRule="atLeast"/>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rPr>
              <w:t>③合理性：需依据本项目阐述，具有可执行性。</w:t>
            </w:r>
          </w:p>
          <w:p w14:paraId="075B207F">
            <w:pPr>
              <w:keepNext w:val="0"/>
              <w:keepLines w:val="0"/>
              <w:pageBreakBefore w:val="0"/>
              <w:kinsoku/>
              <w:wordWrap/>
              <w:overflowPunct/>
              <w:topLinePunct w:val="0"/>
              <w:bidi w:val="0"/>
              <w:adjustRightInd w:val="0"/>
              <w:snapToGrid w:val="0"/>
              <w:spacing w:line="0" w:lineRule="atLeast"/>
              <w:ind w:left="1" w:leftChars="0"/>
              <w:textAlignment w:val="bottom"/>
              <w:rPr>
                <w:rFonts w:hint="eastAsia" w:ascii="仿宋" w:hAnsi="仿宋" w:eastAsia="仿宋" w:cs="仿宋"/>
                <w:sz w:val="28"/>
                <w:szCs w:val="28"/>
                <w:lang w:val="zh-CN"/>
              </w:rPr>
            </w:pPr>
            <w:r>
              <w:rPr>
                <w:rFonts w:hint="eastAsia" w:ascii="仿宋" w:hAnsi="仿宋" w:eastAsia="仿宋" w:cs="仿宋"/>
                <w:color w:val="000000"/>
                <w:sz w:val="28"/>
                <w:szCs w:val="28"/>
                <w:lang w:val="en-US"/>
              </w:rPr>
              <w:t>内容完全满足以上</w:t>
            </w:r>
            <w:r>
              <w:rPr>
                <w:rFonts w:hint="eastAsia" w:ascii="仿宋" w:hAnsi="仿宋" w:eastAsia="仿宋" w:cs="仿宋"/>
                <w:sz w:val="28"/>
                <w:szCs w:val="28"/>
                <w:lang w:val="zh-CN" w:eastAsia="zh-CN"/>
              </w:rPr>
              <w:t>评审标准</w:t>
            </w:r>
            <w:r>
              <w:rPr>
                <w:rFonts w:hint="eastAsia" w:ascii="仿宋" w:hAnsi="仿宋" w:eastAsia="仿宋" w:cs="仿宋"/>
                <w:color w:val="000000"/>
                <w:sz w:val="28"/>
                <w:szCs w:val="28"/>
                <w:lang w:val="en-US"/>
              </w:rPr>
              <w:t>的得</w:t>
            </w:r>
            <w:r>
              <w:rPr>
                <w:rFonts w:hint="eastAsia" w:ascii="仿宋" w:hAnsi="仿宋" w:eastAsia="仿宋" w:cs="仿宋"/>
                <w:color w:val="000000"/>
                <w:sz w:val="28"/>
                <w:szCs w:val="28"/>
                <w:lang w:val="en-US" w:eastAsia="zh-CN"/>
              </w:rPr>
              <w:t>16</w:t>
            </w:r>
            <w:r>
              <w:rPr>
                <w:rFonts w:hint="eastAsia" w:ascii="仿宋" w:hAnsi="仿宋" w:eastAsia="仿宋" w:cs="仿宋"/>
                <w:color w:val="000000"/>
                <w:sz w:val="28"/>
                <w:szCs w:val="28"/>
                <w:lang w:val="en-US"/>
              </w:rPr>
              <w:t>分，每缺少一项</w:t>
            </w:r>
            <w:r>
              <w:rPr>
                <w:rFonts w:hint="eastAsia" w:ascii="仿宋" w:hAnsi="仿宋" w:eastAsia="仿宋" w:cs="仿宋"/>
                <w:sz w:val="28"/>
                <w:szCs w:val="28"/>
                <w:lang w:val="zh-CN" w:eastAsia="zh-CN"/>
              </w:rPr>
              <w:t>评审考核</w:t>
            </w:r>
            <w:r>
              <w:rPr>
                <w:rFonts w:hint="eastAsia" w:ascii="仿宋" w:hAnsi="仿宋" w:eastAsia="仿宋" w:cs="仿宋"/>
                <w:color w:val="000000"/>
                <w:sz w:val="28"/>
                <w:szCs w:val="28"/>
                <w:lang w:val="en-US"/>
              </w:rPr>
              <w:t>内容扣</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val="en-US"/>
              </w:rPr>
              <w:t>分，每项</w:t>
            </w:r>
            <w:r>
              <w:rPr>
                <w:rFonts w:hint="eastAsia" w:ascii="仿宋" w:hAnsi="仿宋" w:eastAsia="仿宋" w:cs="仿宋"/>
                <w:sz w:val="28"/>
                <w:szCs w:val="28"/>
                <w:lang w:val="zh-CN" w:eastAsia="zh-CN"/>
              </w:rPr>
              <w:t>评审</w:t>
            </w:r>
            <w:r>
              <w:rPr>
                <w:rFonts w:hint="eastAsia" w:ascii="仿宋" w:hAnsi="仿宋" w:eastAsia="仿宋" w:cs="仿宋"/>
                <w:color w:val="000000"/>
                <w:sz w:val="28"/>
                <w:szCs w:val="28"/>
                <w:lang w:val="en-US"/>
              </w:rPr>
              <w:t>指标中存在缺陷的每处扣1分，扣完为止；未提供的得0分</w:t>
            </w:r>
            <w:r>
              <w:rPr>
                <w:rFonts w:hint="eastAsia" w:ascii="仿宋" w:hAnsi="仿宋" w:eastAsia="仿宋" w:cs="仿宋"/>
                <w:sz w:val="28"/>
                <w:szCs w:val="28"/>
                <w:lang w:val="zh-CN" w:eastAsia="zh-CN"/>
              </w:rPr>
              <w:t>。</w:t>
            </w:r>
          </w:p>
        </w:tc>
      </w:tr>
      <w:tr w14:paraId="103B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44" w:type="pct"/>
            <w:vMerge w:val="continue"/>
            <w:vAlign w:val="center"/>
          </w:tcPr>
          <w:p w14:paraId="1BCDE97E">
            <w:pPr>
              <w:pStyle w:val="31"/>
              <w:snapToGrid w:val="0"/>
              <w:spacing w:line="0" w:lineRule="atLeast"/>
              <w:rPr>
                <w:rFonts w:hint="eastAsia" w:ascii="仿宋" w:hAnsi="仿宋" w:eastAsia="仿宋" w:cs="仿宋"/>
                <w:sz w:val="28"/>
                <w:szCs w:val="28"/>
              </w:rPr>
            </w:pPr>
          </w:p>
        </w:tc>
        <w:tc>
          <w:tcPr>
            <w:tcW w:w="810" w:type="pct"/>
            <w:tcBorders>
              <w:top w:val="single" w:color="auto" w:sz="4" w:space="0"/>
            </w:tcBorders>
            <w:vAlign w:val="center"/>
          </w:tcPr>
          <w:p w14:paraId="5EF649A8">
            <w:pPr>
              <w:keepNext w:val="0"/>
              <w:keepLines w:val="0"/>
              <w:pageBreakBefore w:val="0"/>
              <w:kinsoku/>
              <w:wordWrap/>
              <w:overflowPunct/>
              <w:topLinePunct w:val="0"/>
              <w:autoSpaceDE/>
              <w:autoSpaceDN/>
              <w:bidi w:val="0"/>
              <w:adjustRightInd w:val="0"/>
              <w:snapToGrid w:val="0"/>
              <w:spacing w:line="0" w:lineRule="atLeast"/>
              <w:jc w:val="center"/>
              <w:textAlignment w:val="auto"/>
              <w:rPr>
                <w:rFonts w:hint="eastAsia" w:ascii="仿宋" w:hAnsi="仿宋" w:eastAsia="仿宋" w:cs="仿宋"/>
                <w:sz w:val="28"/>
                <w:szCs w:val="28"/>
              </w:rPr>
            </w:pPr>
            <w:r>
              <w:rPr>
                <w:rFonts w:hint="eastAsia" w:ascii="仿宋" w:hAnsi="仿宋" w:eastAsia="仿宋"/>
                <w:color w:val="000000"/>
                <w:sz w:val="28"/>
                <w:szCs w:val="28"/>
                <w:highlight w:val="none"/>
                <w:lang w:val="en-US" w:eastAsia="zh-CN"/>
              </w:rPr>
              <w:t>项目进度计划</w:t>
            </w:r>
          </w:p>
        </w:tc>
        <w:tc>
          <w:tcPr>
            <w:tcW w:w="438" w:type="pct"/>
            <w:vAlign w:val="center"/>
          </w:tcPr>
          <w:p w14:paraId="5CAB431C">
            <w:pPr>
              <w:keepNext w:val="0"/>
              <w:keepLines w:val="0"/>
              <w:pageBreakBefore w:val="0"/>
              <w:widowControl/>
              <w:kinsoku/>
              <w:wordWrap/>
              <w:overflowPunct/>
              <w:topLinePunct w:val="0"/>
              <w:bidi w:val="0"/>
              <w:snapToGrid/>
              <w:spacing w:line="0" w:lineRule="atLeas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3007" w:type="pct"/>
            <w:vAlign w:val="center"/>
          </w:tcPr>
          <w:p w14:paraId="7739AB3C">
            <w:pPr>
              <w:keepNext w:val="0"/>
              <w:keepLines w:val="0"/>
              <w:pageBreakBefore w:val="0"/>
              <w:widowControl/>
              <w:numPr>
                <w:ilvl w:val="0"/>
                <w:numId w:val="0"/>
              </w:numPr>
              <w:kinsoku/>
              <w:wordWrap/>
              <w:overflowPunct/>
              <w:topLinePunct w:val="0"/>
              <w:autoSpaceDE w:val="0"/>
              <w:autoSpaceDN w:val="0"/>
              <w:bidi w:val="0"/>
              <w:adjustRightInd w:val="0"/>
              <w:snapToGrid w:val="0"/>
              <w:spacing w:line="0" w:lineRule="atLeas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评审标准：</w:t>
            </w:r>
          </w:p>
          <w:p w14:paraId="114CF69C">
            <w:pPr>
              <w:keepNext w:val="0"/>
              <w:keepLines w:val="0"/>
              <w:pageBreakBefore w:val="0"/>
              <w:widowControl/>
              <w:numPr>
                <w:ilvl w:val="0"/>
                <w:numId w:val="0"/>
              </w:numPr>
              <w:kinsoku/>
              <w:wordWrap/>
              <w:overflowPunct/>
              <w:topLinePunct w:val="0"/>
              <w:autoSpaceDE w:val="0"/>
              <w:autoSpaceDN w:val="0"/>
              <w:bidi w:val="0"/>
              <w:adjustRightInd w:val="0"/>
              <w:snapToGrid/>
              <w:spacing w:line="0" w:lineRule="atLeast"/>
              <w:jc w:val="both"/>
              <w:textAlignment w:val="auto"/>
              <w:rPr>
                <w:rFonts w:hint="eastAsia" w:ascii="仿宋" w:hAnsi="仿宋" w:eastAsia="仿宋" w:cs="仿宋"/>
                <w:sz w:val="28"/>
                <w:szCs w:val="28"/>
                <w:lang w:val="en-US" w:eastAsia="zh-CN"/>
              </w:rPr>
            </w:pPr>
            <w:r>
              <w:rPr>
                <w:rFonts w:ascii="仿宋" w:hAnsi="仿宋" w:eastAsia="仿宋" w:cs="仿宋"/>
                <w:bCs/>
                <w:sz w:val="28"/>
                <w:szCs w:val="28"/>
              </w:rPr>
              <w:t>1</w:t>
            </w:r>
            <w:r>
              <w:rPr>
                <w:rFonts w:hint="eastAsia" w:ascii="仿宋" w:hAnsi="仿宋" w:eastAsia="仿宋" w:cs="仿宋"/>
                <w:bCs/>
                <w:sz w:val="28"/>
                <w:szCs w:val="28"/>
              </w:rPr>
              <w:t>.</w:t>
            </w:r>
            <w:r>
              <w:rPr>
                <w:rFonts w:ascii="仿宋" w:hAnsi="仿宋" w:eastAsia="仿宋" w:cs="仿宋"/>
                <w:bCs/>
                <w:sz w:val="28"/>
                <w:szCs w:val="28"/>
              </w:rPr>
              <w:t>评审考核内容：</w:t>
            </w:r>
            <w:r>
              <w:rPr>
                <w:rFonts w:hint="eastAsia" w:ascii="仿宋" w:hAnsi="仿宋" w:eastAsia="仿宋" w:cs="仿宋"/>
                <w:bCs/>
                <w:sz w:val="28"/>
                <w:szCs w:val="28"/>
              </w:rPr>
              <w:t>供应商根据文件要求，制定</w:t>
            </w:r>
            <w:r>
              <w:rPr>
                <w:rFonts w:hint="eastAsia" w:ascii="仿宋" w:hAnsi="仿宋" w:eastAsia="仿宋"/>
                <w:color w:val="000000"/>
                <w:sz w:val="28"/>
                <w:szCs w:val="28"/>
                <w:highlight w:val="none"/>
                <w:lang w:val="en-US" w:eastAsia="zh-CN"/>
              </w:rPr>
              <w:t>项目进度计划</w:t>
            </w:r>
            <w:r>
              <w:rPr>
                <w:rFonts w:hint="eastAsia" w:ascii="仿宋" w:hAnsi="仿宋" w:eastAsia="仿宋" w:cs="仿宋"/>
                <w:bCs/>
                <w:sz w:val="28"/>
                <w:szCs w:val="28"/>
              </w:rPr>
              <w:t>，内容包括但不限于：</w:t>
            </w:r>
          </w:p>
          <w:p w14:paraId="44A98F00">
            <w:pPr>
              <w:keepNext w:val="0"/>
              <w:keepLines w:val="0"/>
              <w:pageBreakBefore w:val="0"/>
              <w:widowControl/>
              <w:numPr>
                <w:ilvl w:val="0"/>
                <w:numId w:val="0"/>
              </w:numPr>
              <w:kinsoku/>
              <w:wordWrap/>
              <w:overflowPunct/>
              <w:topLinePunct w:val="0"/>
              <w:autoSpaceDE w:val="0"/>
              <w:autoSpaceDN w:val="0"/>
              <w:bidi w:val="0"/>
              <w:adjustRightInd w:val="0"/>
              <w:snapToGrid/>
              <w:spacing w:line="0" w:lineRule="atLeast"/>
              <w:jc w:val="both"/>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①进度安排方案；②进度控制保障措施。</w:t>
            </w:r>
          </w:p>
          <w:p w14:paraId="099833C4">
            <w:pPr>
              <w:keepNext w:val="0"/>
              <w:keepLines w:val="0"/>
              <w:pageBreakBefore w:val="0"/>
              <w:widowControl/>
              <w:numPr>
                <w:ilvl w:val="0"/>
                <w:numId w:val="0"/>
              </w:numPr>
              <w:kinsoku/>
              <w:wordWrap/>
              <w:overflowPunct/>
              <w:topLinePunct w:val="0"/>
              <w:autoSpaceDE w:val="0"/>
              <w:autoSpaceDN w:val="0"/>
              <w:bidi w:val="0"/>
              <w:adjustRightInd w:val="0"/>
              <w:snapToGrid w:val="0"/>
              <w:spacing w:line="0" w:lineRule="atLeast"/>
              <w:ind w:left="0" w:leftChars="0" w:firstLine="0" w:firstLineChars="0"/>
              <w:jc w:val="both"/>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2</w:t>
            </w:r>
            <w:r>
              <w:rPr>
                <w:rFonts w:hint="eastAsia" w:ascii="仿宋" w:hAnsi="仿宋" w:eastAsia="仿宋" w:cs="仿宋"/>
                <w:sz w:val="28"/>
                <w:szCs w:val="28"/>
                <w:lang w:val="en-US" w:eastAsia="zh-CN"/>
              </w:rPr>
              <w:t>.</w:t>
            </w:r>
            <w:r>
              <w:rPr>
                <w:rFonts w:hint="eastAsia" w:ascii="仿宋" w:hAnsi="仿宋" w:eastAsia="仿宋" w:cs="仿宋"/>
                <w:sz w:val="28"/>
                <w:szCs w:val="28"/>
                <w:lang w:val="zh-CN" w:eastAsia="zh-CN"/>
              </w:rPr>
              <w:t>评审</w:t>
            </w:r>
            <w:r>
              <w:rPr>
                <w:rFonts w:hint="eastAsia" w:ascii="仿宋" w:hAnsi="仿宋" w:eastAsia="仿宋" w:cs="仿宋"/>
                <w:color w:val="000000"/>
                <w:sz w:val="28"/>
                <w:szCs w:val="28"/>
                <w:lang w:val="en-US"/>
              </w:rPr>
              <w:t>指标</w:t>
            </w:r>
            <w:r>
              <w:rPr>
                <w:rFonts w:hint="eastAsia" w:ascii="仿宋" w:hAnsi="仿宋" w:eastAsia="仿宋" w:cs="仿宋"/>
                <w:sz w:val="28"/>
                <w:szCs w:val="28"/>
                <w:lang w:val="zh-CN" w:eastAsia="zh-CN"/>
              </w:rPr>
              <w:t>：</w:t>
            </w:r>
          </w:p>
          <w:p w14:paraId="02262146">
            <w:pPr>
              <w:keepNext w:val="0"/>
              <w:keepLines w:val="0"/>
              <w:pageBreakBefore w:val="0"/>
              <w:kinsoku/>
              <w:wordWrap/>
              <w:overflowPunct/>
              <w:topLinePunct w:val="0"/>
              <w:bidi w:val="0"/>
              <w:snapToGrid/>
              <w:spacing w:line="0" w:lineRule="atLeast"/>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rPr>
              <w:t>①符合度：是否进行充分响应，</w:t>
            </w:r>
            <w:r>
              <w:rPr>
                <w:rFonts w:hint="eastAsia" w:ascii="仿宋" w:hAnsi="仿宋" w:eastAsia="仿宋" w:cs="仿宋"/>
                <w:color w:val="000000"/>
                <w:sz w:val="28"/>
                <w:szCs w:val="28"/>
                <w:lang w:val="en-US" w:eastAsia="zh-CN"/>
              </w:rPr>
              <w:t>是否</w:t>
            </w:r>
            <w:r>
              <w:rPr>
                <w:rFonts w:hint="eastAsia" w:ascii="仿宋" w:hAnsi="仿宋" w:eastAsia="仿宋" w:cs="仿宋"/>
                <w:color w:val="000000"/>
                <w:sz w:val="28"/>
                <w:szCs w:val="28"/>
                <w:lang w:val="en-US"/>
              </w:rPr>
              <w:t>提供与本评</w:t>
            </w:r>
            <w:r>
              <w:rPr>
                <w:rFonts w:hint="eastAsia" w:ascii="仿宋" w:hAnsi="仿宋" w:eastAsia="仿宋" w:cs="仿宋"/>
                <w:color w:val="000000"/>
                <w:sz w:val="28"/>
                <w:szCs w:val="28"/>
                <w:lang w:val="en-US" w:eastAsia="zh-CN"/>
              </w:rPr>
              <w:t>审</w:t>
            </w:r>
            <w:r>
              <w:rPr>
                <w:rFonts w:hint="eastAsia" w:ascii="仿宋" w:hAnsi="仿宋" w:eastAsia="仿宋" w:cs="仿宋"/>
                <w:color w:val="000000"/>
                <w:sz w:val="28"/>
                <w:szCs w:val="28"/>
                <w:lang w:val="en-US"/>
              </w:rPr>
              <w:t>项无关内容；</w:t>
            </w:r>
          </w:p>
          <w:p w14:paraId="650F98E7">
            <w:pPr>
              <w:keepNext w:val="0"/>
              <w:keepLines w:val="0"/>
              <w:pageBreakBefore w:val="0"/>
              <w:kinsoku/>
              <w:wordWrap/>
              <w:overflowPunct/>
              <w:topLinePunct w:val="0"/>
              <w:bidi w:val="0"/>
              <w:snapToGrid/>
              <w:spacing w:line="0" w:lineRule="atLeast"/>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rPr>
              <w:t>②完整性：需结合整体需求，进行全方面的描述，</w:t>
            </w:r>
            <w:r>
              <w:rPr>
                <w:rFonts w:hint="eastAsia" w:ascii="仿宋" w:hAnsi="仿宋" w:eastAsia="仿宋" w:cs="仿宋"/>
                <w:color w:val="000000"/>
                <w:sz w:val="28"/>
                <w:szCs w:val="28"/>
                <w:lang w:val="en-US" w:eastAsia="zh-CN"/>
              </w:rPr>
              <w:t>是否</w:t>
            </w:r>
            <w:r>
              <w:rPr>
                <w:rFonts w:hint="eastAsia" w:ascii="仿宋" w:hAnsi="仿宋" w:eastAsia="仿宋" w:cs="仿宋"/>
                <w:color w:val="000000"/>
                <w:sz w:val="28"/>
                <w:szCs w:val="28"/>
                <w:lang w:val="en-US"/>
              </w:rPr>
              <w:t>缺项；</w:t>
            </w:r>
          </w:p>
          <w:p w14:paraId="3254403C">
            <w:pPr>
              <w:keepNext w:val="0"/>
              <w:keepLines w:val="0"/>
              <w:pageBreakBefore w:val="0"/>
              <w:kinsoku/>
              <w:wordWrap/>
              <w:overflowPunct/>
              <w:topLinePunct w:val="0"/>
              <w:bidi w:val="0"/>
              <w:snapToGrid/>
              <w:spacing w:line="0" w:lineRule="atLeast"/>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rPr>
              <w:t>③合理性：需依据本项目阐述，具有可执行性。</w:t>
            </w:r>
          </w:p>
          <w:p w14:paraId="6086A70C">
            <w:pPr>
              <w:keepNext w:val="0"/>
              <w:keepLines w:val="0"/>
              <w:pageBreakBefore w:val="0"/>
              <w:widowControl/>
              <w:kinsoku/>
              <w:wordWrap/>
              <w:overflowPunct/>
              <w:topLinePunct w:val="0"/>
              <w:autoSpaceDE/>
              <w:autoSpaceDN/>
              <w:bidi w:val="0"/>
              <w:snapToGrid/>
              <w:spacing w:line="0" w:lineRule="atLeast"/>
              <w:jc w:val="both"/>
              <w:textAlignment w:val="auto"/>
              <w:rPr>
                <w:rFonts w:hint="eastAsia" w:ascii="仿宋" w:hAnsi="仿宋" w:eastAsia="仿宋" w:cs="仿宋"/>
                <w:sz w:val="28"/>
                <w:szCs w:val="28"/>
                <w:lang w:val="zh-CN"/>
              </w:rPr>
            </w:pPr>
            <w:r>
              <w:rPr>
                <w:rFonts w:hint="eastAsia" w:ascii="仿宋" w:hAnsi="仿宋" w:eastAsia="仿宋" w:cs="仿宋"/>
                <w:color w:val="000000"/>
                <w:sz w:val="28"/>
                <w:szCs w:val="28"/>
                <w:lang w:val="en-US"/>
              </w:rPr>
              <w:t>内容完全满足以上</w:t>
            </w:r>
            <w:r>
              <w:rPr>
                <w:rFonts w:hint="eastAsia" w:ascii="仿宋" w:hAnsi="仿宋" w:eastAsia="仿宋" w:cs="仿宋"/>
                <w:sz w:val="28"/>
                <w:szCs w:val="28"/>
                <w:lang w:val="zh-CN" w:eastAsia="zh-CN"/>
              </w:rPr>
              <w:t>评审标准</w:t>
            </w:r>
            <w:r>
              <w:rPr>
                <w:rFonts w:hint="eastAsia" w:ascii="仿宋" w:hAnsi="仿宋" w:eastAsia="仿宋" w:cs="仿宋"/>
                <w:color w:val="000000"/>
                <w:sz w:val="28"/>
                <w:szCs w:val="28"/>
                <w:lang w:val="en-US"/>
              </w:rPr>
              <w:t>的得</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lang w:val="en-US"/>
              </w:rPr>
              <w:t>分，每缺少一项</w:t>
            </w:r>
            <w:r>
              <w:rPr>
                <w:rFonts w:hint="eastAsia" w:ascii="仿宋" w:hAnsi="仿宋" w:eastAsia="仿宋" w:cs="仿宋"/>
                <w:sz w:val="28"/>
                <w:szCs w:val="28"/>
                <w:lang w:val="zh-CN" w:eastAsia="zh-CN"/>
              </w:rPr>
              <w:t>评审考核</w:t>
            </w:r>
            <w:r>
              <w:rPr>
                <w:rFonts w:hint="eastAsia" w:ascii="仿宋" w:hAnsi="仿宋" w:eastAsia="仿宋" w:cs="仿宋"/>
                <w:color w:val="000000"/>
                <w:sz w:val="28"/>
                <w:szCs w:val="28"/>
                <w:lang w:val="en-US"/>
              </w:rPr>
              <w:t>内容扣</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val="en-US"/>
              </w:rPr>
              <w:t>分，每项</w:t>
            </w:r>
            <w:r>
              <w:rPr>
                <w:rFonts w:hint="eastAsia" w:ascii="仿宋" w:hAnsi="仿宋" w:eastAsia="仿宋" w:cs="仿宋"/>
                <w:sz w:val="28"/>
                <w:szCs w:val="28"/>
                <w:lang w:val="zh-CN" w:eastAsia="zh-CN"/>
              </w:rPr>
              <w:t>评审</w:t>
            </w:r>
            <w:r>
              <w:rPr>
                <w:rFonts w:hint="eastAsia" w:ascii="仿宋" w:hAnsi="仿宋" w:eastAsia="仿宋" w:cs="仿宋"/>
                <w:color w:val="000000"/>
                <w:sz w:val="28"/>
                <w:szCs w:val="28"/>
                <w:lang w:val="en-US"/>
              </w:rPr>
              <w:t>指标中存在缺陷的每处扣1分，扣完为止；未提供的得0分。</w:t>
            </w:r>
          </w:p>
        </w:tc>
      </w:tr>
      <w:tr w14:paraId="22C1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pct"/>
            <w:vMerge w:val="continue"/>
            <w:vAlign w:val="center"/>
          </w:tcPr>
          <w:p w14:paraId="24734560">
            <w:pPr>
              <w:pStyle w:val="31"/>
              <w:snapToGrid w:val="0"/>
              <w:spacing w:line="0" w:lineRule="atLeast"/>
              <w:rPr>
                <w:rFonts w:hint="eastAsia" w:ascii="仿宋" w:hAnsi="仿宋" w:eastAsia="仿宋" w:cs="仿宋"/>
                <w:sz w:val="28"/>
                <w:szCs w:val="28"/>
              </w:rPr>
            </w:pPr>
          </w:p>
        </w:tc>
        <w:tc>
          <w:tcPr>
            <w:tcW w:w="810" w:type="pct"/>
            <w:tcBorders>
              <w:top w:val="single" w:color="auto" w:sz="4" w:space="0"/>
            </w:tcBorders>
            <w:vAlign w:val="center"/>
          </w:tcPr>
          <w:p w14:paraId="280D1A9B">
            <w:pPr>
              <w:keepNext w:val="0"/>
              <w:keepLines w:val="0"/>
              <w:pageBreakBefore w:val="0"/>
              <w:widowControl/>
              <w:kinsoku/>
              <w:wordWrap/>
              <w:overflowPunct/>
              <w:topLinePunct w:val="0"/>
              <w:autoSpaceDE w:val="0"/>
              <w:autoSpaceDN w:val="0"/>
              <w:bidi w:val="0"/>
              <w:adjustRightInd w:val="0"/>
              <w:snapToGrid/>
              <w:spacing w:line="0" w:lineRule="atLeas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b w:val="0"/>
                <w:bCs/>
                <w:sz w:val="28"/>
                <w:szCs w:val="28"/>
              </w:rPr>
              <w:t>质量保障措施</w:t>
            </w:r>
          </w:p>
        </w:tc>
        <w:tc>
          <w:tcPr>
            <w:tcW w:w="438" w:type="pct"/>
            <w:vAlign w:val="center"/>
          </w:tcPr>
          <w:p w14:paraId="70DD687D">
            <w:pPr>
              <w:keepNext w:val="0"/>
              <w:keepLines w:val="0"/>
              <w:pageBreakBefore w:val="0"/>
              <w:widowControl/>
              <w:kinsoku/>
              <w:wordWrap/>
              <w:overflowPunct/>
              <w:topLinePunct w:val="0"/>
              <w:autoSpaceDE w:val="0"/>
              <w:autoSpaceDN w:val="0"/>
              <w:bidi w:val="0"/>
              <w:adjustRightInd w:val="0"/>
              <w:snapToGrid/>
              <w:spacing w:line="0" w:lineRule="atLeast"/>
              <w:jc w:val="center"/>
              <w:textAlignment w:val="auto"/>
              <w:rPr>
                <w:rFonts w:hint="default" w:ascii="仿宋" w:hAnsi="仿宋" w:eastAsia="仿宋" w:cs="仿宋"/>
                <w:color w:val="auto"/>
                <w:sz w:val="28"/>
                <w:szCs w:val="28"/>
                <w:highlight w:val="none"/>
                <w:lang w:val="en-US" w:eastAsia="zh-CN" w:bidi="ar"/>
              </w:rPr>
            </w:pPr>
            <w:r>
              <w:rPr>
                <w:rFonts w:hint="eastAsia" w:ascii="仿宋" w:hAnsi="仿宋" w:eastAsia="仿宋" w:cs="仿宋"/>
                <w:sz w:val="28"/>
                <w:szCs w:val="28"/>
                <w:lang w:val="en-US" w:eastAsia="zh-CN"/>
              </w:rPr>
              <w:t>8</w:t>
            </w:r>
          </w:p>
        </w:tc>
        <w:tc>
          <w:tcPr>
            <w:tcW w:w="3007" w:type="pct"/>
            <w:vAlign w:val="center"/>
          </w:tcPr>
          <w:p w14:paraId="2C64EC81">
            <w:pPr>
              <w:keepNext w:val="0"/>
              <w:keepLines w:val="0"/>
              <w:pageBreakBefore w:val="0"/>
              <w:widowControl/>
              <w:numPr>
                <w:ilvl w:val="0"/>
                <w:numId w:val="0"/>
              </w:numPr>
              <w:kinsoku/>
              <w:wordWrap/>
              <w:overflowPunct/>
              <w:topLinePunct w:val="0"/>
              <w:autoSpaceDE w:val="0"/>
              <w:autoSpaceDN w:val="0"/>
              <w:bidi w:val="0"/>
              <w:adjustRightInd w:val="0"/>
              <w:snapToGrid w:val="0"/>
              <w:spacing w:line="0" w:lineRule="atLeast"/>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评审标准：</w:t>
            </w:r>
          </w:p>
          <w:p w14:paraId="43F4D572">
            <w:pPr>
              <w:keepNext w:val="0"/>
              <w:keepLines w:val="0"/>
              <w:pageBreakBefore w:val="0"/>
              <w:widowControl/>
              <w:kinsoku/>
              <w:wordWrap/>
              <w:overflowPunct/>
              <w:topLinePunct w:val="0"/>
              <w:autoSpaceDE w:val="0"/>
              <w:autoSpaceDN w:val="0"/>
              <w:bidi w:val="0"/>
              <w:adjustRightInd w:val="0"/>
              <w:snapToGrid/>
              <w:spacing w:line="0" w:lineRule="atLeast"/>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评审考核内容：</w:t>
            </w:r>
            <w:r>
              <w:rPr>
                <w:rFonts w:hint="eastAsia" w:ascii="仿宋" w:hAnsi="仿宋" w:eastAsia="仿宋" w:cs="仿宋"/>
                <w:bCs/>
                <w:sz w:val="28"/>
                <w:szCs w:val="28"/>
              </w:rPr>
              <w:t>供应商根据文件要求，制定</w:t>
            </w:r>
            <w:r>
              <w:rPr>
                <w:rFonts w:hint="eastAsia" w:ascii="仿宋" w:hAnsi="仿宋" w:eastAsia="仿宋" w:cs="仿宋"/>
                <w:b w:val="0"/>
                <w:bCs/>
                <w:sz w:val="28"/>
                <w:szCs w:val="28"/>
              </w:rPr>
              <w:t>质量保障措施</w:t>
            </w:r>
            <w:r>
              <w:rPr>
                <w:rFonts w:hint="eastAsia" w:ascii="仿宋" w:hAnsi="仿宋" w:eastAsia="仿宋" w:cs="仿宋"/>
                <w:bCs/>
                <w:sz w:val="28"/>
                <w:szCs w:val="28"/>
              </w:rPr>
              <w:t>，内容包括但不限于：</w:t>
            </w:r>
          </w:p>
          <w:p w14:paraId="6111C125">
            <w:pPr>
              <w:keepNext w:val="0"/>
              <w:keepLines w:val="0"/>
              <w:pageBreakBefore w:val="0"/>
              <w:widowControl/>
              <w:kinsoku/>
              <w:wordWrap/>
              <w:overflowPunct/>
              <w:topLinePunct w:val="0"/>
              <w:autoSpaceDE w:val="0"/>
              <w:autoSpaceDN w:val="0"/>
              <w:bidi w:val="0"/>
              <w:adjustRightInd w:val="0"/>
              <w:snapToGrid/>
              <w:spacing w:line="0" w:lineRule="atLeast"/>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highlight w:val="none"/>
                <w:lang w:val="en-US" w:eastAsia="zh-CN"/>
              </w:rPr>
              <w:t>①工作质量保障措施</w:t>
            </w:r>
            <w:r>
              <w:rPr>
                <w:rFonts w:hint="eastAsia" w:ascii="仿宋" w:hAnsi="仿宋" w:eastAsia="仿宋" w:cs="仿宋"/>
                <w:sz w:val="28"/>
                <w:szCs w:val="28"/>
                <w:lang w:val="en-US" w:eastAsia="zh-CN"/>
              </w:rPr>
              <w:t>；</w:t>
            </w:r>
            <w:r>
              <w:rPr>
                <w:rFonts w:hint="eastAsia" w:ascii="仿宋" w:hAnsi="仿宋" w:eastAsia="仿宋" w:cs="仿宋"/>
                <w:sz w:val="28"/>
                <w:szCs w:val="28"/>
                <w:highlight w:val="none"/>
                <w:lang w:val="en-US" w:eastAsia="zh-CN"/>
              </w:rPr>
              <w:t>②工作管理制度措施等</w:t>
            </w:r>
            <w:r>
              <w:rPr>
                <w:rFonts w:hint="eastAsia" w:ascii="仿宋" w:hAnsi="仿宋" w:eastAsia="仿宋" w:cs="仿宋"/>
                <w:sz w:val="28"/>
                <w:szCs w:val="28"/>
                <w:lang w:val="en-US" w:eastAsia="zh-CN"/>
              </w:rPr>
              <w:t>；</w:t>
            </w:r>
          </w:p>
          <w:p w14:paraId="41EE2583">
            <w:pPr>
              <w:keepNext w:val="0"/>
              <w:keepLines w:val="0"/>
              <w:pageBreakBefore w:val="0"/>
              <w:widowControl/>
              <w:numPr>
                <w:ilvl w:val="0"/>
                <w:numId w:val="0"/>
              </w:numPr>
              <w:kinsoku/>
              <w:wordWrap/>
              <w:overflowPunct/>
              <w:topLinePunct w:val="0"/>
              <w:autoSpaceDE w:val="0"/>
              <w:autoSpaceDN w:val="0"/>
              <w:bidi w:val="0"/>
              <w:adjustRightInd w:val="0"/>
              <w:snapToGrid w:val="0"/>
              <w:spacing w:line="0" w:lineRule="atLeast"/>
              <w:ind w:left="0" w:leftChars="0" w:firstLine="0" w:firstLineChars="0"/>
              <w:jc w:val="both"/>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2</w:t>
            </w:r>
            <w:r>
              <w:rPr>
                <w:rFonts w:hint="eastAsia" w:ascii="仿宋" w:hAnsi="仿宋" w:eastAsia="仿宋" w:cs="仿宋"/>
                <w:sz w:val="28"/>
                <w:szCs w:val="28"/>
                <w:lang w:val="en-US" w:eastAsia="zh-CN"/>
              </w:rPr>
              <w:t>.</w:t>
            </w:r>
            <w:r>
              <w:rPr>
                <w:rFonts w:hint="eastAsia" w:ascii="仿宋" w:hAnsi="仿宋" w:eastAsia="仿宋" w:cs="仿宋"/>
                <w:sz w:val="28"/>
                <w:szCs w:val="28"/>
                <w:lang w:val="zh-CN" w:eastAsia="zh-CN"/>
              </w:rPr>
              <w:t>评审</w:t>
            </w:r>
            <w:r>
              <w:rPr>
                <w:rFonts w:hint="eastAsia" w:ascii="仿宋" w:hAnsi="仿宋" w:eastAsia="仿宋" w:cs="仿宋"/>
                <w:color w:val="000000"/>
                <w:sz w:val="28"/>
                <w:szCs w:val="28"/>
                <w:lang w:val="en-US"/>
              </w:rPr>
              <w:t>指标</w:t>
            </w:r>
            <w:r>
              <w:rPr>
                <w:rFonts w:hint="eastAsia" w:ascii="仿宋" w:hAnsi="仿宋" w:eastAsia="仿宋" w:cs="仿宋"/>
                <w:sz w:val="28"/>
                <w:szCs w:val="28"/>
                <w:lang w:val="zh-CN" w:eastAsia="zh-CN"/>
              </w:rPr>
              <w:t>：</w:t>
            </w:r>
          </w:p>
          <w:p w14:paraId="00D934D1">
            <w:pPr>
              <w:keepNext w:val="0"/>
              <w:keepLines w:val="0"/>
              <w:pageBreakBefore w:val="0"/>
              <w:kinsoku/>
              <w:wordWrap/>
              <w:overflowPunct/>
              <w:topLinePunct w:val="0"/>
              <w:bidi w:val="0"/>
              <w:snapToGrid/>
              <w:spacing w:line="0" w:lineRule="atLeast"/>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rPr>
              <w:t>①符合度：是否进行充分响应，</w:t>
            </w:r>
            <w:r>
              <w:rPr>
                <w:rFonts w:hint="eastAsia" w:ascii="仿宋" w:hAnsi="仿宋" w:eastAsia="仿宋" w:cs="仿宋"/>
                <w:color w:val="000000"/>
                <w:sz w:val="28"/>
                <w:szCs w:val="28"/>
                <w:lang w:val="en-US" w:eastAsia="zh-CN"/>
              </w:rPr>
              <w:t>是否</w:t>
            </w:r>
            <w:r>
              <w:rPr>
                <w:rFonts w:hint="eastAsia" w:ascii="仿宋" w:hAnsi="仿宋" w:eastAsia="仿宋" w:cs="仿宋"/>
                <w:color w:val="000000"/>
                <w:sz w:val="28"/>
                <w:szCs w:val="28"/>
                <w:lang w:val="en-US"/>
              </w:rPr>
              <w:t>提供与本评</w:t>
            </w:r>
            <w:r>
              <w:rPr>
                <w:rFonts w:hint="eastAsia" w:ascii="仿宋" w:hAnsi="仿宋" w:eastAsia="仿宋" w:cs="仿宋"/>
                <w:color w:val="000000"/>
                <w:sz w:val="28"/>
                <w:szCs w:val="28"/>
                <w:lang w:val="en-US" w:eastAsia="zh-CN"/>
              </w:rPr>
              <w:t>审</w:t>
            </w:r>
            <w:r>
              <w:rPr>
                <w:rFonts w:hint="eastAsia" w:ascii="仿宋" w:hAnsi="仿宋" w:eastAsia="仿宋" w:cs="仿宋"/>
                <w:color w:val="000000"/>
                <w:sz w:val="28"/>
                <w:szCs w:val="28"/>
                <w:lang w:val="en-US"/>
              </w:rPr>
              <w:t>项无关内容；</w:t>
            </w:r>
          </w:p>
          <w:p w14:paraId="4C68D549">
            <w:pPr>
              <w:keepNext w:val="0"/>
              <w:keepLines w:val="0"/>
              <w:pageBreakBefore w:val="0"/>
              <w:kinsoku/>
              <w:wordWrap/>
              <w:overflowPunct/>
              <w:topLinePunct w:val="0"/>
              <w:bidi w:val="0"/>
              <w:snapToGrid/>
              <w:spacing w:line="0" w:lineRule="atLeast"/>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rPr>
              <w:t>②完整性：需结合整体需求，进行全方面的描述，</w:t>
            </w:r>
            <w:r>
              <w:rPr>
                <w:rFonts w:hint="eastAsia" w:ascii="仿宋" w:hAnsi="仿宋" w:eastAsia="仿宋" w:cs="仿宋"/>
                <w:color w:val="000000"/>
                <w:sz w:val="28"/>
                <w:szCs w:val="28"/>
                <w:lang w:val="en-US" w:eastAsia="zh-CN"/>
              </w:rPr>
              <w:t>是否</w:t>
            </w:r>
            <w:r>
              <w:rPr>
                <w:rFonts w:hint="eastAsia" w:ascii="仿宋" w:hAnsi="仿宋" w:eastAsia="仿宋" w:cs="仿宋"/>
                <w:color w:val="000000"/>
                <w:sz w:val="28"/>
                <w:szCs w:val="28"/>
                <w:lang w:val="en-US"/>
              </w:rPr>
              <w:t>缺项；</w:t>
            </w:r>
          </w:p>
          <w:p w14:paraId="3CBACED8">
            <w:pPr>
              <w:keepNext w:val="0"/>
              <w:keepLines w:val="0"/>
              <w:pageBreakBefore w:val="0"/>
              <w:kinsoku/>
              <w:wordWrap/>
              <w:overflowPunct/>
              <w:topLinePunct w:val="0"/>
              <w:bidi w:val="0"/>
              <w:snapToGrid/>
              <w:spacing w:line="0" w:lineRule="atLeast"/>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rPr>
              <w:t>③合理性：需依据本项目阐述，具有可执行性。</w:t>
            </w:r>
          </w:p>
          <w:p w14:paraId="03CF0D0E">
            <w:pPr>
              <w:keepNext w:val="0"/>
              <w:keepLines w:val="0"/>
              <w:pageBreakBefore w:val="0"/>
              <w:widowControl/>
              <w:kinsoku/>
              <w:wordWrap/>
              <w:overflowPunct/>
              <w:topLinePunct w:val="0"/>
              <w:autoSpaceDE/>
              <w:autoSpaceDN/>
              <w:bidi w:val="0"/>
              <w:snapToGrid/>
              <w:spacing w:line="0" w:lineRule="atLeast"/>
              <w:jc w:val="both"/>
              <w:textAlignment w:val="auto"/>
              <w:rPr>
                <w:rFonts w:hint="eastAsia" w:ascii="仿宋" w:hAnsi="仿宋" w:eastAsia="仿宋" w:cs="仿宋"/>
                <w:color w:val="auto"/>
                <w:sz w:val="28"/>
                <w:szCs w:val="28"/>
                <w:highlight w:val="none"/>
                <w:lang w:val="en-US" w:eastAsia="zh-CN" w:bidi="ar"/>
              </w:rPr>
            </w:pPr>
            <w:r>
              <w:rPr>
                <w:rFonts w:hint="eastAsia" w:ascii="仿宋" w:hAnsi="仿宋" w:eastAsia="仿宋" w:cs="仿宋"/>
                <w:color w:val="000000"/>
                <w:sz w:val="28"/>
                <w:szCs w:val="28"/>
                <w:lang w:val="en-US"/>
              </w:rPr>
              <w:t>内容完全满足以上</w:t>
            </w:r>
            <w:r>
              <w:rPr>
                <w:rFonts w:hint="eastAsia" w:ascii="仿宋" w:hAnsi="仿宋" w:eastAsia="仿宋" w:cs="仿宋"/>
                <w:sz w:val="28"/>
                <w:szCs w:val="28"/>
                <w:lang w:val="zh-CN" w:eastAsia="zh-CN"/>
              </w:rPr>
              <w:t>评审标准</w:t>
            </w:r>
            <w:r>
              <w:rPr>
                <w:rFonts w:hint="eastAsia" w:ascii="仿宋" w:hAnsi="仿宋" w:eastAsia="仿宋" w:cs="仿宋"/>
                <w:color w:val="000000"/>
                <w:sz w:val="28"/>
                <w:szCs w:val="28"/>
                <w:lang w:val="en-US"/>
              </w:rPr>
              <w:t>的得</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lang w:val="en-US"/>
              </w:rPr>
              <w:t>分，每缺少一项</w:t>
            </w:r>
            <w:r>
              <w:rPr>
                <w:rFonts w:hint="eastAsia" w:ascii="仿宋" w:hAnsi="仿宋" w:eastAsia="仿宋" w:cs="仿宋"/>
                <w:sz w:val="28"/>
                <w:szCs w:val="28"/>
                <w:lang w:val="zh-CN" w:eastAsia="zh-CN"/>
              </w:rPr>
              <w:t>评审考核</w:t>
            </w:r>
            <w:r>
              <w:rPr>
                <w:rFonts w:hint="eastAsia" w:ascii="仿宋" w:hAnsi="仿宋" w:eastAsia="仿宋" w:cs="仿宋"/>
                <w:color w:val="000000"/>
                <w:sz w:val="28"/>
                <w:szCs w:val="28"/>
                <w:lang w:val="en-US"/>
              </w:rPr>
              <w:t>内容扣</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val="en-US"/>
              </w:rPr>
              <w:t>分，每项</w:t>
            </w:r>
            <w:r>
              <w:rPr>
                <w:rFonts w:hint="eastAsia" w:ascii="仿宋" w:hAnsi="仿宋" w:eastAsia="仿宋" w:cs="仿宋"/>
                <w:sz w:val="28"/>
                <w:szCs w:val="28"/>
                <w:lang w:val="zh-CN" w:eastAsia="zh-CN"/>
              </w:rPr>
              <w:t>评审</w:t>
            </w:r>
            <w:r>
              <w:rPr>
                <w:rFonts w:hint="eastAsia" w:ascii="仿宋" w:hAnsi="仿宋" w:eastAsia="仿宋" w:cs="仿宋"/>
                <w:color w:val="000000"/>
                <w:sz w:val="28"/>
                <w:szCs w:val="28"/>
                <w:lang w:val="en-US"/>
              </w:rPr>
              <w:t>指标中存在缺陷的每处扣1分，扣完为止；未响应或未提供的得0分。</w:t>
            </w:r>
          </w:p>
        </w:tc>
      </w:tr>
      <w:tr w14:paraId="5D73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44" w:type="pct"/>
            <w:vMerge w:val="continue"/>
            <w:vAlign w:val="center"/>
          </w:tcPr>
          <w:p w14:paraId="53B9414C">
            <w:pPr>
              <w:pStyle w:val="31"/>
              <w:snapToGrid w:val="0"/>
              <w:spacing w:line="0" w:lineRule="atLeast"/>
              <w:rPr>
                <w:rFonts w:hint="eastAsia" w:ascii="仿宋" w:hAnsi="仿宋" w:eastAsia="仿宋" w:cs="仿宋"/>
                <w:sz w:val="28"/>
                <w:szCs w:val="28"/>
              </w:rPr>
            </w:pPr>
          </w:p>
        </w:tc>
        <w:tc>
          <w:tcPr>
            <w:tcW w:w="810" w:type="pct"/>
            <w:tcBorders>
              <w:top w:val="single" w:color="auto" w:sz="4" w:space="0"/>
            </w:tcBorders>
            <w:vAlign w:val="center"/>
          </w:tcPr>
          <w:p w14:paraId="11C117D9">
            <w:pPr>
              <w:keepNext w:val="0"/>
              <w:keepLines w:val="0"/>
              <w:pageBreakBefore w:val="0"/>
              <w:widowControl/>
              <w:kinsoku/>
              <w:wordWrap/>
              <w:overflowPunct/>
              <w:topLinePunct w:val="0"/>
              <w:bidi w:val="0"/>
              <w:snapToGrid/>
              <w:spacing w:line="0" w:lineRule="atLeast"/>
              <w:jc w:val="center"/>
              <w:textAlignment w:val="auto"/>
              <w:rPr>
                <w:rFonts w:hint="eastAsia" w:ascii="仿宋" w:hAnsi="仿宋" w:eastAsia="仿宋" w:cs="仿宋"/>
                <w:sz w:val="28"/>
                <w:szCs w:val="28"/>
              </w:rPr>
            </w:pPr>
            <w:r>
              <w:rPr>
                <w:rFonts w:hint="eastAsia" w:ascii="仿宋" w:hAnsi="仿宋" w:eastAsia="仿宋" w:cs="仿宋"/>
                <w:sz w:val="28"/>
                <w:szCs w:val="28"/>
                <w:lang w:val="en-US" w:bidi="zh-CN"/>
              </w:rPr>
              <w:t>服务</w:t>
            </w:r>
            <w:r>
              <w:rPr>
                <w:rFonts w:hint="eastAsia" w:ascii="仿宋" w:hAnsi="仿宋" w:eastAsia="仿宋" w:cs="仿宋"/>
                <w:sz w:val="28"/>
                <w:szCs w:val="28"/>
                <w:lang w:bidi="zh-CN"/>
              </w:rPr>
              <w:t>方案</w:t>
            </w:r>
          </w:p>
        </w:tc>
        <w:tc>
          <w:tcPr>
            <w:tcW w:w="438" w:type="pct"/>
            <w:vAlign w:val="center"/>
          </w:tcPr>
          <w:p w14:paraId="270224E9">
            <w:pPr>
              <w:keepNext w:val="0"/>
              <w:keepLines w:val="0"/>
              <w:pageBreakBefore w:val="0"/>
              <w:widowControl/>
              <w:kinsoku/>
              <w:wordWrap/>
              <w:overflowPunct/>
              <w:topLinePunct w:val="0"/>
              <w:autoSpaceDE w:val="0"/>
              <w:autoSpaceDN w:val="0"/>
              <w:bidi w:val="0"/>
              <w:adjustRightInd w:val="0"/>
              <w:snapToGrid/>
              <w:spacing w:line="0" w:lineRule="atLeast"/>
              <w:jc w:val="center"/>
              <w:textAlignment w:val="auto"/>
              <w:rPr>
                <w:rFonts w:hint="default" w:ascii="仿宋" w:hAnsi="仿宋" w:eastAsia="仿宋" w:cs="仿宋"/>
                <w:sz w:val="28"/>
                <w:szCs w:val="28"/>
                <w:lang w:val="en-US" w:eastAsia="zh-CN"/>
              </w:rPr>
            </w:pPr>
            <w:r>
              <w:rPr>
                <w:rFonts w:hint="eastAsia" w:ascii="仿宋" w:hAnsi="仿宋" w:eastAsia="仿宋" w:cs="仿宋"/>
                <w:color w:val="000000"/>
                <w:sz w:val="28"/>
                <w:szCs w:val="28"/>
                <w:lang w:val="en-US" w:eastAsia="zh-CN"/>
              </w:rPr>
              <w:t>12</w:t>
            </w:r>
          </w:p>
        </w:tc>
        <w:tc>
          <w:tcPr>
            <w:tcW w:w="3007" w:type="pct"/>
            <w:vAlign w:val="center"/>
          </w:tcPr>
          <w:p w14:paraId="255131AA">
            <w:pPr>
              <w:keepNext w:val="0"/>
              <w:keepLines w:val="0"/>
              <w:pageBreakBefore w:val="0"/>
              <w:widowControl/>
              <w:numPr>
                <w:ilvl w:val="0"/>
                <w:numId w:val="0"/>
              </w:numPr>
              <w:kinsoku/>
              <w:wordWrap/>
              <w:overflowPunct/>
              <w:topLinePunct w:val="0"/>
              <w:autoSpaceDE w:val="0"/>
              <w:autoSpaceDN w:val="0"/>
              <w:bidi w:val="0"/>
              <w:adjustRightInd w:val="0"/>
              <w:snapToGrid w:val="0"/>
              <w:spacing w:line="0" w:lineRule="atLeast"/>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评审标准：</w:t>
            </w:r>
          </w:p>
          <w:p w14:paraId="6D772A72">
            <w:pPr>
              <w:keepNext w:val="0"/>
              <w:keepLines w:val="0"/>
              <w:pageBreakBefore w:val="0"/>
              <w:widowControl/>
              <w:kinsoku/>
              <w:wordWrap/>
              <w:overflowPunct/>
              <w:topLinePunct w:val="0"/>
              <w:autoSpaceDE w:val="0"/>
              <w:autoSpaceDN w:val="0"/>
              <w:bidi w:val="0"/>
              <w:adjustRightInd w:val="0"/>
              <w:snapToGrid/>
              <w:spacing w:line="0" w:lineRule="atLeast"/>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评审考核内容：</w:t>
            </w:r>
            <w:r>
              <w:rPr>
                <w:rFonts w:hint="eastAsia" w:ascii="仿宋" w:hAnsi="仿宋" w:eastAsia="仿宋" w:cs="仿宋"/>
                <w:bCs/>
                <w:sz w:val="28"/>
                <w:szCs w:val="28"/>
              </w:rPr>
              <w:t>供应商根据文件要求，制定服务方案，内容包括但不限于：</w:t>
            </w:r>
          </w:p>
          <w:p w14:paraId="4B3E6B57">
            <w:pPr>
              <w:keepNext w:val="0"/>
              <w:keepLines w:val="0"/>
              <w:pageBreakBefore w:val="0"/>
              <w:widowControl/>
              <w:kinsoku/>
              <w:wordWrap/>
              <w:overflowPunct/>
              <w:topLinePunct w:val="0"/>
              <w:autoSpaceDE w:val="0"/>
              <w:autoSpaceDN w:val="0"/>
              <w:bidi w:val="0"/>
              <w:adjustRightInd w:val="0"/>
              <w:snapToGrid/>
              <w:spacing w:line="0" w:lineRule="atLeast"/>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highlight w:val="none"/>
                <w:lang w:val="en-US" w:eastAsia="zh-CN"/>
              </w:rPr>
              <w:t>①</w:t>
            </w:r>
            <w:r>
              <w:rPr>
                <w:rFonts w:hint="eastAsia" w:ascii="仿宋" w:hAnsi="仿宋" w:eastAsia="仿宋" w:cs="仿宋"/>
                <w:color w:val="000000"/>
                <w:kern w:val="2"/>
                <w:sz w:val="28"/>
                <w:szCs w:val="28"/>
                <w:highlight w:val="none"/>
                <w:lang w:val="en-US"/>
              </w:rPr>
              <w:t>服务响应时间</w:t>
            </w:r>
            <w:r>
              <w:rPr>
                <w:rFonts w:hint="eastAsia" w:ascii="仿宋" w:hAnsi="仿宋" w:eastAsia="仿宋" w:cs="仿宋"/>
                <w:sz w:val="28"/>
                <w:szCs w:val="28"/>
                <w:lang w:val="en-US" w:eastAsia="zh-CN"/>
              </w:rPr>
              <w:t>；</w:t>
            </w:r>
            <w:r>
              <w:rPr>
                <w:rFonts w:hint="eastAsia" w:ascii="仿宋" w:hAnsi="仿宋" w:eastAsia="仿宋" w:cs="仿宋"/>
                <w:sz w:val="28"/>
                <w:szCs w:val="28"/>
                <w:highlight w:val="none"/>
                <w:lang w:val="en-US" w:eastAsia="zh-CN"/>
              </w:rPr>
              <w:t>②</w:t>
            </w:r>
            <w:r>
              <w:rPr>
                <w:rFonts w:hint="eastAsia" w:ascii="仿宋" w:hAnsi="仿宋" w:eastAsia="仿宋" w:cs="仿宋"/>
                <w:color w:val="000000"/>
                <w:kern w:val="2"/>
                <w:sz w:val="28"/>
                <w:szCs w:val="28"/>
                <w:highlight w:val="none"/>
                <w:lang w:val="en-US"/>
              </w:rPr>
              <w:t>处理速度</w:t>
            </w:r>
            <w:r>
              <w:rPr>
                <w:rFonts w:hint="eastAsia" w:ascii="仿宋" w:hAnsi="仿宋" w:eastAsia="仿宋" w:cs="仿宋"/>
                <w:sz w:val="28"/>
                <w:szCs w:val="28"/>
                <w:lang w:val="en-US" w:eastAsia="zh-CN"/>
              </w:rPr>
              <w:t>；</w:t>
            </w: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 = 3 \* GB3 \* MERGEFORMAT </w:instrText>
            </w:r>
            <w:r>
              <w:rPr>
                <w:rFonts w:hint="eastAsia" w:ascii="仿宋" w:hAnsi="仿宋" w:eastAsia="仿宋" w:cs="仿宋"/>
                <w:sz w:val="28"/>
                <w:szCs w:val="28"/>
                <w:highlight w:val="none"/>
                <w:lang w:val="en-US" w:eastAsia="zh-CN"/>
              </w:rPr>
              <w:fldChar w:fldCharType="separate"/>
            </w:r>
            <w:r>
              <w:rPr>
                <w:rFonts w:hint="eastAsia" w:ascii="仿宋" w:hAnsi="仿宋" w:eastAsia="仿宋" w:cs="仿宋"/>
                <w:sz w:val="28"/>
                <w:szCs w:val="28"/>
                <w:highlight w:val="none"/>
                <w:lang w:eastAsia="zh-CN"/>
              </w:rPr>
              <w:t>③</w:t>
            </w:r>
            <w:r>
              <w:rPr>
                <w:rFonts w:hint="eastAsia" w:ascii="仿宋" w:hAnsi="仿宋" w:eastAsia="仿宋" w:cs="仿宋"/>
                <w:sz w:val="28"/>
                <w:szCs w:val="28"/>
                <w:highlight w:val="none"/>
                <w:lang w:val="en-US" w:eastAsia="zh-CN"/>
              </w:rPr>
              <w:fldChar w:fldCharType="end"/>
            </w:r>
            <w:r>
              <w:rPr>
                <w:rFonts w:hint="eastAsia" w:ascii="仿宋" w:hAnsi="仿宋" w:eastAsia="仿宋" w:cs="仿宋"/>
                <w:color w:val="000000"/>
                <w:kern w:val="2"/>
                <w:sz w:val="28"/>
                <w:szCs w:val="28"/>
                <w:highlight w:val="none"/>
                <w:lang w:val="en-US"/>
              </w:rPr>
              <w:t>技术支持等详细服务</w:t>
            </w:r>
            <w:r>
              <w:rPr>
                <w:rFonts w:hint="eastAsia" w:ascii="仿宋" w:hAnsi="仿宋" w:eastAsia="仿宋" w:cs="仿宋"/>
                <w:color w:val="000000"/>
                <w:kern w:val="2"/>
                <w:sz w:val="28"/>
                <w:szCs w:val="28"/>
                <w:highlight w:val="none"/>
                <w:lang w:val="en-US" w:eastAsia="zh-CN"/>
              </w:rPr>
              <w:t>；</w:t>
            </w:r>
            <w:r>
              <w:rPr>
                <w:rFonts w:hint="eastAsia" w:ascii="仿宋" w:hAnsi="仿宋" w:eastAsia="仿宋" w:cs="仿宋"/>
                <w:bCs/>
                <w:sz w:val="28"/>
                <w:szCs w:val="28"/>
                <w:lang w:val="zh-CN" w:eastAsia="zh-CN"/>
              </w:rPr>
              <w:fldChar w:fldCharType="begin"/>
            </w:r>
            <w:r>
              <w:rPr>
                <w:rFonts w:hint="eastAsia" w:ascii="仿宋" w:hAnsi="仿宋" w:eastAsia="仿宋" w:cs="仿宋"/>
                <w:bCs/>
                <w:sz w:val="28"/>
                <w:szCs w:val="28"/>
                <w:lang w:val="zh-CN" w:eastAsia="zh-CN"/>
              </w:rPr>
              <w:instrText xml:space="preserve"> = 4 \* GB3 \* MERGEFORMAT </w:instrText>
            </w:r>
            <w:r>
              <w:rPr>
                <w:rFonts w:hint="eastAsia" w:ascii="仿宋" w:hAnsi="仿宋" w:eastAsia="仿宋" w:cs="仿宋"/>
                <w:bCs/>
                <w:sz w:val="28"/>
                <w:szCs w:val="28"/>
                <w:lang w:val="zh-CN" w:eastAsia="zh-CN"/>
              </w:rPr>
              <w:fldChar w:fldCharType="separate"/>
            </w:r>
            <w:r>
              <w:rPr>
                <w:rFonts w:ascii="仿宋" w:hAnsi="仿宋" w:eastAsia="仿宋" w:cs="仿宋"/>
                <w:bCs/>
                <w:sz w:val="28"/>
                <w:szCs w:val="28"/>
              </w:rPr>
              <w:t>④</w:t>
            </w:r>
            <w:r>
              <w:rPr>
                <w:rFonts w:hint="eastAsia" w:ascii="仿宋" w:hAnsi="仿宋" w:eastAsia="仿宋" w:cs="仿宋"/>
                <w:bCs/>
                <w:sz w:val="28"/>
                <w:szCs w:val="28"/>
                <w:lang w:val="zh-CN" w:eastAsia="zh-CN"/>
              </w:rPr>
              <w:fldChar w:fldCharType="end"/>
            </w:r>
            <w:r>
              <w:rPr>
                <w:rFonts w:hint="eastAsia" w:ascii="仿宋" w:hAnsi="仿宋" w:eastAsia="仿宋" w:cs="仿宋"/>
                <w:color w:val="000000"/>
                <w:kern w:val="2"/>
                <w:sz w:val="28"/>
                <w:szCs w:val="28"/>
                <w:highlight w:val="none"/>
                <w:lang w:val="en-US"/>
              </w:rPr>
              <w:t>台账与影像资料记录方案及内控制度</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lang w:val="en-US" w:eastAsia="zh-CN"/>
              </w:rPr>
              <w:t>；</w:t>
            </w:r>
          </w:p>
          <w:p w14:paraId="4BA12491">
            <w:pPr>
              <w:keepNext w:val="0"/>
              <w:keepLines w:val="0"/>
              <w:pageBreakBefore w:val="0"/>
              <w:widowControl/>
              <w:numPr>
                <w:ilvl w:val="0"/>
                <w:numId w:val="0"/>
              </w:numPr>
              <w:kinsoku/>
              <w:wordWrap/>
              <w:overflowPunct/>
              <w:topLinePunct w:val="0"/>
              <w:autoSpaceDE w:val="0"/>
              <w:autoSpaceDN w:val="0"/>
              <w:bidi w:val="0"/>
              <w:adjustRightInd w:val="0"/>
              <w:snapToGrid w:val="0"/>
              <w:spacing w:line="0" w:lineRule="atLeast"/>
              <w:ind w:left="0" w:leftChars="0" w:firstLine="0" w:firstLineChars="0"/>
              <w:jc w:val="both"/>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2</w:t>
            </w:r>
            <w:r>
              <w:rPr>
                <w:rFonts w:hint="eastAsia" w:ascii="仿宋" w:hAnsi="仿宋" w:eastAsia="仿宋" w:cs="仿宋"/>
                <w:sz w:val="28"/>
                <w:szCs w:val="28"/>
                <w:lang w:val="en-US" w:eastAsia="zh-CN"/>
              </w:rPr>
              <w:t>.</w:t>
            </w:r>
            <w:r>
              <w:rPr>
                <w:rFonts w:hint="eastAsia" w:ascii="仿宋" w:hAnsi="仿宋" w:eastAsia="仿宋" w:cs="仿宋"/>
                <w:sz w:val="28"/>
                <w:szCs w:val="28"/>
                <w:lang w:val="zh-CN" w:eastAsia="zh-CN"/>
              </w:rPr>
              <w:t>评审</w:t>
            </w:r>
            <w:r>
              <w:rPr>
                <w:rFonts w:hint="eastAsia" w:ascii="仿宋" w:hAnsi="仿宋" w:eastAsia="仿宋" w:cs="仿宋"/>
                <w:color w:val="000000"/>
                <w:sz w:val="28"/>
                <w:szCs w:val="28"/>
                <w:lang w:val="en-US"/>
              </w:rPr>
              <w:t>指标</w:t>
            </w:r>
            <w:r>
              <w:rPr>
                <w:rFonts w:hint="eastAsia" w:ascii="仿宋" w:hAnsi="仿宋" w:eastAsia="仿宋" w:cs="仿宋"/>
                <w:sz w:val="28"/>
                <w:szCs w:val="28"/>
                <w:lang w:val="zh-CN" w:eastAsia="zh-CN"/>
              </w:rPr>
              <w:t>：</w:t>
            </w:r>
          </w:p>
          <w:p w14:paraId="7714A2AE">
            <w:pPr>
              <w:keepNext w:val="0"/>
              <w:keepLines w:val="0"/>
              <w:pageBreakBefore w:val="0"/>
              <w:kinsoku/>
              <w:wordWrap/>
              <w:overflowPunct/>
              <w:topLinePunct w:val="0"/>
              <w:bidi w:val="0"/>
              <w:snapToGrid/>
              <w:spacing w:line="0" w:lineRule="atLeast"/>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rPr>
              <w:t>①符合度：是否进行充分响应，</w:t>
            </w:r>
            <w:r>
              <w:rPr>
                <w:rFonts w:hint="eastAsia" w:ascii="仿宋" w:hAnsi="仿宋" w:eastAsia="仿宋" w:cs="仿宋"/>
                <w:color w:val="000000"/>
                <w:sz w:val="28"/>
                <w:szCs w:val="28"/>
                <w:lang w:val="en-US" w:eastAsia="zh-CN"/>
              </w:rPr>
              <w:t>是否</w:t>
            </w:r>
            <w:r>
              <w:rPr>
                <w:rFonts w:hint="eastAsia" w:ascii="仿宋" w:hAnsi="仿宋" w:eastAsia="仿宋" w:cs="仿宋"/>
                <w:color w:val="000000"/>
                <w:sz w:val="28"/>
                <w:szCs w:val="28"/>
                <w:lang w:val="en-US"/>
              </w:rPr>
              <w:t>提供与本评</w:t>
            </w:r>
            <w:r>
              <w:rPr>
                <w:rFonts w:hint="eastAsia" w:ascii="仿宋" w:hAnsi="仿宋" w:eastAsia="仿宋" w:cs="仿宋"/>
                <w:color w:val="000000"/>
                <w:sz w:val="28"/>
                <w:szCs w:val="28"/>
                <w:lang w:val="en-US" w:eastAsia="zh-CN"/>
              </w:rPr>
              <w:t>审</w:t>
            </w:r>
            <w:r>
              <w:rPr>
                <w:rFonts w:hint="eastAsia" w:ascii="仿宋" w:hAnsi="仿宋" w:eastAsia="仿宋" w:cs="仿宋"/>
                <w:color w:val="000000"/>
                <w:sz w:val="28"/>
                <w:szCs w:val="28"/>
                <w:lang w:val="en-US"/>
              </w:rPr>
              <w:t>项无关内容；</w:t>
            </w:r>
          </w:p>
          <w:p w14:paraId="0377E9F9">
            <w:pPr>
              <w:keepNext w:val="0"/>
              <w:keepLines w:val="0"/>
              <w:pageBreakBefore w:val="0"/>
              <w:kinsoku/>
              <w:wordWrap/>
              <w:overflowPunct/>
              <w:topLinePunct w:val="0"/>
              <w:bidi w:val="0"/>
              <w:snapToGrid/>
              <w:spacing w:line="0" w:lineRule="atLeast"/>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rPr>
              <w:t>②完整性：需结合整体需求，进行全方面的描述，</w:t>
            </w:r>
            <w:r>
              <w:rPr>
                <w:rFonts w:hint="eastAsia" w:ascii="仿宋" w:hAnsi="仿宋" w:eastAsia="仿宋" w:cs="仿宋"/>
                <w:color w:val="000000"/>
                <w:sz w:val="28"/>
                <w:szCs w:val="28"/>
                <w:lang w:val="en-US" w:eastAsia="zh-CN"/>
              </w:rPr>
              <w:t>是否</w:t>
            </w:r>
            <w:r>
              <w:rPr>
                <w:rFonts w:hint="eastAsia" w:ascii="仿宋" w:hAnsi="仿宋" w:eastAsia="仿宋" w:cs="仿宋"/>
                <w:color w:val="000000"/>
                <w:sz w:val="28"/>
                <w:szCs w:val="28"/>
                <w:lang w:val="en-US"/>
              </w:rPr>
              <w:t>缺项；</w:t>
            </w:r>
          </w:p>
          <w:p w14:paraId="4F68788C">
            <w:pPr>
              <w:keepNext w:val="0"/>
              <w:keepLines w:val="0"/>
              <w:pageBreakBefore w:val="0"/>
              <w:kinsoku/>
              <w:wordWrap/>
              <w:overflowPunct/>
              <w:topLinePunct w:val="0"/>
              <w:bidi w:val="0"/>
              <w:snapToGrid/>
              <w:spacing w:line="0" w:lineRule="atLeast"/>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rPr>
              <w:t>③合理性：需依据本项目阐述，具有可执行性。</w:t>
            </w:r>
          </w:p>
          <w:p w14:paraId="4B8B2AED">
            <w:pPr>
              <w:keepNext w:val="0"/>
              <w:keepLines w:val="0"/>
              <w:pageBreakBefore w:val="0"/>
              <w:widowControl/>
              <w:kinsoku/>
              <w:wordWrap/>
              <w:overflowPunct/>
              <w:topLinePunct w:val="0"/>
              <w:bidi w:val="0"/>
              <w:snapToGrid/>
              <w:spacing w:line="0" w:lineRule="atLeast"/>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rPr>
              <w:t>内容完全满足以上</w:t>
            </w:r>
            <w:r>
              <w:rPr>
                <w:rFonts w:hint="eastAsia" w:ascii="仿宋" w:hAnsi="仿宋" w:eastAsia="仿宋" w:cs="仿宋"/>
                <w:sz w:val="28"/>
                <w:szCs w:val="28"/>
                <w:lang w:val="zh-CN" w:eastAsia="zh-CN"/>
              </w:rPr>
              <w:t>评审标准</w:t>
            </w:r>
            <w:r>
              <w:rPr>
                <w:rFonts w:hint="eastAsia" w:ascii="仿宋" w:hAnsi="仿宋" w:eastAsia="仿宋" w:cs="仿宋"/>
                <w:color w:val="000000"/>
                <w:sz w:val="28"/>
                <w:szCs w:val="28"/>
                <w:lang w:val="en-US"/>
              </w:rPr>
              <w:t>的得</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lang w:val="en-US"/>
              </w:rPr>
              <w:t>分，每缺少一项</w:t>
            </w:r>
            <w:r>
              <w:rPr>
                <w:rFonts w:hint="eastAsia" w:ascii="仿宋" w:hAnsi="仿宋" w:eastAsia="仿宋" w:cs="仿宋"/>
                <w:sz w:val="28"/>
                <w:szCs w:val="28"/>
                <w:lang w:val="zh-CN" w:eastAsia="zh-CN"/>
              </w:rPr>
              <w:t>评审考核</w:t>
            </w:r>
            <w:r>
              <w:rPr>
                <w:rFonts w:hint="eastAsia" w:ascii="仿宋" w:hAnsi="仿宋" w:eastAsia="仿宋" w:cs="仿宋"/>
                <w:color w:val="000000"/>
                <w:sz w:val="28"/>
                <w:szCs w:val="28"/>
                <w:lang w:val="en-US"/>
              </w:rPr>
              <w:t>内容扣</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val="en-US"/>
              </w:rPr>
              <w:t>分，每项</w:t>
            </w:r>
            <w:r>
              <w:rPr>
                <w:rFonts w:hint="eastAsia" w:ascii="仿宋" w:hAnsi="仿宋" w:eastAsia="仿宋" w:cs="仿宋"/>
                <w:sz w:val="28"/>
                <w:szCs w:val="28"/>
                <w:lang w:val="zh-CN" w:eastAsia="zh-CN"/>
              </w:rPr>
              <w:t>评审</w:t>
            </w:r>
            <w:r>
              <w:rPr>
                <w:rFonts w:hint="eastAsia" w:ascii="仿宋" w:hAnsi="仿宋" w:eastAsia="仿宋" w:cs="仿宋"/>
                <w:color w:val="000000"/>
                <w:sz w:val="28"/>
                <w:szCs w:val="28"/>
                <w:lang w:val="en-US"/>
              </w:rPr>
              <w:t>指标中存在缺陷的每处扣1分，扣完为止；未响应或未提供的得0分。</w:t>
            </w:r>
          </w:p>
        </w:tc>
      </w:tr>
      <w:tr w14:paraId="164D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4" w:type="pct"/>
            <w:gridSpan w:val="2"/>
            <w:vAlign w:val="center"/>
          </w:tcPr>
          <w:p w14:paraId="0B34A1CA">
            <w:pPr>
              <w:pStyle w:val="31"/>
              <w:snapToGrid w:val="0"/>
              <w:spacing w:line="0" w:lineRule="atLeast"/>
              <w:rPr>
                <w:rFonts w:hint="eastAsia" w:ascii="仿宋" w:hAnsi="仿宋" w:eastAsia="仿宋" w:cs="仿宋"/>
                <w:sz w:val="28"/>
                <w:szCs w:val="28"/>
              </w:rPr>
            </w:pPr>
            <w:r>
              <w:rPr>
                <w:rFonts w:hint="eastAsia" w:ascii="仿宋" w:hAnsi="仿宋" w:eastAsia="仿宋" w:cs="仿宋"/>
                <w:sz w:val="28"/>
                <w:szCs w:val="28"/>
              </w:rPr>
              <w:t>合计</w:t>
            </w:r>
          </w:p>
        </w:tc>
        <w:tc>
          <w:tcPr>
            <w:tcW w:w="438" w:type="pct"/>
            <w:tcBorders>
              <w:bottom w:val="single" w:color="auto" w:sz="4" w:space="0"/>
            </w:tcBorders>
            <w:vAlign w:val="center"/>
          </w:tcPr>
          <w:p w14:paraId="71A47B37">
            <w:pPr>
              <w:pStyle w:val="31"/>
              <w:snapToGrid w:val="0"/>
              <w:spacing w:line="0" w:lineRule="atLeast"/>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=SUM(ABOVE) </w:instrText>
            </w:r>
            <w:r>
              <w:rPr>
                <w:rFonts w:hint="eastAsia" w:ascii="仿宋" w:hAnsi="仿宋" w:eastAsia="仿宋" w:cs="仿宋"/>
                <w:sz w:val="28"/>
                <w:szCs w:val="28"/>
              </w:rPr>
              <w:fldChar w:fldCharType="separate"/>
            </w:r>
            <w:r>
              <w:rPr>
                <w:rFonts w:hint="eastAsia" w:ascii="仿宋" w:hAnsi="仿宋" w:eastAsia="仿宋" w:cs="仿宋"/>
                <w:sz w:val="28"/>
                <w:szCs w:val="28"/>
              </w:rPr>
              <w:t>100</w:t>
            </w:r>
            <w:r>
              <w:rPr>
                <w:rFonts w:hint="eastAsia" w:ascii="仿宋" w:hAnsi="仿宋" w:eastAsia="仿宋" w:cs="仿宋"/>
                <w:sz w:val="28"/>
                <w:szCs w:val="28"/>
              </w:rPr>
              <w:fldChar w:fldCharType="end"/>
            </w:r>
          </w:p>
        </w:tc>
        <w:tc>
          <w:tcPr>
            <w:tcW w:w="3007" w:type="pct"/>
            <w:tcBorders>
              <w:bottom w:val="single" w:color="auto" w:sz="4" w:space="0"/>
            </w:tcBorders>
            <w:vAlign w:val="center"/>
          </w:tcPr>
          <w:p w14:paraId="657CC79C">
            <w:pPr>
              <w:pStyle w:val="31"/>
              <w:snapToGrid w:val="0"/>
              <w:spacing w:line="0" w:lineRule="atLeast"/>
              <w:rPr>
                <w:rFonts w:hint="eastAsia" w:ascii="仿宋" w:hAnsi="仿宋" w:eastAsia="仿宋" w:cs="仿宋"/>
                <w:sz w:val="28"/>
                <w:szCs w:val="28"/>
              </w:rPr>
            </w:pPr>
          </w:p>
        </w:tc>
      </w:tr>
    </w:tbl>
    <w:p w14:paraId="742255DB">
      <w:pPr>
        <w:pStyle w:val="33"/>
        <w:ind w:firstLine="560"/>
        <w:rPr>
          <w:rFonts w:hint="eastAsia" w:ascii="仿宋" w:hAnsi="仿宋" w:eastAsia="仿宋" w:cs="仿宋"/>
          <w:sz w:val="28"/>
          <w:szCs w:val="28"/>
        </w:rPr>
      </w:pPr>
    </w:p>
    <w:p w14:paraId="0AE228C5">
      <w:pPr>
        <w:pStyle w:val="23"/>
        <w:ind w:firstLine="210"/>
        <w:rPr>
          <w:color w:val="000000" w:themeColor="text1"/>
          <w:kern w:val="44"/>
          <w14:textFill>
            <w14:solidFill>
              <w14:schemeClr w14:val="tx1"/>
            </w14:solidFill>
          </w14:textFill>
        </w:rPr>
      </w:pPr>
      <w:r>
        <w:rPr>
          <w:color w:val="000000" w:themeColor="text1"/>
          <w14:textFill>
            <w14:solidFill>
              <w14:schemeClr w14:val="tx1"/>
            </w14:solidFill>
          </w14:textFill>
        </w:rPr>
        <w:br w:type="page"/>
      </w:r>
    </w:p>
    <w:p w14:paraId="3BA868F9">
      <w:pPr>
        <w:pStyle w:val="2"/>
        <w:keepNext/>
        <w:keepLines/>
        <w:spacing w:before="340" w:beforeAutospacing="0" w:after="330" w:afterAutospacing="0" w:line="578" w:lineRule="auto"/>
        <w:ind w:left="420" w:hanging="420"/>
        <w:jc w:val="center"/>
        <w:rPr>
          <w:rFonts w:hint="default" w:eastAsia="黑体" w:cstheme="minorBidi"/>
          <w:sz w:val="44"/>
          <w:szCs w:val="44"/>
        </w:rPr>
      </w:pPr>
      <w:bookmarkStart w:id="55" w:name="_Toc4298"/>
      <w:r>
        <w:rPr>
          <w:rFonts w:hint="eastAsia" w:eastAsia="黑体" w:cstheme="minorBidi"/>
          <w:sz w:val="44"/>
          <w:szCs w:val="44"/>
        </w:rPr>
        <w:t>第四部分 合同草案</w:t>
      </w:r>
      <w:bookmarkEnd w:id="55"/>
    </w:p>
    <w:p w14:paraId="5FB3439F">
      <w:pPr>
        <w:jc w:val="center"/>
        <w:rPr>
          <w:rFonts w:hint="eastAsia" w:ascii="仿宋" w:hAnsi="仿宋" w:eastAsia="仿宋" w:cs="仿宋"/>
          <w:bCs/>
          <w:sz w:val="28"/>
          <w:szCs w:val="28"/>
        </w:rPr>
      </w:pPr>
      <w:r>
        <w:rPr>
          <w:rFonts w:hint="eastAsia" w:ascii="仿宋" w:hAnsi="仿宋" w:eastAsia="仿宋" w:cs="仿宋"/>
          <w:sz w:val="28"/>
          <w:szCs w:val="28"/>
        </w:rPr>
        <w:t>【此合同书仅作为签订正式合同时的参考】</w:t>
      </w:r>
    </w:p>
    <w:p w14:paraId="5251BE8C">
      <w:pPr>
        <w:wordWrap w:val="0"/>
        <w:rPr>
          <w:rFonts w:hint="eastAsia"/>
          <w:bCs/>
          <w:sz w:val="28"/>
          <w:szCs w:val="28"/>
        </w:rPr>
      </w:pPr>
      <w:r>
        <w:rPr>
          <w:rFonts w:hint="eastAsia" w:ascii="仿宋" w:hAnsi="仿宋" w:eastAsia="仿宋" w:cs="仿宋"/>
          <w:bCs/>
          <w:sz w:val="28"/>
          <w:szCs w:val="28"/>
          <w:lang w:val="zh-CN"/>
        </w:rPr>
        <w:t>合同编号：</w:t>
      </w:r>
      <w:r>
        <w:rPr>
          <w:rFonts w:hint="eastAsia" w:ascii="仿宋" w:hAnsi="仿宋" w:eastAsia="仿宋" w:cs="仿宋"/>
          <w:bCs/>
          <w:sz w:val="28"/>
          <w:szCs w:val="28"/>
          <w:u w:val="single"/>
        </w:rPr>
        <w:t xml:space="preserve">              </w:t>
      </w:r>
    </w:p>
    <w:p w14:paraId="5E2231DA">
      <w:pPr>
        <w:wordWrap w:val="0"/>
        <w:jc w:val="center"/>
        <w:rPr>
          <w:rFonts w:hint="eastAsia"/>
          <w:bCs/>
          <w:sz w:val="36"/>
          <w:szCs w:val="36"/>
        </w:rPr>
      </w:pPr>
    </w:p>
    <w:p w14:paraId="50C01086">
      <w:pPr>
        <w:wordWrap w:val="0"/>
        <w:jc w:val="center"/>
        <w:rPr>
          <w:rFonts w:hint="eastAsia"/>
          <w:bCs/>
          <w:sz w:val="36"/>
          <w:szCs w:val="36"/>
        </w:rPr>
      </w:pPr>
    </w:p>
    <w:p w14:paraId="7F0EAF3B">
      <w:pPr>
        <w:wordWrap w:val="0"/>
        <w:jc w:val="center"/>
        <w:rPr>
          <w:rFonts w:hint="eastAsia"/>
          <w:b/>
          <w:bCs/>
          <w:sz w:val="72"/>
          <w:szCs w:val="72"/>
        </w:rPr>
      </w:pPr>
      <w:r>
        <w:rPr>
          <w:rFonts w:hint="eastAsia"/>
          <w:b/>
          <w:bCs/>
          <w:sz w:val="72"/>
          <w:szCs w:val="72"/>
        </w:rPr>
        <w:t>合   同   书</w:t>
      </w:r>
    </w:p>
    <w:p w14:paraId="131437AB">
      <w:pPr>
        <w:wordWrap w:val="0"/>
        <w:rPr>
          <w:rFonts w:hint="eastAsia"/>
        </w:rPr>
      </w:pPr>
    </w:p>
    <w:p w14:paraId="7D7F42AE">
      <w:pPr>
        <w:wordWrap w:val="0"/>
        <w:rPr>
          <w:rFonts w:hint="eastAsia"/>
        </w:rPr>
      </w:pPr>
    </w:p>
    <w:p w14:paraId="6C6DEB15">
      <w:pPr>
        <w:wordWrap w:val="0"/>
        <w:spacing w:before="78" w:beforeLines="25"/>
        <w:rPr>
          <w:rFonts w:hint="eastAsia" w:ascii="黑体" w:hAnsi="黑体" w:eastAsia="黑体" w:cs="黑体"/>
          <w:bCs/>
          <w:sz w:val="28"/>
          <w:szCs w:val="28"/>
          <w:u w:val="single"/>
          <w:lang w:val="zh-CN"/>
        </w:rPr>
      </w:pPr>
      <w:r>
        <w:rPr>
          <w:rFonts w:hint="eastAsia" w:ascii="黑体" w:hAnsi="黑体" w:eastAsia="黑体" w:cs="黑体"/>
          <w:bCs/>
          <w:sz w:val="28"/>
          <w:szCs w:val="28"/>
          <w:lang w:val="zh-CN"/>
        </w:rPr>
        <w:t>项目名称：</w:t>
      </w:r>
      <w:r>
        <w:rPr>
          <w:rFonts w:hint="eastAsia" w:ascii="黑体" w:hAnsi="黑体" w:eastAsia="黑体" w:cs="黑体"/>
          <w:bCs/>
          <w:sz w:val="28"/>
          <w:szCs w:val="28"/>
          <w:u w:val="single"/>
          <w:lang w:val="zh-CN"/>
        </w:rPr>
        <w:t xml:space="preserve">                                             </w:t>
      </w:r>
    </w:p>
    <w:p w14:paraId="436A762F">
      <w:pPr>
        <w:wordWrap w:val="0"/>
        <w:spacing w:before="78" w:beforeLines="25"/>
        <w:rPr>
          <w:rFonts w:hint="eastAsia" w:ascii="黑体" w:hAnsi="黑体" w:eastAsia="黑体" w:cs="黑体"/>
          <w:bCs/>
          <w:sz w:val="28"/>
          <w:szCs w:val="28"/>
          <w:lang w:val="zh-CN"/>
        </w:rPr>
      </w:pPr>
    </w:p>
    <w:p w14:paraId="2A103AED">
      <w:pPr>
        <w:wordWrap w:val="0"/>
        <w:spacing w:before="78" w:beforeLines="25"/>
        <w:rPr>
          <w:rFonts w:hint="eastAsia" w:ascii="黑体" w:hAnsi="黑体" w:eastAsia="黑体" w:cs="黑体"/>
          <w:bCs/>
          <w:sz w:val="28"/>
          <w:szCs w:val="28"/>
          <w:u w:val="single"/>
          <w:lang w:val="zh-CN"/>
        </w:rPr>
      </w:pPr>
      <w:r>
        <w:rPr>
          <w:rFonts w:hint="eastAsia" w:ascii="黑体" w:hAnsi="黑体" w:eastAsia="黑体" w:cs="黑体"/>
          <w:bCs/>
          <w:sz w:val="28"/>
          <w:szCs w:val="28"/>
          <w:lang w:val="zh-CN"/>
        </w:rPr>
        <w:t>甲方（采购人）：</w:t>
      </w:r>
      <w:r>
        <w:rPr>
          <w:rFonts w:hint="eastAsia" w:ascii="黑体" w:hAnsi="黑体" w:eastAsia="黑体" w:cs="黑体"/>
          <w:bCs/>
          <w:sz w:val="28"/>
          <w:szCs w:val="28"/>
          <w:u w:val="single"/>
        </w:rPr>
        <w:t xml:space="preserve">                                  </w:t>
      </w:r>
      <w:r>
        <w:rPr>
          <w:rFonts w:hint="eastAsia" w:ascii="黑体" w:hAnsi="黑体" w:eastAsia="黑体" w:cs="黑体"/>
          <w:bCs/>
          <w:sz w:val="28"/>
          <w:szCs w:val="28"/>
          <w:u w:val="single"/>
          <w:lang w:val="zh-CN"/>
        </w:rPr>
        <w:t xml:space="preserve">    </w:t>
      </w:r>
    </w:p>
    <w:p w14:paraId="29BEFDD5">
      <w:pPr>
        <w:wordWrap w:val="0"/>
        <w:spacing w:before="78" w:beforeLines="25"/>
        <w:rPr>
          <w:rFonts w:hint="eastAsia" w:ascii="黑体" w:hAnsi="黑体" w:eastAsia="黑体" w:cs="黑体"/>
          <w:bCs/>
          <w:sz w:val="28"/>
          <w:szCs w:val="28"/>
          <w:lang w:val="zh-CN"/>
        </w:rPr>
      </w:pPr>
    </w:p>
    <w:p w14:paraId="58787FA5">
      <w:pPr>
        <w:wordWrap w:val="0"/>
        <w:spacing w:before="78" w:beforeLines="25"/>
        <w:rPr>
          <w:rFonts w:hint="eastAsia" w:ascii="黑体" w:hAnsi="黑体" w:eastAsia="黑体" w:cs="黑体"/>
          <w:bCs/>
          <w:sz w:val="28"/>
          <w:szCs w:val="28"/>
          <w:u w:val="single"/>
        </w:rPr>
      </w:pPr>
      <w:r>
        <w:rPr>
          <w:rFonts w:hint="eastAsia" w:ascii="黑体" w:hAnsi="黑体" w:eastAsia="黑体" w:cs="黑体"/>
          <w:bCs/>
          <w:sz w:val="28"/>
          <w:szCs w:val="28"/>
          <w:lang w:val="zh-CN"/>
        </w:rPr>
        <w:t>乙方（成交供应商）：</w:t>
      </w:r>
      <w:r>
        <w:rPr>
          <w:rFonts w:hint="eastAsia" w:ascii="黑体" w:hAnsi="黑体" w:eastAsia="黑体" w:cs="黑体"/>
          <w:bCs/>
          <w:sz w:val="28"/>
          <w:szCs w:val="28"/>
          <w:u w:val="single"/>
        </w:rPr>
        <w:t xml:space="preserve">                                      </w:t>
      </w:r>
    </w:p>
    <w:p w14:paraId="541C2842">
      <w:pPr>
        <w:wordWrap w:val="0"/>
        <w:spacing w:before="78" w:beforeLines="25"/>
        <w:rPr>
          <w:rFonts w:hint="eastAsia" w:ascii="黑体" w:hAnsi="黑体" w:eastAsia="黑体" w:cs="黑体"/>
          <w:bCs/>
          <w:sz w:val="28"/>
          <w:szCs w:val="28"/>
          <w:u w:val="single"/>
        </w:rPr>
      </w:pPr>
    </w:p>
    <w:p w14:paraId="13819A50">
      <w:pPr>
        <w:wordWrap w:val="0"/>
        <w:spacing w:before="78" w:beforeLines="25"/>
        <w:rPr>
          <w:rFonts w:hint="eastAsia" w:ascii="黑体" w:hAnsi="黑体" w:eastAsia="黑体" w:cs="黑体"/>
          <w:bCs/>
          <w:sz w:val="28"/>
          <w:szCs w:val="28"/>
          <w:u w:val="single"/>
        </w:rPr>
      </w:pPr>
      <w:r>
        <w:rPr>
          <w:rFonts w:hint="eastAsia" w:ascii="黑体" w:hAnsi="黑体" w:eastAsia="黑体" w:cs="黑体"/>
          <w:bCs/>
          <w:sz w:val="28"/>
          <w:szCs w:val="28"/>
          <w:lang w:val="zh-CN"/>
        </w:rPr>
        <w:t>签订地：</w:t>
      </w:r>
      <w:r>
        <w:rPr>
          <w:rFonts w:hint="eastAsia" w:ascii="黑体" w:hAnsi="黑体" w:eastAsia="黑体" w:cs="黑体"/>
          <w:bCs/>
          <w:sz w:val="28"/>
          <w:szCs w:val="28"/>
          <w:u w:val="single"/>
          <w:lang w:val="zh-CN"/>
        </w:rPr>
        <w:t xml:space="preserve">                                               </w:t>
      </w:r>
    </w:p>
    <w:p w14:paraId="2FF1A531">
      <w:pPr>
        <w:wordWrap w:val="0"/>
        <w:spacing w:before="78" w:beforeLines="25"/>
        <w:rPr>
          <w:rFonts w:hint="eastAsia" w:ascii="黑体" w:hAnsi="黑体" w:eastAsia="黑体" w:cs="黑体"/>
          <w:bCs/>
          <w:sz w:val="28"/>
          <w:szCs w:val="28"/>
          <w:u w:val="single"/>
        </w:rPr>
      </w:pPr>
    </w:p>
    <w:p w14:paraId="01217BFC">
      <w:pPr>
        <w:wordWrap w:val="0"/>
        <w:spacing w:before="78" w:beforeLines="25"/>
        <w:rPr>
          <w:rFonts w:hint="eastAsia"/>
          <w:b/>
          <w:szCs w:val="24"/>
        </w:rPr>
      </w:pPr>
      <w:r>
        <w:rPr>
          <w:rFonts w:hint="eastAsia" w:ascii="黑体" w:hAnsi="黑体" w:eastAsia="黑体" w:cs="黑体"/>
          <w:bCs/>
          <w:sz w:val="28"/>
          <w:szCs w:val="28"/>
          <w:lang w:val="zh-CN"/>
        </w:rPr>
        <w:t>签订</w:t>
      </w:r>
      <w:r>
        <w:rPr>
          <w:rFonts w:hint="eastAsia" w:ascii="黑体" w:hAnsi="黑体" w:eastAsia="黑体" w:cs="黑体"/>
          <w:bCs/>
          <w:sz w:val="28"/>
          <w:szCs w:val="28"/>
        </w:rPr>
        <w:t>日期：</w:t>
      </w:r>
      <w:r>
        <w:rPr>
          <w:rFonts w:hint="eastAsia" w:ascii="黑体" w:hAnsi="黑体" w:eastAsia="黑体" w:cs="黑体"/>
          <w:bCs/>
          <w:sz w:val="28"/>
          <w:szCs w:val="28"/>
          <w:u w:val="single"/>
        </w:rPr>
        <w:t xml:space="preserve">                </w:t>
      </w:r>
      <w:r>
        <w:rPr>
          <w:rFonts w:hint="eastAsia" w:ascii="黑体" w:hAnsi="黑体" w:eastAsia="黑体" w:cs="黑体"/>
          <w:bCs/>
          <w:sz w:val="28"/>
          <w:szCs w:val="28"/>
        </w:rPr>
        <w:t>年</w:t>
      </w:r>
      <w:r>
        <w:rPr>
          <w:rFonts w:hint="eastAsia" w:ascii="黑体" w:hAnsi="黑体" w:eastAsia="黑体" w:cs="黑体"/>
          <w:bCs/>
          <w:sz w:val="28"/>
          <w:szCs w:val="28"/>
          <w:u w:val="single"/>
        </w:rPr>
        <w:t xml:space="preserve">           </w:t>
      </w:r>
      <w:r>
        <w:rPr>
          <w:rFonts w:hint="eastAsia" w:ascii="黑体" w:hAnsi="黑体" w:eastAsia="黑体" w:cs="黑体"/>
          <w:bCs/>
          <w:sz w:val="28"/>
          <w:szCs w:val="28"/>
        </w:rPr>
        <w:t>月</w:t>
      </w:r>
      <w:r>
        <w:rPr>
          <w:rFonts w:hint="eastAsia" w:ascii="黑体" w:hAnsi="黑体" w:eastAsia="黑体" w:cs="黑体"/>
          <w:bCs/>
          <w:sz w:val="28"/>
          <w:szCs w:val="28"/>
          <w:u w:val="single"/>
        </w:rPr>
        <w:t xml:space="preserve">            </w:t>
      </w:r>
      <w:r>
        <w:rPr>
          <w:rFonts w:hint="eastAsia" w:ascii="黑体" w:hAnsi="黑体" w:eastAsia="黑体" w:cs="黑体"/>
          <w:bCs/>
          <w:sz w:val="28"/>
          <w:szCs w:val="28"/>
        </w:rPr>
        <w:t>日</w:t>
      </w:r>
    </w:p>
    <w:p w14:paraId="798F9235">
      <w:pPr>
        <w:wordWrap w:val="0"/>
        <w:spacing w:before="78" w:beforeLines="25"/>
        <w:rPr>
          <w:rFonts w:hint="eastAsia"/>
          <w:b/>
        </w:rPr>
      </w:pPr>
      <w:r>
        <w:rPr>
          <w:rFonts w:hint="eastAsia"/>
          <w:b/>
        </w:rPr>
        <w:t xml:space="preserve">                                                 </w:t>
      </w:r>
    </w:p>
    <w:p w14:paraId="7DEC5D32">
      <w:pPr>
        <w:widowControl/>
        <w:wordWrap w:val="0"/>
        <w:rPr>
          <w:rFonts w:hint="eastAsia" w:cs="宋体"/>
          <w:szCs w:val="24"/>
        </w:rPr>
      </w:pPr>
      <w:r>
        <w:rPr>
          <w:rFonts w:cs="宋体"/>
          <w:szCs w:val="24"/>
        </w:rPr>
        <w:br w:type="page"/>
      </w:r>
    </w:p>
    <w:p w14:paraId="675C78EF">
      <w:pPr>
        <w:wordWrap w:val="0"/>
        <w:adjustRightInd w:val="0"/>
        <w:ind w:firstLine="560" w:firstLineChars="200"/>
        <w:rPr>
          <w:rFonts w:hint="eastAsia" w:ascii="仿宋" w:hAnsi="仿宋" w:eastAsia="仿宋" w:cs="仿宋"/>
          <w:sz w:val="28"/>
          <w:szCs w:val="28"/>
        </w:rPr>
      </w:pPr>
      <w:r>
        <w:rPr>
          <w:rFonts w:hint="eastAsia" w:ascii="仿宋" w:hAnsi="仿宋" w:eastAsia="仿宋" w:cs="仿宋"/>
          <w:sz w:val="28"/>
          <w:szCs w:val="28"/>
          <w:lang w:bidi="ar"/>
        </w:rPr>
        <w:t xml:space="preserve">本合同由甲乙双方根据《中华人民共和国政府采购法》《中华人民共和国政府采购法实施条例》《中华人民共和国民法典》等相关法律法规规定，按平等、自愿、诚实信用的原则拟定，甲、乙双方均应遵守法律规定和合同约定，并各自履行应负的全部责任和义务。 </w:t>
      </w:r>
    </w:p>
    <w:p w14:paraId="103085A4">
      <w:pPr>
        <w:pStyle w:val="17"/>
        <w:widowControl w:val="0"/>
        <w:wordWrap w:val="0"/>
        <w:adjustRightInd w:val="0"/>
        <w:spacing w:before="78" w:beforeLines="25" w:beforeAutospacing="0" w:after="0" w:afterAutospacing="0" w:line="360" w:lineRule="auto"/>
        <w:rPr>
          <w:rFonts w:hint="eastAsia" w:ascii="仿宋" w:hAnsi="仿宋" w:eastAsia="仿宋" w:cs="仿宋"/>
          <w:b/>
          <w:kern w:val="2"/>
          <w:sz w:val="28"/>
          <w:szCs w:val="28"/>
        </w:rPr>
      </w:pPr>
      <w:bookmarkStart w:id="56" w:name="_Toc30591"/>
      <w:bookmarkStart w:id="57" w:name="_Toc734"/>
      <w:r>
        <w:rPr>
          <w:rFonts w:hint="eastAsia" w:ascii="仿宋" w:hAnsi="仿宋" w:eastAsia="仿宋" w:cs="仿宋"/>
          <w:b/>
          <w:kern w:val="2"/>
          <w:sz w:val="28"/>
          <w:szCs w:val="28"/>
          <w:lang w:bidi="ar"/>
        </w:rPr>
        <w:t>一、项目基本情况</w:t>
      </w:r>
      <w:bookmarkEnd w:id="56"/>
      <w:bookmarkEnd w:id="57"/>
    </w:p>
    <w:p w14:paraId="1AC9210D">
      <w:pPr>
        <w:wordWrap w:val="0"/>
        <w:autoSpaceDE w:val="0"/>
        <w:autoSpaceDN w:val="0"/>
        <w:adjustRightInd w:val="0"/>
        <w:spacing w:before="78" w:beforeLines="25"/>
        <w:ind w:left="477" w:leftChars="227" w:firstLine="560" w:firstLineChars="200"/>
        <w:contextualSpacing/>
        <w:rPr>
          <w:rFonts w:hint="eastAsia" w:ascii="仿宋" w:hAnsi="仿宋" w:eastAsia="仿宋" w:cs="仿宋"/>
          <w:sz w:val="28"/>
          <w:szCs w:val="28"/>
        </w:rPr>
      </w:pPr>
      <w:r>
        <w:rPr>
          <w:rFonts w:hint="eastAsia" w:ascii="仿宋" w:hAnsi="仿宋" w:eastAsia="仿宋" w:cs="仿宋"/>
          <w:sz w:val="28"/>
          <w:szCs w:val="28"/>
          <w:lang w:bidi="ar"/>
        </w:rPr>
        <w:t>1．项目名称：</w:t>
      </w:r>
      <w:r>
        <w:rPr>
          <w:rFonts w:hint="eastAsia" w:ascii="仿宋" w:hAnsi="仿宋" w:eastAsia="仿宋" w:cs="仿宋"/>
          <w:sz w:val="28"/>
          <w:szCs w:val="28"/>
          <w:u w:val="single"/>
          <w:lang w:bidi="ar"/>
        </w:rPr>
        <w:t xml:space="preserve">                    </w:t>
      </w:r>
    </w:p>
    <w:p w14:paraId="2DF9D435">
      <w:pPr>
        <w:wordWrap w:val="0"/>
        <w:autoSpaceDE w:val="0"/>
        <w:autoSpaceDN w:val="0"/>
        <w:adjustRightInd w:val="0"/>
        <w:spacing w:before="78" w:beforeLines="25"/>
        <w:ind w:left="477" w:leftChars="227" w:firstLine="560" w:firstLineChars="200"/>
        <w:contextualSpacing/>
        <w:rPr>
          <w:rFonts w:hint="eastAsia" w:ascii="仿宋" w:hAnsi="仿宋" w:eastAsia="仿宋" w:cs="仿宋"/>
          <w:sz w:val="28"/>
          <w:szCs w:val="28"/>
        </w:rPr>
      </w:pPr>
      <w:r>
        <w:rPr>
          <w:rFonts w:hint="eastAsia" w:ascii="仿宋" w:hAnsi="仿宋" w:eastAsia="仿宋" w:cs="仿宋"/>
          <w:sz w:val="28"/>
          <w:szCs w:val="28"/>
          <w:lang w:bidi="ar"/>
        </w:rPr>
        <w:t>2．项目编号：</w:t>
      </w:r>
      <w:r>
        <w:rPr>
          <w:rFonts w:hint="eastAsia" w:ascii="仿宋" w:hAnsi="仿宋" w:eastAsia="仿宋" w:cs="仿宋"/>
          <w:sz w:val="28"/>
          <w:szCs w:val="28"/>
          <w:u w:val="single"/>
          <w:lang w:bidi="ar"/>
        </w:rPr>
        <w:t xml:space="preserve">                       </w:t>
      </w:r>
    </w:p>
    <w:p w14:paraId="72E43BF9">
      <w:pPr>
        <w:wordWrap w:val="0"/>
        <w:autoSpaceDE w:val="0"/>
        <w:autoSpaceDN w:val="0"/>
        <w:adjustRightInd w:val="0"/>
        <w:spacing w:before="78" w:beforeLines="25"/>
        <w:ind w:left="477" w:leftChars="227" w:firstLine="560" w:firstLineChars="200"/>
        <w:contextualSpacing/>
        <w:rPr>
          <w:rFonts w:hint="eastAsia" w:ascii="仿宋" w:hAnsi="仿宋" w:eastAsia="仿宋" w:cs="仿宋"/>
          <w:sz w:val="28"/>
          <w:szCs w:val="28"/>
        </w:rPr>
      </w:pPr>
      <w:r>
        <w:rPr>
          <w:rFonts w:hint="eastAsia" w:ascii="仿宋" w:hAnsi="仿宋" w:eastAsia="仿宋" w:cs="仿宋"/>
          <w:sz w:val="28"/>
          <w:szCs w:val="28"/>
          <w:lang w:bidi="ar"/>
        </w:rPr>
        <w:t>3．政府采购计划备案号：</w:t>
      </w:r>
      <w:r>
        <w:rPr>
          <w:rFonts w:hint="eastAsia" w:ascii="仿宋" w:hAnsi="仿宋" w:eastAsia="仿宋" w:cs="仿宋"/>
          <w:sz w:val="28"/>
          <w:szCs w:val="28"/>
          <w:u w:val="single"/>
          <w:lang w:bidi="ar"/>
        </w:rPr>
        <w:t xml:space="preserve">              </w:t>
      </w:r>
    </w:p>
    <w:p w14:paraId="2CCADEF7">
      <w:pPr>
        <w:wordWrap w:val="0"/>
        <w:autoSpaceDE w:val="0"/>
        <w:autoSpaceDN w:val="0"/>
        <w:adjustRightInd w:val="0"/>
        <w:spacing w:before="78" w:beforeLines="25"/>
        <w:ind w:left="477" w:leftChars="227" w:firstLine="560" w:firstLineChars="200"/>
        <w:contextualSpacing/>
        <w:rPr>
          <w:rFonts w:hint="eastAsia" w:ascii="仿宋" w:hAnsi="仿宋" w:eastAsia="仿宋" w:cs="仿宋"/>
          <w:sz w:val="28"/>
          <w:szCs w:val="28"/>
        </w:rPr>
      </w:pPr>
      <w:r>
        <w:rPr>
          <w:rFonts w:hint="eastAsia" w:ascii="仿宋" w:hAnsi="仿宋" w:eastAsia="仿宋" w:cs="仿宋"/>
          <w:sz w:val="28"/>
          <w:szCs w:val="28"/>
          <w:lang w:bidi="ar"/>
        </w:rPr>
        <w:t>4．项目概况：</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 xml:space="preserve"> </w:t>
      </w:r>
    </w:p>
    <w:p w14:paraId="008D178F">
      <w:pPr>
        <w:pStyle w:val="17"/>
        <w:widowControl w:val="0"/>
        <w:wordWrap w:val="0"/>
        <w:spacing w:before="78" w:beforeLines="25" w:beforeAutospacing="0" w:after="0" w:afterAutospacing="0" w:line="360" w:lineRule="auto"/>
        <w:jc w:val="both"/>
        <w:rPr>
          <w:rFonts w:hint="eastAsia" w:ascii="仿宋" w:hAnsi="仿宋" w:eastAsia="仿宋" w:cs="仿宋"/>
          <w:bCs/>
          <w:iCs/>
          <w:kern w:val="2"/>
          <w:sz w:val="28"/>
          <w:szCs w:val="28"/>
        </w:rPr>
      </w:pPr>
      <w:r>
        <w:rPr>
          <w:rFonts w:hint="eastAsia" w:ascii="仿宋" w:hAnsi="仿宋" w:eastAsia="仿宋" w:cs="仿宋"/>
          <w:b/>
          <w:kern w:val="2"/>
          <w:sz w:val="28"/>
          <w:szCs w:val="28"/>
          <w:lang w:bidi="ar"/>
        </w:rPr>
        <w:t>二、标的名称、数量（规模）（不适用）</w:t>
      </w:r>
      <w:r>
        <w:rPr>
          <w:rFonts w:hint="eastAsia" w:ascii="仿宋" w:hAnsi="仿宋" w:eastAsia="仿宋" w:cs="仿宋"/>
          <w:i/>
          <w:iCs/>
          <w:kern w:val="2"/>
          <w:sz w:val="28"/>
          <w:szCs w:val="28"/>
          <w:lang w:bidi="ar"/>
        </w:rPr>
        <w:t xml:space="preserve"> </w:t>
      </w:r>
    </w:p>
    <w:tbl>
      <w:tblPr>
        <w:tblStyle w:val="18"/>
        <w:tblW w:w="876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47"/>
        <w:gridCol w:w="2031"/>
        <w:gridCol w:w="1053"/>
        <w:gridCol w:w="847"/>
        <w:gridCol w:w="847"/>
        <w:gridCol w:w="856"/>
        <w:gridCol w:w="969"/>
        <w:gridCol w:w="1317"/>
      </w:tblGrid>
      <w:tr w14:paraId="43F53D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47" w:type="dxa"/>
            <w:tcBorders>
              <w:top w:val="single" w:color="auto" w:sz="2" w:space="0"/>
              <w:left w:val="single" w:color="auto" w:sz="2" w:space="0"/>
              <w:bottom w:val="single" w:color="auto" w:sz="2" w:space="0"/>
              <w:right w:val="single" w:color="auto" w:sz="2" w:space="0"/>
            </w:tcBorders>
            <w:shd w:val="clear" w:color="auto" w:fill="BFBCBC"/>
            <w:vAlign w:val="center"/>
          </w:tcPr>
          <w:p w14:paraId="662D015E">
            <w:pPr>
              <w:wordWrap w:val="0"/>
              <w:autoSpaceDE w:val="0"/>
              <w:ind w:right="-105" w:rightChars="-50"/>
              <w:jc w:val="both"/>
              <w:rPr>
                <w:rFonts w:hint="eastAsia" w:ascii="仿宋" w:hAnsi="仿宋" w:eastAsia="仿宋" w:cs="仿宋"/>
                <w:b/>
                <w:sz w:val="28"/>
                <w:szCs w:val="28"/>
              </w:rPr>
            </w:pPr>
            <w:r>
              <w:rPr>
                <w:rFonts w:hint="eastAsia" w:ascii="仿宋" w:hAnsi="仿宋" w:eastAsia="仿宋" w:cs="仿宋"/>
                <w:b/>
                <w:sz w:val="28"/>
                <w:szCs w:val="28"/>
                <w:lang w:bidi="ar"/>
              </w:rPr>
              <w:t>序号</w:t>
            </w:r>
          </w:p>
        </w:tc>
        <w:tc>
          <w:tcPr>
            <w:tcW w:w="2031" w:type="dxa"/>
            <w:tcBorders>
              <w:top w:val="single" w:color="auto" w:sz="2" w:space="0"/>
              <w:left w:val="single" w:color="auto" w:sz="2" w:space="0"/>
              <w:bottom w:val="single" w:color="auto" w:sz="2" w:space="0"/>
              <w:right w:val="single" w:color="auto" w:sz="2" w:space="0"/>
            </w:tcBorders>
            <w:shd w:val="clear" w:color="auto" w:fill="BFBCBC"/>
            <w:vAlign w:val="center"/>
          </w:tcPr>
          <w:p w14:paraId="6B9D56A2">
            <w:pPr>
              <w:wordWrap w:val="0"/>
              <w:autoSpaceDE w:val="0"/>
              <w:ind w:left="-48" w:leftChars="-23" w:right="-65" w:rightChars="-31" w:firstLine="562" w:firstLineChars="200"/>
              <w:jc w:val="both"/>
              <w:rPr>
                <w:rFonts w:hint="eastAsia" w:ascii="仿宋" w:hAnsi="仿宋" w:eastAsia="仿宋" w:cs="仿宋"/>
                <w:b/>
                <w:sz w:val="28"/>
                <w:szCs w:val="28"/>
              </w:rPr>
            </w:pPr>
            <w:r>
              <w:rPr>
                <w:rFonts w:hint="eastAsia" w:ascii="仿宋" w:hAnsi="仿宋" w:eastAsia="仿宋" w:cs="仿宋"/>
                <w:b/>
                <w:sz w:val="28"/>
                <w:szCs w:val="28"/>
                <w:lang w:bidi="ar"/>
              </w:rPr>
              <w:t>名称</w:t>
            </w:r>
          </w:p>
        </w:tc>
        <w:tc>
          <w:tcPr>
            <w:tcW w:w="1053" w:type="dxa"/>
            <w:tcBorders>
              <w:top w:val="single" w:color="auto" w:sz="2" w:space="0"/>
              <w:left w:val="single" w:color="auto" w:sz="2" w:space="0"/>
              <w:bottom w:val="single" w:color="auto" w:sz="2" w:space="0"/>
              <w:right w:val="single" w:color="auto" w:sz="2" w:space="0"/>
            </w:tcBorders>
            <w:shd w:val="clear" w:color="auto" w:fill="BFBCBC"/>
            <w:vAlign w:val="center"/>
          </w:tcPr>
          <w:p w14:paraId="322566ED">
            <w:pPr>
              <w:wordWrap w:val="0"/>
              <w:autoSpaceDE w:val="0"/>
              <w:ind w:right="-65" w:rightChars="-31"/>
              <w:jc w:val="both"/>
              <w:rPr>
                <w:rFonts w:hint="eastAsia" w:ascii="仿宋" w:hAnsi="仿宋" w:eastAsia="仿宋" w:cs="仿宋"/>
                <w:b/>
                <w:sz w:val="28"/>
                <w:szCs w:val="28"/>
              </w:rPr>
            </w:pPr>
            <w:r>
              <w:rPr>
                <w:rFonts w:hint="eastAsia" w:ascii="仿宋" w:hAnsi="仿宋" w:eastAsia="仿宋" w:cs="仿宋"/>
                <w:b/>
                <w:sz w:val="28"/>
                <w:szCs w:val="28"/>
                <w:lang w:bidi="ar"/>
              </w:rPr>
              <w:t>品牌规格型号</w:t>
            </w:r>
          </w:p>
        </w:tc>
        <w:tc>
          <w:tcPr>
            <w:tcW w:w="847" w:type="dxa"/>
            <w:tcBorders>
              <w:top w:val="single" w:color="auto" w:sz="2" w:space="0"/>
              <w:left w:val="single" w:color="auto" w:sz="2" w:space="0"/>
              <w:bottom w:val="single" w:color="auto" w:sz="2" w:space="0"/>
              <w:right w:val="single" w:color="auto" w:sz="4" w:space="0"/>
            </w:tcBorders>
            <w:shd w:val="clear" w:color="auto" w:fill="BFBCBC"/>
            <w:vAlign w:val="center"/>
          </w:tcPr>
          <w:p w14:paraId="6427FC4F">
            <w:pPr>
              <w:wordWrap w:val="0"/>
              <w:autoSpaceDE w:val="0"/>
              <w:ind w:right="-65" w:rightChars="-31"/>
              <w:jc w:val="both"/>
              <w:rPr>
                <w:rFonts w:hint="eastAsia" w:ascii="仿宋" w:hAnsi="仿宋" w:eastAsia="仿宋" w:cs="仿宋"/>
                <w:b/>
                <w:sz w:val="28"/>
                <w:szCs w:val="28"/>
              </w:rPr>
            </w:pPr>
            <w:r>
              <w:rPr>
                <w:rFonts w:hint="eastAsia" w:ascii="仿宋" w:hAnsi="仿宋" w:eastAsia="仿宋" w:cs="仿宋"/>
                <w:b/>
                <w:sz w:val="28"/>
                <w:szCs w:val="28"/>
                <w:lang w:bidi="ar"/>
              </w:rPr>
              <w:t>数量</w:t>
            </w:r>
          </w:p>
        </w:tc>
        <w:tc>
          <w:tcPr>
            <w:tcW w:w="847" w:type="dxa"/>
            <w:tcBorders>
              <w:top w:val="single" w:color="auto" w:sz="2" w:space="0"/>
              <w:left w:val="nil"/>
              <w:bottom w:val="single" w:color="auto" w:sz="2" w:space="0"/>
              <w:right w:val="single" w:color="auto" w:sz="2" w:space="0"/>
            </w:tcBorders>
            <w:shd w:val="clear" w:color="auto" w:fill="BFBCBC"/>
            <w:vAlign w:val="center"/>
          </w:tcPr>
          <w:p w14:paraId="618BCF00">
            <w:pPr>
              <w:wordWrap w:val="0"/>
              <w:autoSpaceDE w:val="0"/>
              <w:ind w:right="-65" w:rightChars="-31"/>
              <w:jc w:val="both"/>
              <w:rPr>
                <w:rFonts w:hint="eastAsia" w:ascii="仿宋" w:hAnsi="仿宋" w:eastAsia="仿宋" w:cs="仿宋"/>
                <w:b/>
                <w:sz w:val="28"/>
                <w:szCs w:val="28"/>
              </w:rPr>
            </w:pPr>
            <w:r>
              <w:rPr>
                <w:rFonts w:hint="eastAsia" w:ascii="仿宋" w:hAnsi="仿宋" w:eastAsia="仿宋" w:cs="仿宋"/>
                <w:b/>
                <w:sz w:val="28"/>
                <w:szCs w:val="28"/>
                <w:lang w:bidi="ar"/>
              </w:rPr>
              <w:t>单位</w:t>
            </w:r>
          </w:p>
        </w:tc>
        <w:tc>
          <w:tcPr>
            <w:tcW w:w="856" w:type="dxa"/>
            <w:tcBorders>
              <w:top w:val="single" w:color="auto" w:sz="2" w:space="0"/>
              <w:left w:val="single" w:color="auto" w:sz="2" w:space="0"/>
              <w:bottom w:val="single" w:color="auto" w:sz="2" w:space="0"/>
              <w:right w:val="single" w:color="auto" w:sz="2" w:space="0"/>
            </w:tcBorders>
            <w:shd w:val="clear" w:color="auto" w:fill="BFBCBC"/>
            <w:vAlign w:val="center"/>
          </w:tcPr>
          <w:p w14:paraId="06D76B04">
            <w:pPr>
              <w:wordWrap w:val="0"/>
              <w:autoSpaceDE w:val="0"/>
              <w:ind w:right="-65" w:rightChars="-31"/>
              <w:jc w:val="both"/>
              <w:rPr>
                <w:rFonts w:hint="eastAsia" w:ascii="仿宋" w:hAnsi="仿宋" w:eastAsia="仿宋" w:cs="仿宋"/>
                <w:b/>
                <w:sz w:val="28"/>
                <w:szCs w:val="28"/>
              </w:rPr>
            </w:pPr>
            <w:r>
              <w:rPr>
                <w:rFonts w:hint="eastAsia" w:ascii="仿宋" w:hAnsi="仿宋" w:eastAsia="仿宋" w:cs="仿宋"/>
                <w:b/>
                <w:sz w:val="28"/>
                <w:szCs w:val="28"/>
                <w:lang w:bidi="ar"/>
              </w:rPr>
              <w:t>单价</w:t>
            </w:r>
          </w:p>
        </w:tc>
        <w:tc>
          <w:tcPr>
            <w:tcW w:w="969" w:type="dxa"/>
            <w:tcBorders>
              <w:top w:val="single" w:color="auto" w:sz="2" w:space="0"/>
              <w:left w:val="single" w:color="auto" w:sz="2" w:space="0"/>
              <w:bottom w:val="single" w:color="auto" w:sz="2" w:space="0"/>
              <w:right w:val="single" w:color="auto" w:sz="2" w:space="0"/>
            </w:tcBorders>
            <w:shd w:val="clear" w:color="auto" w:fill="BFBCBC"/>
            <w:vAlign w:val="center"/>
          </w:tcPr>
          <w:p w14:paraId="77CFB0B0">
            <w:pPr>
              <w:wordWrap w:val="0"/>
              <w:autoSpaceDE w:val="0"/>
              <w:adjustRightInd w:val="0"/>
              <w:snapToGrid w:val="0"/>
              <w:ind w:right="-65" w:rightChars="-31"/>
              <w:jc w:val="center"/>
              <w:rPr>
                <w:rFonts w:hint="eastAsia" w:ascii="仿宋" w:hAnsi="仿宋" w:eastAsia="仿宋" w:cs="仿宋"/>
                <w:b/>
                <w:sz w:val="28"/>
                <w:szCs w:val="28"/>
                <w:lang w:bidi="ar"/>
              </w:rPr>
            </w:pPr>
            <w:r>
              <w:rPr>
                <w:rFonts w:hint="eastAsia" w:ascii="仿宋" w:hAnsi="仿宋" w:eastAsia="仿宋" w:cs="仿宋"/>
                <w:b/>
                <w:sz w:val="28"/>
                <w:szCs w:val="28"/>
                <w:lang w:bidi="ar"/>
              </w:rPr>
              <w:t>分项</w:t>
            </w:r>
          </w:p>
          <w:p w14:paraId="153FB6A6">
            <w:pPr>
              <w:wordWrap w:val="0"/>
              <w:autoSpaceDE w:val="0"/>
              <w:adjustRightInd w:val="0"/>
              <w:snapToGrid w:val="0"/>
              <w:ind w:right="-65" w:rightChars="-31"/>
              <w:jc w:val="center"/>
              <w:rPr>
                <w:rFonts w:hint="eastAsia" w:ascii="仿宋" w:hAnsi="仿宋" w:eastAsia="仿宋" w:cs="仿宋"/>
                <w:b/>
                <w:sz w:val="28"/>
                <w:szCs w:val="28"/>
              </w:rPr>
            </w:pPr>
            <w:r>
              <w:rPr>
                <w:rFonts w:hint="eastAsia" w:ascii="仿宋" w:hAnsi="仿宋" w:eastAsia="仿宋" w:cs="仿宋"/>
                <w:b/>
                <w:sz w:val="28"/>
                <w:szCs w:val="28"/>
                <w:lang w:bidi="ar"/>
              </w:rPr>
              <w:t>合计</w:t>
            </w:r>
          </w:p>
        </w:tc>
        <w:tc>
          <w:tcPr>
            <w:tcW w:w="1317" w:type="dxa"/>
            <w:tcBorders>
              <w:top w:val="single" w:color="auto" w:sz="2" w:space="0"/>
              <w:left w:val="single" w:color="auto" w:sz="2" w:space="0"/>
              <w:bottom w:val="single" w:color="auto" w:sz="2" w:space="0"/>
              <w:right w:val="single" w:color="auto" w:sz="2" w:space="0"/>
            </w:tcBorders>
            <w:shd w:val="clear" w:color="auto" w:fill="BFBCBC"/>
            <w:vAlign w:val="center"/>
          </w:tcPr>
          <w:p w14:paraId="54333935">
            <w:pPr>
              <w:wordWrap w:val="0"/>
              <w:autoSpaceDE w:val="0"/>
              <w:ind w:right="-65" w:rightChars="-31"/>
              <w:jc w:val="both"/>
              <w:rPr>
                <w:rFonts w:hint="eastAsia" w:ascii="仿宋" w:hAnsi="仿宋" w:eastAsia="仿宋" w:cs="仿宋"/>
                <w:b/>
                <w:sz w:val="28"/>
                <w:szCs w:val="28"/>
              </w:rPr>
            </w:pPr>
            <w:r>
              <w:rPr>
                <w:rFonts w:hint="eastAsia" w:ascii="仿宋" w:hAnsi="仿宋" w:eastAsia="仿宋" w:cs="仿宋"/>
                <w:b/>
                <w:sz w:val="28"/>
                <w:szCs w:val="28"/>
                <w:lang w:bidi="ar"/>
              </w:rPr>
              <w:t>制造厂家（全称）</w:t>
            </w:r>
          </w:p>
        </w:tc>
      </w:tr>
      <w:tr w14:paraId="744A63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847" w:type="dxa"/>
            <w:tcBorders>
              <w:top w:val="single" w:color="auto" w:sz="2" w:space="0"/>
              <w:left w:val="single" w:color="auto" w:sz="2" w:space="0"/>
              <w:bottom w:val="single" w:color="auto" w:sz="2" w:space="0"/>
              <w:right w:val="single" w:color="auto" w:sz="2" w:space="0"/>
            </w:tcBorders>
            <w:vAlign w:val="center"/>
          </w:tcPr>
          <w:p w14:paraId="01D0AC69">
            <w:pPr>
              <w:wordWrap w:val="0"/>
              <w:ind w:right="-65" w:rightChars="-31"/>
              <w:jc w:val="center"/>
              <w:rPr>
                <w:rFonts w:hint="eastAsia" w:ascii="仿宋" w:hAnsi="仿宋" w:eastAsia="仿宋" w:cs="仿宋"/>
                <w:bCs/>
                <w:sz w:val="28"/>
                <w:szCs w:val="28"/>
              </w:rPr>
            </w:pPr>
            <w:r>
              <w:rPr>
                <w:rFonts w:hint="eastAsia" w:ascii="仿宋" w:hAnsi="仿宋" w:eastAsia="仿宋" w:cs="仿宋"/>
                <w:bCs/>
                <w:sz w:val="28"/>
                <w:szCs w:val="28"/>
                <w:lang w:bidi="ar"/>
              </w:rPr>
              <w:t>1</w:t>
            </w:r>
          </w:p>
        </w:tc>
        <w:tc>
          <w:tcPr>
            <w:tcW w:w="2031" w:type="dxa"/>
            <w:tcBorders>
              <w:top w:val="single" w:color="auto" w:sz="2" w:space="0"/>
              <w:left w:val="single" w:color="auto" w:sz="2" w:space="0"/>
              <w:bottom w:val="single" w:color="auto" w:sz="2" w:space="0"/>
              <w:right w:val="single" w:color="auto" w:sz="2" w:space="0"/>
            </w:tcBorders>
            <w:vAlign w:val="center"/>
          </w:tcPr>
          <w:p w14:paraId="7AF9E02B">
            <w:pPr>
              <w:wordWrap w:val="0"/>
              <w:ind w:right="-65" w:rightChars="-31"/>
              <w:jc w:val="center"/>
              <w:rPr>
                <w:rFonts w:hint="eastAsia" w:ascii="仿宋" w:hAnsi="仿宋" w:eastAsia="仿宋" w:cs="仿宋"/>
                <w:sz w:val="28"/>
                <w:szCs w:val="28"/>
              </w:rPr>
            </w:pPr>
            <w:r>
              <w:rPr>
                <w:rFonts w:hint="eastAsia" w:ascii="仿宋" w:hAnsi="仿宋" w:eastAsia="仿宋" w:cs="仿宋"/>
                <w:sz w:val="28"/>
                <w:szCs w:val="28"/>
                <w:lang w:bidi="ar"/>
              </w:rPr>
              <w:t>货物（服务）</w:t>
            </w:r>
          </w:p>
          <w:p w14:paraId="669C3618">
            <w:pPr>
              <w:wordWrap w:val="0"/>
              <w:ind w:right="-65" w:rightChars="-31"/>
              <w:jc w:val="center"/>
              <w:rPr>
                <w:rFonts w:hint="eastAsia" w:ascii="仿宋" w:hAnsi="仿宋" w:eastAsia="仿宋" w:cs="仿宋"/>
                <w:sz w:val="28"/>
                <w:szCs w:val="28"/>
              </w:rPr>
            </w:pPr>
            <w:r>
              <w:rPr>
                <w:rFonts w:hint="eastAsia" w:ascii="仿宋" w:hAnsi="仿宋" w:eastAsia="仿宋" w:cs="仿宋"/>
                <w:sz w:val="28"/>
                <w:szCs w:val="28"/>
                <w:lang w:bidi="ar"/>
              </w:rPr>
              <w:t>名称1</w:t>
            </w:r>
          </w:p>
        </w:tc>
        <w:tc>
          <w:tcPr>
            <w:tcW w:w="1053" w:type="dxa"/>
            <w:tcBorders>
              <w:top w:val="single" w:color="auto" w:sz="2" w:space="0"/>
              <w:left w:val="single" w:color="auto" w:sz="2" w:space="0"/>
              <w:bottom w:val="single" w:color="auto" w:sz="2" w:space="0"/>
              <w:right w:val="single" w:color="auto" w:sz="2" w:space="0"/>
            </w:tcBorders>
            <w:vAlign w:val="center"/>
          </w:tcPr>
          <w:p w14:paraId="0E12AA43">
            <w:pPr>
              <w:wordWrap w:val="0"/>
              <w:ind w:left="-48" w:leftChars="-23" w:right="-65" w:rightChars="-31" w:firstLine="560" w:firstLineChars="200"/>
              <w:rPr>
                <w:rFonts w:hint="eastAsia" w:ascii="仿宋" w:hAnsi="仿宋" w:eastAsia="仿宋" w:cs="仿宋"/>
                <w:sz w:val="28"/>
                <w:szCs w:val="28"/>
              </w:rPr>
            </w:pPr>
          </w:p>
        </w:tc>
        <w:tc>
          <w:tcPr>
            <w:tcW w:w="847" w:type="dxa"/>
            <w:tcBorders>
              <w:top w:val="single" w:color="auto" w:sz="2" w:space="0"/>
              <w:left w:val="single" w:color="auto" w:sz="2" w:space="0"/>
              <w:bottom w:val="single" w:color="auto" w:sz="2" w:space="0"/>
              <w:right w:val="single" w:color="auto" w:sz="4" w:space="0"/>
            </w:tcBorders>
            <w:vAlign w:val="center"/>
          </w:tcPr>
          <w:p w14:paraId="022A2DAC">
            <w:pPr>
              <w:wordWrap w:val="0"/>
              <w:ind w:left="-48" w:leftChars="-23" w:right="-376" w:rightChars="-179" w:firstLine="560" w:firstLineChars="200"/>
              <w:jc w:val="center"/>
              <w:rPr>
                <w:rFonts w:hint="eastAsia" w:ascii="仿宋" w:hAnsi="仿宋" w:eastAsia="仿宋" w:cs="仿宋"/>
                <w:sz w:val="28"/>
                <w:szCs w:val="28"/>
              </w:rPr>
            </w:pPr>
          </w:p>
        </w:tc>
        <w:tc>
          <w:tcPr>
            <w:tcW w:w="847" w:type="dxa"/>
            <w:tcBorders>
              <w:top w:val="single" w:color="auto" w:sz="2" w:space="0"/>
              <w:left w:val="nil"/>
              <w:bottom w:val="single" w:color="auto" w:sz="2" w:space="0"/>
              <w:right w:val="single" w:color="auto" w:sz="2" w:space="0"/>
            </w:tcBorders>
            <w:vAlign w:val="center"/>
          </w:tcPr>
          <w:p w14:paraId="299E5C6D">
            <w:pPr>
              <w:wordWrap w:val="0"/>
              <w:ind w:left="-48" w:leftChars="-23" w:right="-376" w:rightChars="-179" w:firstLine="560" w:firstLineChars="200"/>
              <w:jc w:val="center"/>
              <w:rPr>
                <w:rFonts w:hint="eastAsia" w:ascii="仿宋" w:hAnsi="仿宋" w:eastAsia="仿宋" w:cs="仿宋"/>
                <w:sz w:val="28"/>
                <w:szCs w:val="28"/>
              </w:rPr>
            </w:pPr>
          </w:p>
        </w:tc>
        <w:tc>
          <w:tcPr>
            <w:tcW w:w="856" w:type="dxa"/>
            <w:tcBorders>
              <w:top w:val="single" w:color="auto" w:sz="2" w:space="0"/>
              <w:left w:val="single" w:color="auto" w:sz="2" w:space="0"/>
              <w:bottom w:val="single" w:color="auto" w:sz="2" w:space="0"/>
              <w:right w:val="single" w:color="auto" w:sz="2" w:space="0"/>
            </w:tcBorders>
            <w:vAlign w:val="center"/>
          </w:tcPr>
          <w:p w14:paraId="1F6B7EEA">
            <w:pPr>
              <w:wordWrap w:val="0"/>
              <w:ind w:left="-48" w:leftChars="-23" w:right="-65" w:rightChars="-31" w:firstLine="560" w:firstLineChars="200"/>
              <w:jc w:val="center"/>
              <w:rPr>
                <w:rFonts w:hint="eastAsia" w:ascii="仿宋" w:hAnsi="仿宋" w:eastAsia="仿宋" w:cs="仿宋"/>
                <w:sz w:val="28"/>
                <w:szCs w:val="28"/>
              </w:rPr>
            </w:pPr>
          </w:p>
        </w:tc>
        <w:tc>
          <w:tcPr>
            <w:tcW w:w="969" w:type="dxa"/>
            <w:tcBorders>
              <w:top w:val="single" w:color="auto" w:sz="2" w:space="0"/>
              <w:left w:val="single" w:color="auto" w:sz="2" w:space="0"/>
              <w:bottom w:val="single" w:color="auto" w:sz="2" w:space="0"/>
              <w:right w:val="single" w:color="auto" w:sz="2" w:space="0"/>
            </w:tcBorders>
            <w:vAlign w:val="center"/>
          </w:tcPr>
          <w:p w14:paraId="318B02EE">
            <w:pPr>
              <w:wordWrap w:val="0"/>
              <w:ind w:left="-48" w:leftChars="-23" w:right="-65" w:rightChars="-31" w:firstLine="560" w:firstLineChars="200"/>
              <w:rPr>
                <w:rFonts w:hint="eastAsia" w:ascii="仿宋" w:hAnsi="仿宋" w:eastAsia="仿宋" w:cs="仿宋"/>
                <w:sz w:val="28"/>
                <w:szCs w:val="28"/>
              </w:rPr>
            </w:pPr>
          </w:p>
        </w:tc>
        <w:tc>
          <w:tcPr>
            <w:tcW w:w="1317" w:type="dxa"/>
            <w:tcBorders>
              <w:top w:val="single" w:color="auto" w:sz="2" w:space="0"/>
              <w:left w:val="single" w:color="auto" w:sz="2" w:space="0"/>
              <w:bottom w:val="single" w:color="auto" w:sz="2" w:space="0"/>
              <w:right w:val="single" w:color="auto" w:sz="2" w:space="0"/>
            </w:tcBorders>
            <w:vAlign w:val="center"/>
          </w:tcPr>
          <w:p w14:paraId="17FCFA2B">
            <w:pPr>
              <w:wordWrap w:val="0"/>
              <w:ind w:left="-48" w:leftChars="-23" w:right="-65" w:rightChars="-31" w:firstLine="560" w:firstLineChars="200"/>
              <w:jc w:val="center"/>
              <w:rPr>
                <w:rFonts w:hint="eastAsia" w:ascii="仿宋" w:hAnsi="仿宋" w:eastAsia="仿宋" w:cs="仿宋"/>
                <w:sz w:val="28"/>
                <w:szCs w:val="28"/>
              </w:rPr>
            </w:pPr>
          </w:p>
        </w:tc>
      </w:tr>
      <w:tr w14:paraId="101470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847" w:type="dxa"/>
            <w:tcBorders>
              <w:top w:val="single" w:color="auto" w:sz="2" w:space="0"/>
              <w:left w:val="single" w:color="auto" w:sz="2" w:space="0"/>
              <w:bottom w:val="single" w:color="auto" w:sz="2" w:space="0"/>
              <w:right w:val="single" w:color="auto" w:sz="2" w:space="0"/>
            </w:tcBorders>
            <w:vAlign w:val="center"/>
          </w:tcPr>
          <w:p w14:paraId="2946B2D6">
            <w:pPr>
              <w:wordWrap w:val="0"/>
              <w:ind w:right="-65" w:rightChars="-31"/>
              <w:jc w:val="center"/>
              <w:rPr>
                <w:rFonts w:hint="eastAsia" w:ascii="仿宋" w:hAnsi="仿宋" w:eastAsia="仿宋" w:cs="仿宋"/>
                <w:bCs/>
                <w:sz w:val="28"/>
                <w:szCs w:val="28"/>
              </w:rPr>
            </w:pPr>
            <w:r>
              <w:rPr>
                <w:rFonts w:hint="eastAsia" w:ascii="仿宋" w:hAnsi="仿宋" w:eastAsia="仿宋" w:cs="仿宋"/>
                <w:bCs/>
                <w:sz w:val="28"/>
                <w:szCs w:val="28"/>
                <w:lang w:bidi="ar"/>
              </w:rPr>
              <w:t>2</w:t>
            </w:r>
          </w:p>
        </w:tc>
        <w:tc>
          <w:tcPr>
            <w:tcW w:w="2031" w:type="dxa"/>
            <w:tcBorders>
              <w:top w:val="single" w:color="auto" w:sz="2" w:space="0"/>
              <w:left w:val="single" w:color="auto" w:sz="2" w:space="0"/>
              <w:bottom w:val="single" w:color="auto" w:sz="2" w:space="0"/>
              <w:right w:val="single" w:color="auto" w:sz="2" w:space="0"/>
            </w:tcBorders>
            <w:vAlign w:val="center"/>
          </w:tcPr>
          <w:p w14:paraId="4E40EF89">
            <w:pPr>
              <w:wordWrap w:val="0"/>
              <w:ind w:right="-65" w:rightChars="-31"/>
              <w:jc w:val="center"/>
              <w:rPr>
                <w:rFonts w:hint="eastAsia" w:ascii="仿宋" w:hAnsi="仿宋" w:eastAsia="仿宋" w:cs="仿宋"/>
                <w:sz w:val="28"/>
                <w:szCs w:val="28"/>
              </w:rPr>
            </w:pPr>
            <w:r>
              <w:rPr>
                <w:rFonts w:hint="eastAsia" w:ascii="仿宋" w:hAnsi="仿宋" w:eastAsia="仿宋" w:cs="仿宋"/>
                <w:sz w:val="28"/>
                <w:szCs w:val="28"/>
                <w:lang w:bidi="ar"/>
              </w:rPr>
              <w:t>货物（服务）</w:t>
            </w:r>
          </w:p>
          <w:p w14:paraId="1CC9053A">
            <w:pPr>
              <w:wordWrap w:val="0"/>
              <w:ind w:right="-65" w:rightChars="-31"/>
              <w:jc w:val="center"/>
              <w:rPr>
                <w:rFonts w:hint="eastAsia" w:ascii="仿宋" w:hAnsi="仿宋" w:eastAsia="仿宋" w:cs="仿宋"/>
                <w:sz w:val="28"/>
                <w:szCs w:val="28"/>
              </w:rPr>
            </w:pPr>
            <w:r>
              <w:rPr>
                <w:rFonts w:hint="eastAsia" w:ascii="仿宋" w:hAnsi="仿宋" w:eastAsia="仿宋" w:cs="仿宋"/>
                <w:sz w:val="28"/>
                <w:szCs w:val="28"/>
                <w:lang w:bidi="ar"/>
              </w:rPr>
              <w:t>名称2</w:t>
            </w:r>
          </w:p>
        </w:tc>
        <w:tc>
          <w:tcPr>
            <w:tcW w:w="1053" w:type="dxa"/>
            <w:tcBorders>
              <w:top w:val="single" w:color="auto" w:sz="2" w:space="0"/>
              <w:left w:val="single" w:color="auto" w:sz="2" w:space="0"/>
              <w:bottom w:val="single" w:color="auto" w:sz="2" w:space="0"/>
              <w:right w:val="single" w:color="auto" w:sz="2" w:space="0"/>
            </w:tcBorders>
            <w:vAlign w:val="center"/>
          </w:tcPr>
          <w:p w14:paraId="0EE62F64">
            <w:pPr>
              <w:wordWrap w:val="0"/>
              <w:ind w:left="-48" w:leftChars="-23" w:right="-65" w:rightChars="-31" w:firstLine="560" w:firstLineChars="200"/>
              <w:rPr>
                <w:rFonts w:hint="eastAsia" w:ascii="仿宋" w:hAnsi="仿宋" w:eastAsia="仿宋" w:cs="仿宋"/>
                <w:sz w:val="28"/>
                <w:szCs w:val="28"/>
              </w:rPr>
            </w:pPr>
          </w:p>
        </w:tc>
        <w:tc>
          <w:tcPr>
            <w:tcW w:w="847" w:type="dxa"/>
            <w:tcBorders>
              <w:top w:val="single" w:color="auto" w:sz="2" w:space="0"/>
              <w:left w:val="single" w:color="auto" w:sz="2" w:space="0"/>
              <w:bottom w:val="single" w:color="auto" w:sz="2" w:space="0"/>
              <w:right w:val="single" w:color="auto" w:sz="4" w:space="0"/>
            </w:tcBorders>
            <w:vAlign w:val="center"/>
          </w:tcPr>
          <w:p w14:paraId="1AC261B8">
            <w:pPr>
              <w:wordWrap w:val="0"/>
              <w:ind w:left="-48" w:leftChars="-23" w:right="-65" w:rightChars="-31" w:firstLine="560" w:firstLineChars="200"/>
              <w:jc w:val="center"/>
              <w:rPr>
                <w:rFonts w:hint="eastAsia" w:ascii="仿宋" w:hAnsi="仿宋" w:eastAsia="仿宋" w:cs="仿宋"/>
                <w:sz w:val="28"/>
                <w:szCs w:val="28"/>
              </w:rPr>
            </w:pPr>
          </w:p>
        </w:tc>
        <w:tc>
          <w:tcPr>
            <w:tcW w:w="847" w:type="dxa"/>
            <w:tcBorders>
              <w:top w:val="single" w:color="auto" w:sz="2" w:space="0"/>
              <w:left w:val="nil"/>
              <w:bottom w:val="single" w:color="auto" w:sz="2" w:space="0"/>
              <w:right w:val="single" w:color="auto" w:sz="2" w:space="0"/>
            </w:tcBorders>
            <w:vAlign w:val="center"/>
          </w:tcPr>
          <w:p w14:paraId="135A86AD">
            <w:pPr>
              <w:wordWrap w:val="0"/>
              <w:ind w:left="-48" w:leftChars="-23" w:right="-65" w:rightChars="-31" w:firstLine="560" w:firstLineChars="200"/>
              <w:jc w:val="center"/>
              <w:rPr>
                <w:rFonts w:hint="eastAsia" w:ascii="仿宋" w:hAnsi="仿宋" w:eastAsia="仿宋" w:cs="仿宋"/>
                <w:sz w:val="28"/>
                <w:szCs w:val="28"/>
              </w:rPr>
            </w:pPr>
          </w:p>
        </w:tc>
        <w:tc>
          <w:tcPr>
            <w:tcW w:w="856" w:type="dxa"/>
            <w:tcBorders>
              <w:top w:val="single" w:color="auto" w:sz="2" w:space="0"/>
              <w:left w:val="single" w:color="auto" w:sz="2" w:space="0"/>
              <w:bottom w:val="single" w:color="auto" w:sz="2" w:space="0"/>
              <w:right w:val="single" w:color="auto" w:sz="2" w:space="0"/>
            </w:tcBorders>
            <w:vAlign w:val="center"/>
          </w:tcPr>
          <w:p w14:paraId="152D23E1">
            <w:pPr>
              <w:wordWrap w:val="0"/>
              <w:ind w:left="-48" w:leftChars="-23" w:right="-65" w:rightChars="-31" w:firstLine="560" w:firstLineChars="200"/>
              <w:jc w:val="center"/>
              <w:rPr>
                <w:rFonts w:hint="eastAsia" w:ascii="仿宋" w:hAnsi="仿宋" w:eastAsia="仿宋" w:cs="仿宋"/>
                <w:sz w:val="28"/>
                <w:szCs w:val="28"/>
              </w:rPr>
            </w:pPr>
          </w:p>
        </w:tc>
        <w:tc>
          <w:tcPr>
            <w:tcW w:w="969" w:type="dxa"/>
            <w:tcBorders>
              <w:top w:val="single" w:color="auto" w:sz="2" w:space="0"/>
              <w:left w:val="single" w:color="auto" w:sz="2" w:space="0"/>
              <w:bottom w:val="single" w:color="auto" w:sz="2" w:space="0"/>
              <w:right w:val="single" w:color="auto" w:sz="2" w:space="0"/>
            </w:tcBorders>
            <w:vAlign w:val="center"/>
          </w:tcPr>
          <w:p w14:paraId="72B693ED">
            <w:pPr>
              <w:wordWrap w:val="0"/>
              <w:ind w:left="-48" w:leftChars="-23" w:right="-65" w:rightChars="-31" w:firstLine="560" w:firstLineChars="200"/>
              <w:rPr>
                <w:rFonts w:hint="eastAsia" w:ascii="仿宋" w:hAnsi="仿宋" w:eastAsia="仿宋" w:cs="仿宋"/>
                <w:sz w:val="28"/>
                <w:szCs w:val="28"/>
              </w:rPr>
            </w:pPr>
          </w:p>
        </w:tc>
        <w:tc>
          <w:tcPr>
            <w:tcW w:w="1317" w:type="dxa"/>
            <w:tcBorders>
              <w:top w:val="single" w:color="auto" w:sz="2" w:space="0"/>
              <w:left w:val="single" w:color="auto" w:sz="2" w:space="0"/>
              <w:bottom w:val="single" w:color="auto" w:sz="2" w:space="0"/>
              <w:right w:val="single" w:color="auto" w:sz="2" w:space="0"/>
            </w:tcBorders>
            <w:vAlign w:val="center"/>
          </w:tcPr>
          <w:p w14:paraId="3981D9D1">
            <w:pPr>
              <w:wordWrap w:val="0"/>
              <w:ind w:left="-48" w:leftChars="-23" w:right="-65" w:rightChars="-31" w:firstLine="560" w:firstLineChars="200"/>
              <w:jc w:val="center"/>
              <w:rPr>
                <w:rFonts w:hint="eastAsia" w:ascii="仿宋" w:hAnsi="仿宋" w:eastAsia="仿宋" w:cs="仿宋"/>
                <w:sz w:val="28"/>
                <w:szCs w:val="28"/>
              </w:rPr>
            </w:pPr>
          </w:p>
        </w:tc>
      </w:tr>
      <w:tr w14:paraId="74AC45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847" w:type="dxa"/>
            <w:tcBorders>
              <w:top w:val="single" w:color="auto" w:sz="2" w:space="0"/>
              <w:left w:val="single" w:color="auto" w:sz="2" w:space="0"/>
              <w:bottom w:val="single" w:color="auto" w:sz="2" w:space="0"/>
              <w:right w:val="single" w:color="auto" w:sz="2" w:space="0"/>
            </w:tcBorders>
            <w:vAlign w:val="center"/>
          </w:tcPr>
          <w:p w14:paraId="5AFFFD9C">
            <w:pPr>
              <w:wordWrap w:val="0"/>
              <w:ind w:left="-48" w:leftChars="-23" w:right="-65" w:rightChars="-31" w:firstLine="560" w:firstLineChars="200"/>
              <w:jc w:val="center"/>
              <w:rPr>
                <w:rFonts w:hint="eastAsia" w:ascii="仿宋" w:hAnsi="仿宋" w:eastAsia="仿宋" w:cs="仿宋"/>
                <w:sz w:val="28"/>
                <w:szCs w:val="28"/>
              </w:rPr>
            </w:pPr>
            <w:r>
              <w:rPr>
                <w:rFonts w:hint="eastAsia" w:ascii="仿宋" w:hAnsi="仿宋" w:eastAsia="仿宋" w:cs="仿宋"/>
                <w:sz w:val="28"/>
                <w:szCs w:val="28"/>
                <w:lang w:bidi="ar"/>
              </w:rPr>
              <w:t>…</w:t>
            </w:r>
          </w:p>
        </w:tc>
        <w:tc>
          <w:tcPr>
            <w:tcW w:w="2031" w:type="dxa"/>
            <w:tcBorders>
              <w:top w:val="single" w:color="auto" w:sz="2" w:space="0"/>
              <w:left w:val="single" w:color="auto" w:sz="2" w:space="0"/>
              <w:bottom w:val="single" w:color="auto" w:sz="2" w:space="0"/>
              <w:right w:val="single" w:color="auto" w:sz="2" w:space="0"/>
            </w:tcBorders>
            <w:vAlign w:val="center"/>
          </w:tcPr>
          <w:p w14:paraId="436DD989">
            <w:pPr>
              <w:wordWrap w:val="0"/>
              <w:ind w:left="-48" w:leftChars="-23" w:right="-65" w:rightChars="-31" w:firstLine="560" w:firstLineChars="200"/>
              <w:jc w:val="center"/>
              <w:rPr>
                <w:rFonts w:hint="eastAsia" w:ascii="仿宋" w:hAnsi="仿宋" w:eastAsia="仿宋" w:cs="仿宋"/>
                <w:sz w:val="28"/>
                <w:szCs w:val="28"/>
              </w:rPr>
            </w:pPr>
            <w:r>
              <w:rPr>
                <w:rFonts w:hint="eastAsia" w:ascii="仿宋" w:hAnsi="仿宋" w:eastAsia="仿宋" w:cs="仿宋"/>
                <w:sz w:val="28"/>
                <w:szCs w:val="28"/>
                <w:lang w:bidi="ar"/>
              </w:rPr>
              <w:t>……</w:t>
            </w:r>
          </w:p>
        </w:tc>
        <w:tc>
          <w:tcPr>
            <w:tcW w:w="1053" w:type="dxa"/>
            <w:tcBorders>
              <w:top w:val="single" w:color="auto" w:sz="2" w:space="0"/>
              <w:left w:val="single" w:color="auto" w:sz="2" w:space="0"/>
              <w:bottom w:val="single" w:color="auto" w:sz="2" w:space="0"/>
              <w:right w:val="single" w:color="auto" w:sz="2" w:space="0"/>
            </w:tcBorders>
            <w:vAlign w:val="center"/>
          </w:tcPr>
          <w:p w14:paraId="53053A36">
            <w:pPr>
              <w:wordWrap w:val="0"/>
              <w:ind w:left="-48" w:leftChars="-23" w:right="-65" w:rightChars="-31" w:firstLine="560" w:firstLineChars="200"/>
              <w:rPr>
                <w:rFonts w:hint="eastAsia" w:ascii="仿宋" w:hAnsi="仿宋" w:eastAsia="仿宋" w:cs="仿宋"/>
                <w:sz w:val="28"/>
                <w:szCs w:val="28"/>
              </w:rPr>
            </w:pPr>
            <w:r>
              <w:rPr>
                <w:rFonts w:hint="eastAsia" w:ascii="仿宋" w:hAnsi="仿宋" w:eastAsia="仿宋" w:cs="仿宋"/>
                <w:sz w:val="28"/>
                <w:szCs w:val="28"/>
                <w:lang w:bidi="ar"/>
              </w:rPr>
              <w:t>…</w:t>
            </w:r>
          </w:p>
        </w:tc>
        <w:tc>
          <w:tcPr>
            <w:tcW w:w="847" w:type="dxa"/>
            <w:tcBorders>
              <w:top w:val="single" w:color="auto" w:sz="2" w:space="0"/>
              <w:left w:val="single" w:color="auto" w:sz="2" w:space="0"/>
              <w:bottom w:val="single" w:color="auto" w:sz="2" w:space="0"/>
              <w:right w:val="single" w:color="auto" w:sz="4" w:space="0"/>
            </w:tcBorders>
            <w:vAlign w:val="center"/>
          </w:tcPr>
          <w:p w14:paraId="6AE78EC3">
            <w:pPr>
              <w:wordWrap w:val="0"/>
              <w:ind w:left="-48" w:leftChars="-23" w:right="-65" w:rightChars="-31" w:firstLine="560" w:firstLineChars="200"/>
              <w:jc w:val="center"/>
              <w:rPr>
                <w:rFonts w:hint="eastAsia" w:ascii="仿宋" w:hAnsi="仿宋" w:eastAsia="仿宋" w:cs="仿宋"/>
                <w:sz w:val="28"/>
                <w:szCs w:val="28"/>
              </w:rPr>
            </w:pPr>
            <w:r>
              <w:rPr>
                <w:rFonts w:hint="eastAsia" w:ascii="仿宋" w:hAnsi="仿宋" w:eastAsia="仿宋" w:cs="仿宋"/>
                <w:sz w:val="28"/>
                <w:szCs w:val="28"/>
                <w:lang w:bidi="ar"/>
              </w:rPr>
              <w:t>…</w:t>
            </w:r>
          </w:p>
        </w:tc>
        <w:tc>
          <w:tcPr>
            <w:tcW w:w="847" w:type="dxa"/>
            <w:tcBorders>
              <w:top w:val="single" w:color="auto" w:sz="2" w:space="0"/>
              <w:left w:val="nil"/>
              <w:bottom w:val="single" w:color="auto" w:sz="2" w:space="0"/>
              <w:right w:val="single" w:color="auto" w:sz="2" w:space="0"/>
            </w:tcBorders>
            <w:vAlign w:val="center"/>
          </w:tcPr>
          <w:p w14:paraId="266963A6">
            <w:pPr>
              <w:wordWrap w:val="0"/>
              <w:ind w:left="-48" w:leftChars="-23" w:right="-65" w:rightChars="-31" w:firstLine="560" w:firstLineChars="200"/>
              <w:jc w:val="center"/>
              <w:rPr>
                <w:rFonts w:hint="eastAsia" w:ascii="仿宋" w:hAnsi="仿宋" w:eastAsia="仿宋" w:cs="仿宋"/>
                <w:sz w:val="28"/>
                <w:szCs w:val="28"/>
              </w:rPr>
            </w:pPr>
            <w:r>
              <w:rPr>
                <w:rFonts w:hint="eastAsia" w:ascii="仿宋" w:hAnsi="仿宋" w:eastAsia="仿宋" w:cs="仿宋"/>
                <w:sz w:val="28"/>
                <w:szCs w:val="28"/>
                <w:lang w:bidi="ar"/>
              </w:rPr>
              <w:t>…</w:t>
            </w:r>
          </w:p>
        </w:tc>
        <w:tc>
          <w:tcPr>
            <w:tcW w:w="856" w:type="dxa"/>
            <w:tcBorders>
              <w:top w:val="single" w:color="auto" w:sz="2" w:space="0"/>
              <w:left w:val="single" w:color="auto" w:sz="2" w:space="0"/>
              <w:bottom w:val="single" w:color="auto" w:sz="2" w:space="0"/>
              <w:right w:val="single" w:color="auto" w:sz="2" w:space="0"/>
            </w:tcBorders>
            <w:vAlign w:val="center"/>
          </w:tcPr>
          <w:p w14:paraId="30ABB0E7">
            <w:pPr>
              <w:wordWrap w:val="0"/>
              <w:ind w:left="-48" w:leftChars="-23" w:right="-65" w:rightChars="-31" w:firstLine="560" w:firstLineChars="200"/>
              <w:jc w:val="center"/>
              <w:rPr>
                <w:rFonts w:hint="eastAsia" w:ascii="仿宋" w:hAnsi="仿宋" w:eastAsia="仿宋" w:cs="仿宋"/>
                <w:sz w:val="28"/>
                <w:szCs w:val="28"/>
              </w:rPr>
            </w:pPr>
            <w:r>
              <w:rPr>
                <w:rFonts w:hint="eastAsia" w:ascii="仿宋" w:hAnsi="仿宋" w:eastAsia="仿宋" w:cs="仿宋"/>
                <w:sz w:val="28"/>
                <w:szCs w:val="28"/>
                <w:lang w:bidi="ar"/>
              </w:rPr>
              <w:t>…</w:t>
            </w:r>
          </w:p>
        </w:tc>
        <w:tc>
          <w:tcPr>
            <w:tcW w:w="969" w:type="dxa"/>
            <w:tcBorders>
              <w:top w:val="single" w:color="auto" w:sz="2" w:space="0"/>
              <w:left w:val="single" w:color="auto" w:sz="2" w:space="0"/>
              <w:bottom w:val="single" w:color="auto" w:sz="2" w:space="0"/>
              <w:right w:val="single" w:color="auto" w:sz="2" w:space="0"/>
            </w:tcBorders>
            <w:vAlign w:val="center"/>
          </w:tcPr>
          <w:p w14:paraId="7C0E1A42">
            <w:pPr>
              <w:wordWrap w:val="0"/>
              <w:ind w:left="-48" w:leftChars="-23" w:right="-65" w:rightChars="-31" w:firstLine="560" w:firstLineChars="200"/>
              <w:rPr>
                <w:rFonts w:hint="eastAsia" w:ascii="仿宋" w:hAnsi="仿宋" w:eastAsia="仿宋" w:cs="仿宋"/>
                <w:sz w:val="28"/>
                <w:szCs w:val="28"/>
              </w:rPr>
            </w:pPr>
            <w:r>
              <w:rPr>
                <w:rFonts w:hint="eastAsia" w:ascii="仿宋" w:hAnsi="仿宋" w:eastAsia="仿宋" w:cs="仿宋"/>
                <w:sz w:val="28"/>
                <w:szCs w:val="28"/>
                <w:lang w:bidi="ar"/>
              </w:rPr>
              <w:t>…</w:t>
            </w:r>
          </w:p>
        </w:tc>
        <w:tc>
          <w:tcPr>
            <w:tcW w:w="1317" w:type="dxa"/>
            <w:tcBorders>
              <w:top w:val="single" w:color="auto" w:sz="2" w:space="0"/>
              <w:left w:val="single" w:color="auto" w:sz="2" w:space="0"/>
              <w:bottom w:val="single" w:color="auto" w:sz="2" w:space="0"/>
              <w:right w:val="single" w:color="auto" w:sz="2" w:space="0"/>
            </w:tcBorders>
            <w:vAlign w:val="center"/>
          </w:tcPr>
          <w:p w14:paraId="23FC2273">
            <w:pPr>
              <w:wordWrap w:val="0"/>
              <w:ind w:left="-48" w:leftChars="-23" w:right="-65" w:rightChars="-31" w:firstLine="560" w:firstLineChars="200"/>
              <w:jc w:val="center"/>
              <w:rPr>
                <w:rFonts w:hint="eastAsia" w:ascii="仿宋" w:hAnsi="仿宋" w:eastAsia="仿宋" w:cs="仿宋"/>
                <w:sz w:val="28"/>
                <w:szCs w:val="28"/>
              </w:rPr>
            </w:pPr>
            <w:r>
              <w:rPr>
                <w:rFonts w:hint="eastAsia" w:ascii="仿宋" w:hAnsi="仿宋" w:eastAsia="仿宋" w:cs="仿宋"/>
                <w:sz w:val="28"/>
                <w:szCs w:val="28"/>
                <w:lang w:bidi="ar"/>
              </w:rPr>
              <w:t>…</w:t>
            </w:r>
          </w:p>
        </w:tc>
      </w:tr>
      <w:tr w14:paraId="375A82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5" w:hRule="atLeast"/>
          <w:jc w:val="center"/>
        </w:trPr>
        <w:tc>
          <w:tcPr>
            <w:tcW w:w="6481" w:type="dxa"/>
            <w:gridSpan w:val="6"/>
            <w:tcBorders>
              <w:top w:val="single" w:color="auto" w:sz="2" w:space="0"/>
              <w:left w:val="single" w:color="auto" w:sz="2" w:space="0"/>
              <w:bottom w:val="single" w:color="auto" w:sz="2" w:space="0"/>
              <w:right w:val="single" w:color="auto" w:sz="2" w:space="0"/>
            </w:tcBorders>
            <w:vAlign w:val="center"/>
          </w:tcPr>
          <w:p w14:paraId="1014F580">
            <w:pPr>
              <w:wordWrap w:val="0"/>
              <w:ind w:left="-48" w:leftChars="-23" w:right="-65" w:rightChars="-31" w:firstLine="562" w:firstLineChars="200"/>
              <w:jc w:val="center"/>
              <w:rPr>
                <w:rFonts w:hint="eastAsia" w:ascii="仿宋" w:hAnsi="仿宋" w:eastAsia="仿宋" w:cs="仿宋"/>
                <w:b/>
                <w:sz w:val="28"/>
                <w:szCs w:val="28"/>
              </w:rPr>
            </w:pPr>
            <w:r>
              <w:rPr>
                <w:rFonts w:hint="eastAsia" w:ascii="仿宋" w:hAnsi="仿宋" w:eastAsia="仿宋" w:cs="仿宋"/>
                <w:b/>
                <w:sz w:val="28"/>
                <w:szCs w:val="28"/>
                <w:lang w:bidi="ar"/>
              </w:rPr>
              <w:t>合计</w:t>
            </w:r>
          </w:p>
        </w:tc>
        <w:tc>
          <w:tcPr>
            <w:tcW w:w="2286" w:type="dxa"/>
            <w:gridSpan w:val="2"/>
            <w:tcBorders>
              <w:top w:val="single" w:color="auto" w:sz="2" w:space="0"/>
              <w:left w:val="single" w:color="auto" w:sz="2" w:space="0"/>
              <w:bottom w:val="single" w:color="auto" w:sz="2" w:space="0"/>
              <w:right w:val="single" w:color="auto" w:sz="2" w:space="0"/>
            </w:tcBorders>
            <w:vAlign w:val="center"/>
          </w:tcPr>
          <w:p w14:paraId="1980026D">
            <w:pPr>
              <w:wordWrap w:val="0"/>
              <w:ind w:left="-48" w:leftChars="-23" w:right="-65" w:rightChars="-31" w:firstLine="560" w:firstLineChars="200"/>
              <w:rPr>
                <w:rFonts w:hint="eastAsia" w:ascii="仿宋" w:hAnsi="仿宋" w:eastAsia="仿宋" w:cs="仿宋"/>
                <w:sz w:val="28"/>
                <w:szCs w:val="28"/>
              </w:rPr>
            </w:pPr>
          </w:p>
        </w:tc>
      </w:tr>
    </w:tbl>
    <w:p w14:paraId="49C96122">
      <w:pPr>
        <w:rPr>
          <w:rFonts w:hint="eastAsia" w:ascii="仿宋" w:hAnsi="仿宋" w:eastAsia="仿宋" w:cs="仿宋"/>
          <w:b/>
          <w:sz w:val="28"/>
          <w:szCs w:val="28"/>
          <w:lang w:bidi="ar"/>
        </w:rPr>
      </w:pPr>
      <w:r>
        <w:rPr>
          <w:rFonts w:hint="eastAsia" w:ascii="仿宋" w:hAnsi="仿宋" w:eastAsia="仿宋" w:cs="仿宋"/>
          <w:b/>
          <w:sz w:val="28"/>
          <w:szCs w:val="28"/>
          <w:lang w:bidi="ar"/>
        </w:rPr>
        <w:br w:type="page"/>
      </w:r>
    </w:p>
    <w:p w14:paraId="177DEB28">
      <w:pPr>
        <w:pStyle w:val="17"/>
        <w:widowControl w:val="0"/>
        <w:wordWrap w:val="0"/>
        <w:spacing w:before="78" w:beforeLines="25" w:beforeAutospacing="0" w:after="0" w:afterAutospacing="0" w:line="360" w:lineRule="auto"/>
        <w:jc w:val="both"/>
        <w:rPr>
          <w:rFonts w:hint="eastAsia" w:ascii="仿宋" w:hAnsi="仿宋" w:eastAsia="仿宋" w:cs="仿宋"/>
          <w:bCs/>
          <w:kern w:val="2"/>
          <w:sz w:val="28"/>
          <w:szCs w:val="28"/>
        </w:rPr>
      </w:pPr>
      <w:r>
        <w:rPr>
          <w:rFonts w:hint="eastAsia" w:ascii="仿宋" w:hAnsi="仿宋" w:eastAsia="仿宋" w:cs="仿宋"/>
          <w:b/>
          <w:kern w:val="2"/>
          <w:sz w:val="28"/>
          <w:szCs w:val="28"/>
          <w:lang w:bidi="ar"/>
        </w:rPr>
        <w:t>三、货物（服务）质量</w:t>
      </w:r>
    </w:p>
    <w:p w14:paraId="210D15DB">
      <w:pPr>
        <w:wordWrap w:val="0"/>
        <w:autoSpaceDE w:val="0"/>
        <w:autoSpaceDN w:val="0"/>
        <w:spacing w:before="78" w:beforeLines="25"/>
        <w:ind w:firstLine="560" w:firstLineChars="200"/>
        <w:contextualSpacing/>
        <w:rPr>
          <w:rFonts w:hint="eastAsia" w:ascii="仿宋" w:hAnsi="仿宋" w:eastAsia="仿宋" w:cs="仿宋"/>
          <w:bCs/>
          <w:iCs/>
          <w:sz w:val="28"/>
          <w:szCs w:val="28"/>
        </w:rPr>
      </w:pPr>
      <w:r>
        <w:rPr>
          <w:rFonts w:hint="eastAsia" w:ascii="仿宋" w:hAnsi="仿宋" w:eastAsia="仿宋" w:cs="仿宋"/>
          <w:i/>
          <w:iCs/>
          <w:sz w:val="28"/>
          <w:szCs w:val="28"/>
          <w:lang w:bidi="ar"/>
        </w:rPr>
        <w:t xml:space="preserve"> </w:t>
      </w:r>
      <w:r>
        <w:rPr>
          <w:rFonts w:hint="eastAsia" w:ascii="仿宋" w:hAnsi="仿宋" w:eastAsia="仿宋" w:cs="仿宋"/>
          <w:iCs/>
          <w:sz w:val="28"/>
          <w:szCs w:val="28"/>
          <w:u w:val="single"/>
          <w:lang w:bidi="ar"/>
        </w:rPr>
        <w:t xml:space="preserve">          </w:t>
      </w:r>
      <w:r>
        <w:rPr>
          <w:rFonts w:hint="eastAsia" w:ascii="仿宋" w:hAnsi="仿宋" w:eastAsia="仿宋" w:cs="仿宋"/>
          <w:iCs/>
          <w:sz w:val="28"/>
          <w:szCs w:val="28"/>
          <w:u w:val="single"/>
          <w:lang w:eastAsia="zh-CN" w:bidi="ar"/>
        </w:rPr>
        <w:t>（</w:t>
      </w:r>
      <w:r>
        <w:rPr>
          <w:rFonts w:hint="eastAsia" w:ascii="仿宋" w:hAnsi="仿宋" w:eastAsia="仿宋" w:cs="仿宋"/>
          <w:sz w:val="28"/>
          <w:szCs w:val="28"/>
          <w:u w:val="single"/>
          <w:lang w:bidi="ar"/>
        </w:rPr>
        <w:t>以磋商谈判文件要求以及响应文件的响应</w:t>
      </w:r>
      <w:r>
        <w:rPr>
          <w:rFonts w:hint="eastAsia" w:ascii="仿宋" w:hAnsi="仿宋" w:eastAsia="仿宋" w:cs="仿宋"/>
          <w:sz w:val="28"/>
          <w:szCs w:val="28"/>
          <w:u w:val="single"/>
          <w:lang w:eastAsia="zh-CN" w:bidi="ar"/>
        </w:rPr>
        <w:t>）</w:t>
      </w:r>
      <w:r>
        <w:rPr>
          <w:rFonts w:hint="eastAsia" w:ascii="仿宋" w:hAnsi="仿宋" w:eastAsia="仿宋" w:cs="仿宋"/>
          <w:iCs/>
          <w:sz w:val="28"/>
          <w:szCs w:val="28"/>
          <w:u w:val="single"/>
          <w:lang w:bidi="ar"/>
        </w:rPr>
        <w:t xml:space="preserve">                    </w:t>
      </w:r>
      <w:r>
        <w:rPr>
          <w:rFonts w:hint="eastAsia" w:ascii="仿宋" w:hAnsi="仿宋" w:eastAsia="仿宋" w:cs="仿宋"/>
          <w:iCs/>
          <w:sz w:val="28"/>
          <w:szCs w:val="28"/>
          <w:lang w:bidi="ar"/>
        </w:rPr>
        <w:t xml:space="preserve">。  </w:t>
      </w:r>
    </w:p>
    <w:p w14:paraId="747CB6EB">
      <w:pPr>
        <w:pStyle w:val="17"/>
        <w:widowControl w:val="0"/>
        <w:wordWrap w:val="0"/>
        <w:spacing w:before="78" w:beforeLines="25" w:beforeAutospacing="0" w:after="0" w:afterAutospacing="0" w:line="360" w:lineRule="auto"/>
        <w:jc w:val="both"/>
        <w:rPr>
          <w:rFonts w:hint="eastAsia" w:ascii="仿宋" w:hAnsi="仿宋" w:eastAsia="仿宋" w:cs="仿宋"/>
          <w:bCs/>
          <w:kern w:val="2"/>
          <w:sz w:val="28"/>
          <w:szCs w:val="28"/>
        </w:rPr>
      </w:pPr>
      <w:bookmarkStart w:id="58" w:name="_Toc6452"/>
      <w:bookmarkStart w:id="59" w:name="_Toc18468"/>
      <w:r>
        <w:rPr>
          <w:rFonts w:hint="eastAsia" w:ascii="仿宋" w:hAnsi="仿宋" w:eastAsia="仿宋" w:cs="仿宋"/>
          <w:b/>
          <w:kern w:val="2"/>
          <w:sz w:val="28"/>
          <w:szCs w:val="28"/>
          <w:lang w:bidi="ar"/>
        </w:rPr>
        <w:t>四、合同履行时间（期限）、地点和方式</w:t>
      </w:r>
      <w:bookmarkEnd w:id="58"/>
      <w:bookmarkEnd w:id="59"/>
    </w:p>
    <w:p w14:paraId="668FF073">
      <w:pPr>
        <w:wordWrap w:val="0"/>
        <w:autoSpaceDE w:val="0"/>
        <w:autoSpaceDN w:val="0"/>
        <w:spacing w:before="78" w:beforeLines="25"/>
        <w:ind w:firstLine="560" w:firstLineChars="200"/>
        <w:contextualSpacing/>
        <w:rPr>
          <w:rFonts w:hint="eastAsia" w:ascii="仿宋" w:hAnsi="仿宋" w:eastAsia="仿宋" w:cs="仿宋"/>
          <w:sz w:val="28"/>
          <w:szCs w:val="28"/>
        </w:rPr>
      </w:pPr>
      <w:r>
        <w:rPr>
          <w:rFonts w:hint="eastAsia" w:ascii="仿宋" w:hAnsi="仿宋" w:eastAsia="仿宋" w:cs="仿宋"/>
          <w:sz w:val="28"/>
          <w:szCs w:val="28"/>
          <w:lang w:bidi="ar"/>
        </w:rPr>
        <w:t>1．合同履行时间：自</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年</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月</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日至</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年</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月</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日止；</w:t>
      </w:r>
    </w:p>
    <w:p w14:paraId="7BA35DD6">
      <w:pPr>
        <w:wordWrap w:val="0"/>
        <w:autoSpaceDE w:val="0"/>
        <w:autoSpaceDN w:val="0"/>
        <w:spacing w:before="78" w:beforeLines="25"/>
        <w:ind w:firstLine="560" w:firstLineChars="200"/>
        <w:contextualSpacing/>
        <w:rPr>
          <w:rFonts w:hint="eastAsia" w:ascii="仿宋" w:hAnsi="仿宋" w:eastAsia="仿宋" w:cs="仿宋"/>
          <w:sz w:val="28"/>
          <w:szCs w:val="28"/>
        </w:rPr>
      </w:pPr>
      <w:r>
        <w:rPr>
          <w:rFonts w:hint="eastAsia" w:ascii="仿宋" w:hAnsi="仿宋" w:eastAsia="仿宋" w:cs="仿宋"/>
          <w:sz w:val="28"/>
          <w:szCs w:val="28"/>
          <w:lang w:bidi="ar"/>
        </w:rPr>
        <w:t>2．交付或服务地点及方式：</w:t>
      </w:r>
      <w:r>
        <w:rPr>
          <w:rFonts w:hint="eastAsia" w:ascii="仿宋" w:hAnsi="仿宋" w:eastAsia="仿宋" w:cs="仿宋"/>
          <w:sz w:val="28"/>
          <w:szCs w:val="28"/>
          <w:u w:val="single"/>
          <w:lang w:bidi="ar"/>
        </w:rPr>
        <w:t xml:space="preserve">      </w:t>
      </w:r>
      <w:r>
        <w:rPr>
          <w:rFonts w:hint="eastAsia" w:ascii="仿宋" w:hAnsi="仿宋" w:eastAsia="仿宋" w:cs="仿宋"/>
          <w:i/>
          <w:sz w:val="28"/>
          <w:szCs w:val="28"/>
          <w:u w:val="single"/>
          <w:lang w:bidi="ar"/>
        </w:rPr>
        <w:t xml:space="preserve"> </w:t>
      </w:r>
      <w:r>
        <w:rPr>
          <w:rFonts w:hint="eastAsia" w:ascii="仿宋" w:hAnsi="仿宋" w:eastAsia="仿宋" w:cs="仿宋"/>
          <w:sz w:val="28"/>
          <w:szCs w:val="28"/>
          <w:u w:val="single"/>
          <w:lang w:bidi="ar"/>
        </w:rPr>
        <w:t xml:space="preserve">                 </w:t>
      </w:r>
      <w:r>
        <w:rPr>
          <w:rFonts w:hint="eastAsia" w:ascii="仿宋" w:hAnsi="仿宋" w:eastAsia="仿宋" w:cs="仿宋"/>
          <w:i/>
          <w:sz w:val="28"/>
          <w:szCs w:val="28"/>
          <w:lang w:bidi="ar"/>
        </w:rPr>
        <w:t>。</w:t>
      </w:r>
    </w:p>
    <w:p w14:paraId="750438CF">
      <w:pPr>
        <w:pStyle w:val="17"/>
        <w:widowControl w:val="0"/>
        <w:wordWrap w:val="0"/>
        <w:spacing w:before="78" w:beforeLines="25" w:beforeAutospacing="0" w:after="0" w:afterAutospacing="0" w:line="360" w:lineRule="auto"/>
        <w:jc w:val="both"/>
        <w:rPr>
          <w:rFonts w:hint="eastAsia" w:ascii="仿宋" w:hAnsi="仿宋" w:eastAsia="仿宋" w:cs="仿宋"/>
          <w:bCs/>
          <w:kern w:val="2"/>
          <w:sz w:val="28"/>
          <w:szCs w:val="28"/>
        </w:rPr>
      </w:pPr>
      <w:bookmarkStart w:id="60" w:name="_Toc21834"/>
      <w:bookmarkStart w:id="61" w:name="_Toc28791"/>
      <w:r>
        <w:rPr>
          <w:rFonts w:hint="eastAsia" w:ascii="仿宋" w:hAnsi="仿宋" w:eastAsia="仿宋" w:cs="仿宋"/>
          <w:b/>
          <w:kern w:val="2"/>
          <w:sz w:val="28"/>
          <w:szCs w:val="28"/>
          <w:lang w:bidi="ar"/>
        </w:rPr>
        <w:t>五、</w:t>
      </w:r>
      <w:r>
        <w:rPr>
          <w:rFonts w:hint="eastAsia" w:ascii="仿宋" w:hAnsi="仿宋" w:eastAsia="仿宋" w:cs="仿宋"/>
          <w:b/>
          <w:iCs/>
          <w:kern w:val="2"/>
          <w:sz w:val="28"/>
          <w:szCs w:val="28"/>
          <w:lang w:bidi="ar"/>
        </w:rPr>
        <w:t>包装及运输</w:t>
      </w:r>
      <w:bookmarkEnd w:id="60"/>
      <w:bookmarkEnd w:id="61"/>
    </w:p>
    <w:p w14:paraId="4FCE0262">
      <w:pPr>
        <w:wordWrap w:val="0"/>
        <w:autoSpaceDE w:val="0"/>
        <w:autoSpaceDN w:val="0"/>
        <w:spacing w:before="78" w:beforeLines="25"/>
        <w:ind w:firstLine="560" w:firstLineChars="200"/>
        <w:contextualSpacing/>
        <w:rPr>
          <w:rFonts w:hint="eastAsia" w:ascii="仿宋" w:hAnsi="仿宋" w:eastAsia="仿宋" w:cs="仿宋"/>
          <w:sz w:val="28"/>
          <w:szCs w:val="28"/>
        </w:rPr>
      </w:pP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w:t>
      </w:r>
    </w:p>
    <w:p w14:paraId="09670C8E">
      <w:pPr>
        <w:pStyle w:val="17"/>
        <w:widowControl w:val="0"/>
        <w:wordWrap w:val="0"/>
        <w:spacing w:before="78" w:beforeLines="25" w:beforeAutospacing="0" w:after="0" w:afterAutospacing="0" w:line="360" w:lineRule="auto"/>
        <w:jc w:val="both"/>
        <w:rPr>
          <w:rFonts w:hint="eastAsia" w:ascii="仿宋" w:hAnsi="仿宋" w:eastAsia="仿宋" w:cs="仿宋"/>
          <w:bCs/>
          <w:kern w:val="2"/>
          <w:sz w:val="28"/>
          <w:szCs w:val="28"/>
        </w:rPr>
      </w:pPr>
      <w:bookmarkStart w:id="62" w:name="_Toc25557"/>
      <w:bookmarkStart w:id="63" w:name="_Toc18683"/>
      <w:r>
        <w:rPr>
          <w:rFonts w:hint="eastAsia" w:ascii="仿宋" w:hAnsi="仿宋" w:eastAsia="仿宋" w:cs="仿宋"/>
          <w:b/>
          <w:kern w:val="2"/>
          <w:sz w:val="28"/>
          <w:szCs w:val="28"/>
          <w:lang w:bidi="ar"/>
        </w:rPr>
        <w:t>六、合同价款</w:t>
      </w:r>
      <w:bookmarkEnd w:id="62"/>
      <w:bookmarkEnd w:id="63"/>
      <w:r>
        <w:rPr>
          <w:rFonts w:hint="eastAsia" w:ascii="仿宋" w:hAnsi="仿宋" w:eastAsia="仿宋" w:cs="仿宋"/>
          <w:b/>
          <w:kern w:val="2"/>
          <w:sz w:val="28"/>
          <w:szCs w:val="28"/>
          <w:lang w:bidi="ar"/>
        </w:rPr>
        <w:t xml:space="preserve">  </w:t>
      </w:r>
    </w:p>
    <w:p w14:paraId="6A29B235">
      <w:pPr>
        <w:wordWrap w:val="0"/>
        <w:autoSpaceDE w:val="0"/>
        <w:autoSpaceDN w:val="0"/>
        <w:spacing w:before="78" w:beforeLines="25"/>
        <w:ind w:firstLine="560" w:firstLineChars="200"/>
        <w:contextualSpacing/>
        <w:rPr>
          <w:rFonts w:hint="eastAsia" w:ascii="仿宋" w:hAnsi="仿宋" w:eastAsia="仿宋" w:cs="仿宋"/>
          <w:sz w:val="28"/>
          <w:szCs w:val="28"/>
        </w:rPr>
      </w:pPr>
      <w:r>
        <w:rPr>
          <w:rFonts w:hint="eastAsia" w:ascii="仿宋" w:hAnsi="仿宋" w:eastAsia="仿宋" w:cs="仿宋"/>
          <w:sz w:val="28"/>
          <w:szCs w:val="28"/>
          <w:lang w:bidi="ar"/>
        </w:rPr>
        <w:t>1．本合同金额为（大写）：人民币</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元（¥：</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w:t>
      </w:r>
    </w:p>
    <w:p w14:paraId="3B4BAF5D">
      <w:pPr>
        <w:wordWrap w:val="0"/>
        <w:autoSpaceDE w:val="0"/>
        <w:autoSpaceDN w:val="0"/>
        <w:spacing w:before="78" w:beforeLines="25"/>
        <w:ind w:firstLine="560" w:firstLineChars="200"/>
        <w:contextualSpacing/>
        <w:rPr>
          <w:rFonts w:hint="eastAsia" w:ascii="仿宋" w:hAnsi="仿宋" w:eastAsia="仿宋" w:cs="仿宋"/>
          <w:sz w:val="28"/>
          <w:szCs w:val="28"/>
        </w:rPr>
      </w:pPr>
      <w:r>
        <w:rPr>
          <w:rFonts w:hint="eastAsia" w:ascii="仿宋" w:hAnsi="仿宋" w:eastAsia="仿宋" w:cs="仿宋"/>
          <w:sz w:val="28"/>
          <w:szCs w:val="28"/>
          <w:lang w:bidi="ar"/>
        </w:rPr>
        <w:t>2．合同金额包括乙方完成本合同约定的全部工作可能发生的所有费用（含市场变化等可能发生的费用），即总报价为“交钥匙”价。甲方在支付此金额后，不再因本合同支付任何其它费用；</w:t>
      </w:r>
    </w:p>
    <w:p w14:paraId="1098850C">
      <w:pPr>
        <w:wordWrap w:val="0"/>
        <w:autoSpaceDE w:val="0"/>
        <w:autoSpaceDN w:val="0"/>
        <w:spacing w:before="78" w:beforeLines="25"/>
        <w:ind w:firstLine="560" w:firstLineChars="200"/>
        <w:contextualSpacing/>
        <w:rPr>
          <w:rFonts w:hint="eastAsia" w:ascii="仿宋" w:hAnsi="仿宋" w:eastAsia="仿宋" w:cs="仿宋"/>
          <w:sz w:val="28"/>
          <w:szCs w:val="28"/>
          <w:u w:val="single"/>
        </w:rPr>
      </w:pPr>
      <w:r>
        <w:rPr>
          <w:rFonts w:hint="eastAsia" w:ascii="仿宋" w:hAnsi="仿宋" w:eastAsia="仿宋" w:cs="仿宋"/>
          <w:sz w:val="28"/>
          <w:szCs w:val="28"/>
          <w:lang w:bidi="ar"/>
        </w:rPr>
        <w:t>3．</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w:t>
      </w:r>
    </w:p>
    <w:p w14:paraId="3C1BCCBF">
      <w:pPr>
        <w:pStyle w:val="17"/>
        <w:widowControl w:val="0"/>
        <w:wordWrap w:val="0"/>
        <w:spacing w:before="78" w:beforeLines="25" w:beforeAutospacing="0" w:after="0" w:afterAutospacing="0" w:line="360" w:lineRule="auto"/>
        <w:jc w:val="both"/>
        <w:rPr>
          <w:rFonts w:hint="eastAsia" w:ascii="仿宋" w:hAnsi="仿宋" w:eastAsia="仿宋" w:cs="仿宋"/>
          <w:bCs/>
          <w:kern w:val="2"/>
          <w:sz w:val="28"/>
          <w:szCs w:val="28"/>
        </w:rPr>
      </w:pPr>
      <w:bookmarkStart w:id="64" w:name="_Toc15490"/>
      <w:bookmarkStart w:id="65" w:name="_Toc23845"/>
      <w:r>
        <w:rPr>
          <w:rFonts w:hint="eastAsia" w:ascii="仿宋" w:hAnsi="仿宋" w:eastAsia="仿宋" w:cs="仿宋"/>
          <w:b/>
          <w:kern w:val="2"/>
          <w:sz w:val="28"/>
          <w:szCs w:val="28"/>
          <w:lang w:bidi="ar"/>
        </w:rPr>
        <w:t>七、资金支付方式及安排</w:t>
      </w:r>
      <w:bookmarkEnd w:id="64"/>
      <w:bookmarkEnd w:id="65"/>
    </w:p>
    <w:p w14:paraId="7A2E2C68">
      <w:pPr>
        <w:wordWrap w:val="0"/>
        <w:autoSpaceDE w:val="0"/>
        <w:autoSpaceDN w:val="0"/>
        <w:spacing w:before="78" w:beforeLines="25"/>
        <w:ind w:firstLine="560" w:firstLineChars="200"/>
        <w:contextualSpacing/>
        <w:rPr>
          <w:rFonts w:hint="eastAsia" w:ascii="仿宋" w:hAnsi="仿宋" w:eastAsia="仿宋" w:cs="仿宋"/>
          <w:bCs/>
          <w:iCs/>
          <w:sz w:val="28"/>
          <w:szCs w:val="28"/>
        </w:rPr>
      </w:pPr>
      <w:r>
        <w:rPr>
          <w:rFonts w:hint="eastAsia" w:ascii="仿宋" w:hAnsi="仿宋" w:eastAsia="仿宋" w:cs="仿宋"/>
          <w:bCs/>
          <w:iCs/>
          <w:sz w:val="28"/>
          <w:szCs w:val="28"/>
          <w:u w:val="single"/>
          <w:lang w:bidi="ar"/>
        </w:rPr>
        <w:t xml:space="preserve">                                    </w:t>
      </w:r>
      <w:r>
        <w:rPr>
          <w:rFonts w:hint="eastAsia" w:ascii="仿宋" w:hAnsi="仿宋" w:eastAsia="仿宋" w:cs="仿宋"/>
          <w:bCs/>
          <w:iCs/>
          <w:sz w:val="28"/>
          <w:szCs w:val="28"/>
          <w:lang w:bidi="ar"/>
        </w:rPr>
        <w:t>。</w:t>
      </w:r>
    </w:p>
    <w:p w14:paraId="58D4FD4C">
      <w:pPr>
        <w:pStyle w:val="17"/>
        <w:widowControl w:val="0"/>
        <w:wordWrap w:val="0"/>
        <w:spacing w:before="78" w:beforeLines="25" w:beforeAutospacing="0" w:after="0" w:afterAutospacing="0" w:line="360" w:lineRule="auto"/>
        <w:jc w:val="both"/>
        <w:rPr>
          <w:rFonts w:hint="eastAsia" w:ascii="仿宋" w:hAnsi="仿宋" w:eastAsia="仿宋" w:cs="仿宋"/>
          <w:b/>
          <w:kern w:val="2"/>
          <w:sz w:val="28"/>
          <w:szCs w:val="28"/>
        </w:rPr>
      </w:pPr>
      <w:bookmarkStart w:id="66" w:name="_Toc20732"/>
      <w:bookmarkStart w:id="67" w:name="_Toc32641"/>
      <w:r>
        <w:rPr>
          <w:rFonts w:hint="eastAsia" w:ascii="仿宋" w:hAnsi="仿宋" w:eastAsia="仿宋" w:cs="仿宋"/>
          <w:b/>
          <w:kern w:val="2"/>
          <w:sz w:val="28"/>
          <w:szCs w:val="28"/>
          <w:lang w:bidi="ar"/>
        </w:rPr>
        <w:t>八、交付标准、方法和验收方案</w:t>
      </w:r>
      <w:bookmarkEnd w:id="66"/>
      <w:bookmarkEnd w:id="67"/>
    </w:p>
    <w:p w14:paraId="2FBF72CE">
      <w:pPr>
        <w:wordWrap w:val="0"/>
        <w:autoSpaceDE w:val="0"/>
        <w:autoSpaceDN w:val="0"/>
        <w:spacing w:before="78" w:beforeLines="25"/>
        <w:ind w:firstLine="560" w:firstLineChars="200"/>
        <w:contextualSpacing/>
        <w:rPr>
          <w:rFonts w:hint="eastAsia" w:ascii="仿宋" w:hAnsi="仿宋" w:eastAsia="仿宋" w:cs="仿宋"/>
          <w:sz w:val="28"/>
          <w:szCs w:val="28"/>
        </w:rPr>
      </w:pPr>
      <w:r>
        <w:rPr>
          <w:rFonts w:hint="eastAsia" w:ascii="仿宋" w:hAnsi="仿宋" w:eastAsia="仿宋" w:cs="仿宋"/>
          <w:sz w:val="28"/>
          <w:szCs w:val="28"/>
          <w:lang w:bidi="ar"/>
        </w:rPr>
        <w:t>1．</w:t>
      </w:r>
      <w:r>
        <w:rPr>
          <w:rFonts w:hint="eastAsia" w:ascii="仿宋" w:hAnsi="仿宋" w:eastAsia="仿宋" w:cs="仿宋"/>
          <w:bCs/>
          <w:sz w:val="28"/>
          <w:szCs w:val="28"/>
          <w:lang w:bidi="ar"/>
        </w:rPr>
        <w:t>交付标准、方法：</w:t>
      </w:r>
      <w:r>
        <w:rPr>
          <w:rFonts w:hint="eastAsia" w:ascii="仿宋" w:hAnsi="仿宋" w:eastAsia="仿宋" w:cs="仿宋"/>
          <w:bCs/>
          <w:sz w:val="28"/>
          <w:szCs w:val="28"/>
          <w:u w:val="single"/>
          <w:lang w:bidi="ar"/>
        </w:rPr>
        <w:t xml:space="preserve">                       。</w:t>
      </w:r>
    </w:p>
    <w:p w14:paraId="4CEAA9EF">
      <w:pPr>
        <w:wordWrap w:val="0"/>
        <w:autoSpaceDE w:val="0"/>
        <w:autoSpaceDN w:val="0"/>
        <w:spacing w:before="78" w:beforeLines="25"/>
        <w:ind w:firstLine="560" w:firstLineChars="200"/>
        <w:contextualSpacing/>
        <w:rPr>
          <w:rFonts w:hint="eastAsia" w:ascii="仿宋" w:hAnsi="仿宋" w:eastAsia="仿宋" w:cs="仿宋"/>
          <w:bCs/>
          <w:sz w:val="28"/>
          <w:szCs w:val="28"/>
        </w:rPr>
      </w:pPr>
      <w:r>
        <w:rPr>
          <w:rFonts w:hint="eastAsia" w:ascii="仿宋" w:hAnsi="仿宋" w:eastAsia="仿宋" w:cs="仿宋"/>
          <w:sz w:val="28"/>
          <w:szCs w:val="28"/>
          <w:lang w:bidi="ar"/>
        </w:rPr>
        <w:t>2．</w:t>
      </w:r>
      <w:r>
        <w:rPr>
          <w:rFonts w:hint="eastAsia" w:ascii="仿宋" w:hAnsi="仿宋" w:eastAsia="仿宋" w:cs="仿宋"/>
          <w:bCs/>
          <w:sz w:val="28"/>
          <w:szCs w:val="28"/>
          <w:lang w:bidi="ar"/>
        </w:rPr>
        <w:t>验收方案：</w:t>
      </w:r>
      <w:r>
        <w:rPr>
          <w:rFonts w:hint="eastAsia" w:ascii="仿宋" w:hAnsi="仿宋" w:eastAsia="仿宋" w:cs="仿宋"/>
          <w:bCs/>
          <w:sz w:val="28"/>
          <w:szCs w:val="28"/>
          <w:u w:val="single"/>
          <w:lang w:bidi="ar"/>
        </w:rPr>
        <w:t xml:space="preserve"> </w:t>
      </w:r>
      <w:r>
        <w:rPr>
          <w:rFonts w:hint="eastAsia" w:ascii="仿宋" w:hAnsi="仿宋" w:eastAsia="仿宋" w:cs="仿宋"/>
          <w:bCs/>
          <w:iCs/>
          <w:sz w:val="28"/>
          <w:szCs w:val="28"/>
          <w:u w:val="single"/>
          <w:lang w:bidi="ar"/>
        </w:rPr>
        <w:t xml:space="preserve">                             </w:t>
      </w:r>
      <w:r>
        <w:rPr>
          <w:rFonts w:hint="eastAsia" w:ascii="仿宋" w:hAnsi="仿宋" w:eastAsia="仿宋" w:cs="仿宋"/>
          <w:bCs/>
          <w:iCs/>
          <w:sz w:val="28"/>
          <w:szCs w:val="28"/>
          <w:lang w:bidi="ar"/>
        </w:rPr>
        <w:t>。</w:t>
      </w:r>
    </w:p>
    <w:p w14:paraId="0D7398E1">
      <w:pPr>
        <w:pStyle w:val="17"/>
        <w:widowControl w:val="0"/>
        <w:wordWrap w:val="0"/>
        <w:spacing w:before="78" w:beforeLines="25" w:beforeAutospacing="0" w:after="0" w:afterAutospacing="0" w:line="360" w:lineRule="auto"/>
        <w:jc w:val="both"/>
        <w:rPr>
          <w:rFonts w:hint="eastAsia" w:ascii="仿宋" w:hAnsi="仿宋" w:eastAsia="仿宋" w:cs="仿宋"/>
          <w:kern w:val="2"/>
          <w:sz w:val="28"/>
          <w:szCs w:val="28"/>
        </w:rPr>
      </w:pPr>
      <w:bookmarkStart w:id="68" w:name="_Toc2086"/>
      <w:bookmarkStart w:id="69" w:name="_Toc415"/>
      <w:r>
        <w:rPr>
          <w:rFonts w:hint="eastAsia" w:ascii="仿宋" w:hAnsi="仿宋" w:eastAsia="仿宋" w:cs="仿宋"/>
          <w:b/>
          <w:kern w:val="2"/>
          <w:sz w:val="28"/>
          <w:szCs w:val="28"/>
          <w:lang w:bidi="ar"/>
        </w:rPr>
        <w:t>九、质保（服务）期及质保（服务）范围和要求</w:t>
      </w:r>
      <w:bookmarkEnd w:id="68"/>
      <w:bookmarkEnd w:id="69"/>
    </w:p>
    <w:p w14:paraId="2808B32E">
      <w:pPr>
        <w:wordWrap w:val="0"/>
        <w:autoSpaceDE w:val="0"/>
        <w:autoSpaceDN w:val="0"/>
        <w:spacing w:before="78" w:beforeLines="25"/>
        <w:ind w:firstLine="560" w:firstLineChars="200"/>
        <w:contextualSpacing/>
        <w:rPr>
          <w:rFonts w:hint="eastAsia" w:ascii="仿宋" w:hAnsi="仿宋" w:eastAsia="仿宋" w:cs="仿宋"/>
          <w:sz w:val="28"/>
          <w:szCs w:val="28"/>
          <w:u w:val="single"/>
        </w:rPr>
      </w:pPr>
      <w:r>
        <w:rPr>
          <w:rFonts w:hint="eastAsia" w:ascii="仿宋" w:hAnsi="仿宋" w:eastAsia="仿宋" w:cs="仿宋"/>
          <w:sz w:val="28"/>
          <w:szCs w:val="28"/>
          <w:lang w:bidi="ar"/>
        </w:rPr>
        <w:t>1．质保（服务</w:t>
      </w:r>
      <w:r>
        <w:rPr>
          <w:rFonts w:hint="eastAsia" w:ascii="仿宋" w:hAnsi="仿宋" w:eastAsia="仿宋" w:cs="仿宋"/>
          <w:sz w:val="28"/>
          <w:szCs w:val="28"/>
          <w:lang w:eastAsia="zh-CN" w:bidi="ar"/>
        </w:rPr>
        <w:t>）</w:t>
      </w:r>
      <w:r>
        <w:rPr>
          <w:rFonts w:hint="eastAsia" w:ascii="仿宋" w:hAnsi="仿宋" w:eastAsia="仿宋" w:cs="仿宋"/>
          <w:sz w:val="28"/>
          <w:szCs w:val="28"/>
          <w:lang w:bidi="ar"/>
        </w:rPr>
        <w:t>期：</w:t>
      </w:r>
      <w:r>
        <w:rPr>
          <w:rFonts w:hint="eastAsia" w:ascii="仿宋" w:hAnsi="仿宋" w:eastAsia="仿宋" w:cs="仿宋"/>
          <w:i/>
          <w:iCs/>
          <w:sz w:val="28"/>
          <w:szCs w:val="28"/>
          <w:u w:val="single"/>
          <w:lang w:bidi="ar"/>
        </w:rPr>
        <w:t xml:space="preserve">                       </w:t>
      </w:r>
      <w:r>
        <w:rPr>
          <w:rFonts w:hint="eastAsia" w:ascii="仿宋" w:hAnsi="仿宋" w:eastAsia="仿宋" w:cs="仿宋"/>
          <w:i/>
          <w:sz w:val="28"/>
          <w:szCs w:val="28"/>
          <w:u w:val="single"/>
          <w:lang w:bidi="ar"/>
        </w:rPr>
        <w:t xml:space="preserve">   </w:t>
      </w:r>
      <w:r>
        <w:rPr>
          <w:rFonts w:hint="eastAsia" w:ascii="仿宋" w:hAnsi="仿宋" w:eastAsia="仿宋" w:cs="仿宋"/>
          <w:i/>
          <w:sz w:val="28"/>
          <w:szCs w:val="28"/>
          <w:lang w:bidi="ar"/>
        </w:rPr>
        <w:t>；</w:t>
      </w:r>
    </w:p>
    <w:p w14:paraId="1A4C8C31">
      <w:pPr>
        <w:wordWrap w:val="0"/>
        <w:autoSpaceDE w:val="0"/>
        <w:autoSpaceDN w:val="0"/>
        <w:spacing w:before="78" w:beforeLines="25"/>
        <w:ind w:firstLine="560" w:firstLineChars="200"/>
        <w:contextualSpacing/>
        <w:rPr>
          <w:rFonts w:hint="eastAsia" w:ascii="仿宋" w:hAnsi="仿宋" w:eastAsia="仿宋" w:cs="仿宋"/>
          <w:sz w:val="28"/>
          <w:szCs w:val="28"/>
        </w:rPr>
      </w:pPr>
      <w:r>
        <w:rPr>
          <w:rFonts w:hint="eastAsia" w:ascii="仿宋" w:hAnsi="仿宋" w:eastAsia="仿宋" w:cs="仿宋"/>
          <w:sz w:val="28"/>
          <w:szCs w:val="28"/>
          <w:lang w:bidi="ar"/>
        </w:rPr>
        <w:t>2．质保（服务）范围：</w:t>
      </w:r>
      <w:r>
        <w:rPr>
          <w:rFonts w:hint="eastAsia" w:ascii="仿宋" w:hAnsi="仿宋" w:eastAsia="仿宋" w:cs="仿宋"/>
          <w:i/>
          <w:iCs/>
          <w:sz w:val="28"/>
          <w:szCs w:val="28"/>
          <w:u w:val="single"/>
          <w:lang w:bidi="ar"/>
        </w:rPr>
        <w:t xml:space="preserve">                         </w:t>
      </w:r>
      <w:r>
        <w:rPr>
          <w:rFonts w:hint="eastAsia" w:ascii="仿宋" w:hAnsi="仿宋" w:eastAsia="仿宋" w:cs="仿宋"/>
          <w:i/>
          <w:sz w:val="28"/>
          <w:szCs w:val="28"/>
          <w:lang w:bidi="ar"/>
        </w:rPr>
        <w:t>；</w:t>
      </w:r>
    </w:p>
    <w:p w14:paraId="05644FCD">
      <w:pPr>
        <w:wordWrap w:val="0"/>
        <w:autoSpaceDE w:val="0"/>
        <w:autoSpaceDN w:val="0"/>
        <w:spacing w:before="78" w:beforeLines="25"/>
        <w:ind w:firstLine="560" w:firstLineChars="200"/>
        <w:contextualSpacing/>
        <w:rPr>
          <w:rFonts w:hint="eastAsia" w:ascii="仿宋" w:hAnsi="仿宋" w:eastAsia="仿宋" w:cs="仿宋"/>
          <w:sz w:val="28"/>
          <w:szCs w:val="28"/>
        </w:rPr>
      </w:pPr>
      <w:r>
        <w:rPr>
          <w:rFonts w:hint="eastAsia" w:ascii="仿宋" w:hAnsi="仿宋" w:eastAsia="仿宋" w:cs="仿宋"/>
          <w:sz w:val="28"/>
          <w:szCs w:val="28"/>
          <w:lang w:bidi="ar"/>
        </w:rPr>
        <w:t>3．质保（服务）要求：</w:t>
      </w:r>
      <w:r>
        <w:rPr>
          <w:rFonts w:hint="eastAsia" w:ascii="仿宋" w:hAnsi="仿宋" w:eastAsia="仿宋" w:cs="仿宋"/>
          <w:i/>
          <w:iCs/>
          <w:sz w:val="28"/>
          <w:szCs w:val="28"/>
          <w:u w:val="single"/>
          <w:lang w:bidi="ar"/>
        </w:rPr>
        <w:t xml:space="preserve">                      </w:t>
      </w:r>
      <w:r>
        <w:rPr>
          <w:rFonts w:hint="eastAsia" w:ascii="仿宋" w:hAnsi="仿宋" w:eastAsia="仿宋" w:cs="仿宋"/>
          <w:i/>
          <w:sz w:val="28"/>
          <w:szCs w:val="28"/>
          <w:lang w:bidi="ar"/>
        </w:rPr>
        <w:t>。</w:t>
      </w:r>
    </w:p>
    <w:p w14:paraId="6756CC9F">
      <w:pPr>
        <w:pStyle w:val="17"/>
        <w:widowControl w:val="0"/>
        <w:wordWrap w:val="0"/>
        <w:spacing w:before="78" w:beforeLines="25" w:beforeAutospacing="0" w:after="0" w:afterAutospacing="0" w:line="360" w:lineRule="auto"/>
        <w:jc w:val="both"/>
        <w:rPr>
          <w:rFonts w:hint="eastAsia" w:ascii="仿宋" w:hAnsi="仿宋" w:eastAsia="仿宋" w:cs="仿宋"/>
          <w:bCs/>
          <w:kern w:val="2"/>
          <w:sz w:val="28"/>
          <w:szCs w:val="28"/>
        </w:rPr>
      </w:pPr>
      <w:bookmarkStart w:id="70" w:name="_Toc32647"/>
      <w:bookmarkStart w:id="71" w:name="_Toc17252"/>
      <w:r>
        <w:rPr>
          <w:rFonts w:hint="eastAsia" w:ascii="仿宋" w:hAnsi="仿宋" w:eastAsia="仿宋" w:cs="仿宋"/>
          <w:b/>
          <w:kern w:val="2"/>
          <w:sz w:val="28"/>
          <w:szCs w:val="28"/>
          <w:lang w:bidi="ar"/>
        </w:rPr>
        <w:t>十、</w:t>
      </w:r>
      <w:r>
        <w:rPr>
          <w:rFonts w:hint="eastAsia" w:ascii="仿宋" w:hAnsi="仿宋" w:eastAsia="仿宋" w:cs="仿宋"/>
          <w:b/>
          <w:bCs/>
          <w:kern w:val="2"/>
          <w:sz w:val="28"/>
          <w:szCs w:val="28"/>
          <w:lang w:bidi="ar"/>
        </w:rPr>
        <w:t>项目培训</w:t>
      </w:r>
      <w:bookmarkEnd w:id="70"/>
      <w:bookmarkEnd w:id="71"/>
    </w:p>
    <w:p w14:paraId="311375A0">
      <w:pPr>
        <w:wordWrap w:val="0"/>
        <w:autoSpaceDE w:val="0"/>
        <w:autoSpaceDN w:val="0"/>
        <w:spacing w:before="78" w:beforeLines="25"/>
        <w:ind w:firstLine="560" w:firstLineChars="200"/>
        <w:contextualSpacing/>
        <w:rPr>
          <w:rFonts w:hint="eastAsia" w:ascii="仿宋" w:hAnsi="仿宋" w:eastAsia="仿宋" w:cs="仿宋"/>
          <w:bCs/>
          <w:sz w:val="28"/>
          <w:szCs w:val="28"/>
        </w:rPr>
      </w:pPr>
      <w:r>
        <w:rPr>
          <w:rFonts w:hint="eastAsia" w:ascii="仿宋" w:hAnsi="仿宋" w:eastAsia="仿宋" w:cs="仿宋"/>
          <w:bCs/>
          <w:sz w:val="28"/>
          <w:szCs w:val="28"/>
          <w:u w:val="single"/>
          <w:lang w:bidi="ar"/>
        </w:rPr>
        <w:t xml:space="preserve">                                          </w:t>
      </w:r>
      <w:r>
        <w:rPr>
          <w:rFonts w:hint="eastAsia" w:ascii="仿宋" w:hAnsi="仿宋" w:eastAsia="仿宋" w:cs="仿宋"/>
          <w:bCs/>
          <w:sz w:val="28"/>
          <w:szCs w:val="28"/>
          <w:lang w:bidi="ar"/>
        </w:rPr>
        <w:t>。</w:t>
      </w:r>
    </w:p>
    <w:p w14:paraId="6A405104">
      <w:pPr>
        <w:pStyle w:val="17"/>
        <w:widowControl w:val="0"/>
        <w:wordWrap w:val="0"/>
        <w:spacing w:before="78" w:beforeLines="25" w:beforeAutospacing="0" w:after="0" w:afterAutospacing="0" w:line="360" w:lineRule="auto"/>
        <w:jc w:val="both"/>
        <w:rPr>
          <w:rFonts w:hint="eastAsia" w:ascii="仿宋" w:hAnsi="仿宋" w:eastAsia="仿宋" w:cs="仿宋"/>
          <w:bCs/>
          <w:i/>
          <w:iCs/>
          <w:kern w:val="2"/>
          <w:sz w:val="28"/>
          <w:szCs w:val="28"/>
        </w:rPr>
      </w:pPr>
      <w:bookmarkStart w:id="72" w:name="_Toc1015"/>
      <w:bookmarkStart w:id="73" w:name="_Toc26988"/>
      <w:r>
        <w:rPr>
          <w:rFonts w:hint="eastAsia" w:ascii="仿宋" w:hAnsi="仿宋" w:eastAsia="仿宋" w:cs="仿宋"/>
          <w:b/>
          <w:kern w:val="2"/>
          <w:sz w:val="28"/>
          <w:szCs w:val="28"/>
          <w:lang w:bidi="ar"/>
        </w:rPr>
        <w:t>十一、知识产权归属、处理方式</w:t>
      </w:r>
      <w:bookmarkEnd w:id="72"/>
      <w:bookmarkEnd w:id="73"/>
    </w:p>
    <w:p w14:paraId="0BB71507">
      <w:pPr>
        <w:wordWrap w:val="0"/>
        <w:autoSpaceDE w:val="0"/>
        <w:autoSpaceDN w:val="0"/>
        <w:spacing w:before="78" w:beforeLines="25"/>
        <w:ind w:firstLine="560" w:firstLineChars="200"/>
        <w:contextualSpacing/>
        <w:rPr>
          <w:rFonts w:hint="eastAsia" w:ascii="仿宋" w:hAnsi="仿宋" w:eastAsia="仿宋" w:cs="仿宋"/>
          <w:bCs/>
          <w:i/>
          <w:iCs/>
          <w:sz w:val="28"/>
          <w:szCs w:val="28"/>
        </w:rPr>
      </w:pPr>
      <w:r>
        <w:rPr>
          <w:rFonts w:hint="eastAsia" w:ascii="仿宋" w:hAnsi="仿宋" w:eastAsia="仿宋" w:cs="仿宋"/>
          <w:bCs/>
          <w:i/>
          <w:iCs/>
          <w:sz w:val="28"/>
          <w:szCs w:val="28"/>
          <w:u w:val="single"/>
          <w:lang w:bidi="ar"/>
        </w:rPr>
        <w:t xml:space="preserve">                                             </w:t>
      </w:r>
      <w:r>
        <w:rPr>
          <w:rFonts w:hint="eastAsia" w:ascii="仿宋" w:hAnsi="仿宋" w:eastAsia="仿宋" w:cs="仿宋"/>
          <w:bCs/>
          <w:i/>
          <w:iCs/>
          <w:sz w:val="28"/>
          <w:szCs w:val="28"/>
          <w:lang w:bidi="ar"/>
        </w:rPr>
        <w:t>。</w:t>
      </w:r>
    </w:p>
    <w:p w14:paraId="6AA18A9B">
      <w:pPr>
        <w:pStyle w:val="17"/>
        <w:widowControl w:val="0"/>
        <w:wordWrap w:val="0"/>
        <w:spacing w:before="78" w:beforeLines="25" w:beforeAutospacing="0" w:after="0" w:afterAutospacing="0" w:line="360" w:lineRule="auto"/>
        <w:jc w:val="both"/>
        <w:rPr>
          <w:rFonts w:hint="eastAsia" w:ascii="仿宋" w:hAnsi="仿宋" w:eastAsia="仿宋" w:cs="仿宋"/>
          <w:b/>
          <w:kern w:val="2"/>
          <w:sz w:val="28"/>
          <w:szCs w:val="28"/>
        </w:rPr>
      </w:pPr>
      <w:bookmarkStart w:id="74" w:name="_Toc10812"/>
      <w:bookmarkStart w:id="75" w:name="_Toc13147"/>
      <w:r>
        <w:rPr>
          <w:rFonts w:hint="eastAsia" w:ascii="仿宋" w:hAnsi="仿宋" w:eastAsia="仿宋" w:cs="仿宋"/>
          <w:b/>
          <w:kern w:val="2"/>
          <w:sz w:val="28"/>
          <w:szCs w:val="28"/>
          <w:lang w:bidi="ar"/>
        </w:rPr>
        <w:t>十二、双方的权利和义务</w:t>
      </w:r>
      <w:bookmarkEnd w:id="74"/>
      <w:bookmarkEnd w:id="75"/>
    </w:p>
    <w:p w14:paraId="1717E102">
      <w:pPr>
        <w:wordWrap w:val="0"/>
        <w:autoSpaceDE w:val="0"/>
        <w:autoSpaceDN w:val="0"/>
        <w:spacing w:before="78" w:beforeLines="25"/>
        <w:ind w:firstLine="560" w:firstLineChars="200"/>
        <w:contextualSpacing/>
        <w:rPr>
          <w:rFonts w:hint="eastAsia" w:ascii="仿宋" w:hAnsi="仿宋" w:eastAsia="仿宋" w:cs="仿宋"/>
          <w:bCs/>
          <w:sz w:val="28"/>
          <w:szCs w:val="28"/>
          <w:u w:val="single"/>
        </w:rPr>
      </w:pPr>
      <w:r>
        <w:rPr>
          <w:rFonts w:hint="eastAsia" w:ascii="仿宋" w:hAnsi="仿宋" w:eastAsia="仿宋" w:cs="仿宋"/>
          <w:sz w:val="28"/>
          <w:szCs w:val="28"/>
          <w:lang w:bidi="ar"/>
        </w:rPr>
        <w:t>1．</w:t>
      </w:r>
      <w:r>
        <w:rPr>
          <w:rFonts w:hint="eastAsia" w:ascii="仿宋" w:hAnsi="仿宋" w:eastAsia="仿宋" w:cs="仿宋"/>
          <w:bCs/>
          <w:sz w:val="28"/>
          <w:szCs w:val="28"/>
          <w:lang w:bidi="ar"/>
        </w:rPr>
        <w:t>甲方的权利和义务：</w:t>
      </w:r>
      <w:r>
        <w:rPr>
          <w:rFonts w:hint="eastAsia" w:ascii="仿宋" w:hAnsi="仿宋" w:eastAsia="仿宋" w:cs="仿宋"/>
          <w:bCs/>
          <w:i/>
          <w:iCs/>
          <w:sz w:val="28"/>
          <w:szCs w:val="28"/>
          <w:u w:val="single"/>
          <w:lang w:bidi="ar"/>
        </w:rPr>
        <w:t xml:space="preserve">                                      </w:t>
      </w:r>
      <w:r>
        <w:rPr>
          <w:rFonts w:hint="eastAsia" w:ascii="仿宋" w:hAnsi="仿宋" w:eastAsia="仿宋" w:cs="仿宋"/>
          <w:bCs/>
          <w:sz w:val="28"/>
          <w:szCs w:val="28"/>
          <w:lang w:bidi="ar"/>
        </w:rPr>
        <w:t>；</w:t>
      </w:r>
    </w:p>
    <w:p w14:paraId="5FD764D8">
      <w:pPr>
        <w:wordWrap w:val="0"/>
        <w:autoSpaceDE w:val="0"/>
        <w:autoSpaceDN w:val="0"/>
        <w:spacing w:before="78" w:beforeLines="25"/>
        <w:ind w:firstLine="560" w:firstLineChars="200"/>
        <w:contextualSpacing/>
        <w:rPr>
          <w:rFonts w:hint="eastAsia" w:ascii="仿宋" w:hAnsi="仿宋" w:eastAsia="仿宋" w:cs="仿宋"/>
          <w:bCs/>
          <w:sz w:val="28"/>
          <w:szCs w:val="28"/>
        </w:rPr>
      </w:pPr>
      <w:r>
        <w:rPr>
          <w:rFonts w:hint="eastAsia" w:ascii="仿宋" w:hAnsi="仿宋" w:eastAsia="仿宋" w:cs="仿宋"/>
          <w:sz w:val="28"/>
          <w:szCs w:val="28"/>
          <w:lang w:bidi="ar"/>
        </w:rPr>
        <w:t>2．</w:t>
      </w:r>
      <w:r>
        <w:rPr>
          <w:rFonts w:hint="eastAsia" w:ascii="仿宋" w:hAnsi="仿宋" w:eastAsia="仿宋" w:cs="仿宋"/>
          <w:bCs/>
          <w:sz w:val="28"/>
          <w:szCs w:val="28"/>
          <w:lang w:bidi="ar"/>
        </w:rPr>
        <w:t>乙方的权利和义务：</w:t>
      </w:r>
      <w:r>
        <w:rPr>
          <w:rFonts w:hint="eastAsia" w:ascii="仿宋" w:hAnsi="仿宋" w:eastAsia="仿宋" w:cs="仿宋"/>
          <w:bCs/>
          <w:i/>
          <w:iCs/>
          <w:sz w:val="28"/>
          <w:szCs w:val="28"/>
          <w:u w:val="single"/>
          <w:lang w:bidi="ar"/>
        </w:rPr>
        <w:t xml:space="preserve">                                      </w:t>
      </w:r>
      <w:r>
        <w:rPr>
          <w:rFonts w:hint="eastAsia" w:ascii="仿宋" w:hAnsi="仿宋" w:eastAsia="仿宋" w:cs="仿宋"/>
          <w:bCs/>
          <w:sz w:val="28"/>
          <w:szCs w:val="28"/>
          <w:lang w:bidi="ar"/>
        </w:rPr>
        <w:t>。</w:t>
      </w:r>
    </w:p>
    <w:p w14:paraId="28419DAC">
      <w:pPr>
        <w:pStyle w:val="17"/>
        <w:widowControl w:val="0"/>
        <w:wordWrap w:val="0"/>
        <w:spacing w:before="78" w:beforeLines="25" w:beforeAutospacing="0" w:after="0" w:afterAutospacing="0" w:line="360" w:lineRule="auto"/>
        <w:jc w:val="both"/>
        <w:rPr>
          <w:rFonts w:hint="eastAsia" w:ascii="仿宋" w:hAnsi="仿宋" w:eastAsia="仿宋" w:cs="仿宋"/>
          <w:b/>
          <w:kern w:val="2"/>
          <w:sz w:val="28"/>
          <w:szCs w:val="28"/>
        </w:rPr>
      </w:pPr>
      <w:bookmarkStart w:id="76" w:name="_Toc14792"/>
      <w:bookmarkStart w:id="77" w:name="_Toc12360"/>
      <w:r>
        <w:rPr>
          <w:rFonts w:hint="eastAsia" w:ascii="仿宋" w:hAnsi="仿宋" w:eastAsia="仿宋" w:cs="仿宋"/>
          <w:b/>
          <w:kern w:val="2"/>
          <w:sz w:val="28"/>
          <w:szCs w:val="28"/>
          <w:lang w:bidi="ar"/>
        </w:rPr>
        <w:t>十三、违约责任</w:t>
      </w:r>
      <w:bookmarkEnd w:id="76"/>
      <w:bookmarkEnd w:id="77"/>
    </w:p>
    <w:p w14:paraId="475A45B9">
      <w:pPr>
        <w:wordWrap w:val="0"/>
        <w:autoSpaceDE w:val="0"/>
        <w:autoSpaceDN w:val="0"/>
        <w:spacing w:before="78" w:beforeLines="25"/>
        <w:ind w:firstLine="560" w:firstLineChars="200"/>
        <w:contextualSpacing/>
        <w:rPr>
          <w:rFonts w:hint="eastAsia" w:ascii="仿宋" w:hAnsi="仿宋" w:eastAsia="仿宋" w:cs="仿宋"/>
          <w:sz w:val="28"/>
          <w:szCs w:val="28"/>
        </w:rPr>
      </w:pPr>
      <w:r>
        <w:rPr>
          <w:rFonts w:hint="eastAsia" w:ascii="仿宋" w:hAnsi="仿宋" w:eastAsia="仿宋" w:cs="仿宋"/>
          <w:sz w:val="28"/>
          <w:szCs w:val="28"/>
          <w:lang w:bidi="ar"/>
        </w:rPr>
        <w:t>1．甲方的违约责任：</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w:t>
      </w:r>
    </w:p>
    <w:p w14:paraId="621BCCAD">
      <w:pPr>
        <w:wordWrap w:val="0"/>
        <w:autoSpaceDE w:val="0"/>
        <w:autoSpaceDN w:val="0"/>
        <w:spacing w:before="78" w:beforeLines="25"/>
        <w:ind w:firstLine="560" w:firstLineChars="200"/>
        <w:contextualSpacing/>
        <w:rPr>
          <w:rFonts w:hint="eastAsia" w:ascii="仿宋" w:hAnsi="仿宋" w:eastAsia="仿宋" w:cs="仿宋"/>
          <w:sz w:val="28"/>
          <w:szCs w:val="28"/>
        </w:rPr>
      </w:pPr>
      <w:r>
        <w:rPr>
          <w:rFonts w:hint="eastAsia" w:ascii="仿宋" w:hAnsi="仿宋" w:eastAsia="仿宋" w:cs="仿宋"/>
          <w:sz w:val="28"/>
          <w:szCs w:val="28"/>
          <w:lang w:bidi="ar"/>
        </w:rPr>
        <w:t>2．乙方的违约责任：</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w:t>
      </w:r>
    </w:p>
    <w:p w14:paraId="59286BDC">
      <w:pPr>
        <w:pStyle w:val="17"/>
        <w:widowControl w:val="0"/>
        <w:wordWrap w:val="0"/>
        <w:spacing w:before="78" w:beforeLines="25" w:beforeAutospacing="0" w:after="0" w:afterAutospacing="0" w:line="360" w:lineRule="auto"/>
        <w:jc w:val="both"/>
        <w:rPr>
          <w:rFonts w:hint="eastAsia" w:ascii="仿宋" w:hAnsi="仿宋" w:eastAsia="仿宋" w:cs="仿宋"/>
          <w:bCs/>
          <w:i/>
          <w:iCs/>
          <w:kern w:val="2"/>
          <w:sz w:val="28"/>
          <w:szCs w:val="28"/>
          <w:u w:val="single"/>
        </w:rPr>
      </w:pPr>
      <w:bookmarkStart w:id="78" w:name="_Toc18603"/>
      <w:bookmarkStart w:id="79" w:name="_Toc24861"/>
      <w:r>
        <w:rPr>
          <w:rFonts w:hint="eastAsia" w:ascii="仿宋" w:hAnsi="仿宋" w:eastAsia="仿宋" w:cs="仿宋"/>
          <w:b/>
          <w:kern w:val="2"/>
          <w:sz w:val="28"/>
          <w:szCs w:val="28"/>
          <w:lang w:bidi="ar"/>
        </w:rPr>
        <w:t>十四、保密条款</w:t>
      </w:r>
      <w:bookmarkEnd w:id="78"/>
      <w:bookmarkEnd w:id="79"/>
    </w:p>
    <w:p w14:paraId="1FB0B501">
      <w:pPr>
        <w:wordWrap w:val="0"/>
        <w:autoSpaceDE w:val="0"/>
        <w:autoSpaceDN w:val="0"/>
        <w:spacing w:before="78" w:beforeLines="25"/>
        <w:ind w:firstLine="560" w:firstLineChars="200"/>
        <w:contextualSpacing/>
        <w:rPr>
          <w:rFonts w:hint="eastAsia" w:ascii="仿宋" w:hAnsi="仿宋" w:eastAsia="仿宋" w:cs="仿宋"/>
          <w:bCs/>
          <w:sz w:val="28"/>
          <w:szCs w:val="28"/>
        </w:rPr>
      </w:pPr>
      <w:r>
        <w:rPr>
          <w:rFonts w:hint="eastAsia" w:ascii="仿宋" w:hAnsi="仿宋" w:eastAsia="仿宋" w:cs="仿宋"/>
          <w:bCs/>
          <w:i/>
          <w:iCs/>
          <w:sz w:val="28"/>
          <w:szCs w:val="28"/>
          <w:u w:val="single"/>
          <w:lang w:bidi="ar"/>
        </w:rPr>
        <w:t xml:space="preserve">                                           </w:t>
      </w:r>
      <w:r>
        <w:rPr>
          <w:rFonts w:hint="eastAsia" w:ascii="仿宋" w:hAnsi="仿宋" w:eastAsia="仿宋" w:cs="仿宋"/>
          <w:bCs/>
          <w:sz w:val="28"/>
          <w:szCs w:val="28"/>
          <w:lang w:bidi="ar"/>
        </w:rPr>
        <w:t>。</w:t>
      </w:r>
    </w:p>
    <w:p w14:paraId="5FBBD9EB">
      <w:pPr>
        <w:pStyle w:val="17"/>
        <w:widowControl w:val="0"/>
        <w:wordWrap w:val="0"/>
        <w:spacing w:before="78" w:beforeLines="25" w:beforeAutospacing="0" w:after="0" w:afterAutospacing="0" w:line="360" w:lineRule="auto"/>
        <w:jc w:val="both"/>
        <w:rPr>
          <w:rFonts w:hint="eastAsia" w:ascii="仿宋" w:hAnsi="仿宋" w:eastAsia="仿宋" w:cs="仿宋"/>
          <w:b/>
          <w:kern w:val="2"/>
          <w:sz w:val="28"/>
          <w:szCs w:val="28"/>
        </w:rPr>
      </w:pPr>
      <w:bookmarkStart w:id="80" w:name="_Toc21938"/>
      <w:bookmarkStart w:id="81" w:name="_Toc28766"/>
      <w:r>
        <w:rPr>
          <w:rFonts w:hint="eastAsia" w:ascii="仿宋" w:hAnsi="仿宋" w:eastAsia="仿宋" w:cs="仿宋"/>
          <w:b/>
          <w:kern w:val="2"/>
          <w:sz w:val="28"/>
          <w:szCs w:val="28"/>
          <w:lang w:bidi="ar"/>
        </w:rPr>
        <w:t>十五、其它补充条款</w:t>
      </w:r>
      <w:bookmarkEnd w:id="80"/>
      <w:bookmarkEnd w:id="81"/>
    </w:p>
    <w:p w14:paraId="4E522E55">
      <w:pPr>
        <w:wordWrap w:val="0"/>
        <w:autoSpaceDE w:val="0"/>
        <w:autoSpaceDN w:val="0"/>
        <w:spacing w:before="78" w:beforeLines="25"/>
        <w:ind w:firstLine="560" w:firstLineChars="200"/>
        <w:contextualSpacing/>
        <w:rPr>
          <w:rFonts w:hint="eastAsia" w:ascii="仿宋" w:hAnsi="仿宋" w:eastAsia="仿宋" w:cs="仿宋"/>
          <w:bCs/>
          <w:sz w:val="28"/>
          <w:szCs w:val="28"/>
        </w:rPr>
      </w:pPr>
      <w:r>
        <w:rPr>
          <w:rFonts w:hint="eastAsia" w:ascii="仿宋" w:hAnsi="仿宋" w:eastAsia="仿宋" w:cs="仿宋"/>
          <w:bCs/>
          <w:sz w:val="28"/>
          <w:szCs w:val="28"/>
          <w:u w:val="single"/>
          <w:lang w:bidi="ar"/>
        </w:rPr>
        <w:t xml:space="preserve">                                            </w:t>
      </w:r>
      <w:r>
        <w:rPr>
          <w:rFonts w:hint="eastAsia" w:ascii="仿宋" w:hAnsi="仿宋" w:eastAsia="仿宋" w:cs="仿宋"/>
          <w:bCs/>
          <w:sz w:val="28"/>
          <w:szCs w:val="28"/>
          <w:lang w:bidi="ar"/>
        </w:rPr>
        <w:t>。</w:t>
      </w:r>
    </w:p>
    <w:p w14:paraId="60B59D95">
      <w:pPr>
        <w:pStyle w:val="17"/>
        <w:widowControl w:val="0"/>
        <w:wordWrap w:val="0"/>
        <w:spacing w:before="78" w:beforeLines="25" w:beforeAutospacing="0" w:after="0" w:afterAutospacing="0" w:line="360" w:lineRule="auto"/>
        <w:jc w:val="both"/>
        <w:rPr>
          <w:rFonts w:hint="eastAsia" w:ascii="仿宋" w:hAnsi="仿宋" w:eastAsia="仿宋" w:cs="仿宋"/>
          <w:b/>
          <w:bCs/>
          <w:kern w:val="2"/>
          <w:sz w:val="28"/>
          <w:szCs w:val="28"/>
        </w:rPr>
      </w:pPr>
      <w:bookmarkStart w:id="82" w:name="_Toc23884"/>
      <w:bookmarkStart w:id="83" w:name="_Toc24824"/>
      <w:r>
        <w:rPr>
          <w:rFonts w:hint="eastAsia" w:ascii="仿宋" w:hAnsi="仿宋" w:eastAsia="仿宋" w:cs="仿宋"/>
          <w:b/>
          <w:kern w:val="2"/>
          <w:sz w:val="28"/>
          <w:szCs w:val="28"/>
          <w:lang w:bidi="ar"/>
        </w:rPr>
        <w:t>十六、</w:t>
      </w:r>
      <w:r>
        <w:rPr>
          <w:rFonts w:hint="eastAsia" w:ascii="仿宋" w:hAnsi="仿宋" w:eastAsia="仿宋" w:cs="仿宋"/>
          <w:b/>
          <w:bCs/>
          <w:kern w:val="2"/>
          <w:sz w:val="28"/>
          <w:szCs w:val="28"/>
          <w:lang w:bidi="ar"/>
        </w:rPr>
        <w:t>不可抗力</w:t>
      </w:r>
      <w:bookmarkEnd w:id="82"/>
      <w:bookmarkEnd w:id="83"/>
    </w:p>
    <w:p w14:paraId="6733C7D6">
      <w:pPr>
        <w:wordWrap w:val="0"/>
        <w:spacing w:before="78" w:beforeLines="25"/>
        <w:ind w:firstLine="560" w:firstLineChars="200"/>
        <w:rPr>
          <w:rFonts w:hint="eastAsia" w:ascii="仿宋" w:hAnsi="仿宋" w:eastAsia="仿宋" w:cs="仿宋"/>
          <w:b/>
          <w:sz w:val="28"/>
          <w:szCs w:val="28"/>
        </w:rPr>
      </w:pPr>
      <w:r>
        <w:rPr>
          <w:rFonts w:hint="eastAsia" w:ascii="仿宋" w:hAnsi="仿宋" w:eastAsia="仿宋" w:cs="仿宋"/>
          <w:sz w:val="28"/>
          <w:szCs w:val="28"/>
          <w:lang w:bidi="ar"/>
        </w:rPr>
        <w:t>任何一方由于不可抗力原因不能履行合同时，应在不可抗力事件结束后</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日内以书面形式通知对方，以减轻可能给对方造成的损失，在取得有关机构的不可抗力证明或双方谅解确认后，允许延期履行或修订合同，并根据情况可部分或全部免于承担违约责任。</w:t>
      </w:r>
    </w:p>
    <w:p w14:paraId="24DCD380">
      <w:pPr>
        <w:pStyle w:val="17"/>
        <w:widowControl w:val="0"/>
        <w:wordWrap w:val="0"/>
        <w:spacing w:before="78" w:beforeLines="25" w:beforeAutospacing="0" w:after="0" w:afterAutospacing="0" w:line="360" w:lineRule="auto"/>
        <w:jc w:val="both"/>
        <w:rPr>
          <w:rFonts w:hint="eastAsia" w:ascii="仿宋" w:hAnsi="仿宋" w:eastAsia="仿宋" w:cs="仿宋"/>
          <w:b/>
          <w:kern w:val="2"/>
          <w:sz w:val="28"/>
          <w:szCs w:val="28"/>
        </w:rPr>
      </w:pPr>
      <w:bookmarkStart w:id="84" w:name="_Toc1692"/>
      <w:bookmarkStart w:id="85" w:name="_Toc18881"/>
      <w:r>
        <w:rPr>
          <w:rFonts w:hint="eastAsia" w:ascii="仿宋" w:hAnsi="仿宋" w:eastAsia="仿宋" w:cs="仿宋"/>
          <w:b/>
          <w:kern w:val="2"/>
          <w:sz w:val="28"/>
          <w:szCs w:val="28"/>
          <w:lang w:bidi="ar"/>
        </w:rPr>
        <w:t>十七、解决争议的方法</w:t>
      </w:r>
      <w:bookmarkEnd w:id="84"/>
      <w:bookmarkEnd w:id="85"/>
    </w:p>
    <w:p w14:paraId="7F06F994">
      <w:pPr>
        <w:wordWrap w:val="0"/>
        <w:autoSpaceDE w:val="0"/>
        <w:autoSpaceDN w:val="0"/>
        <w:spacing w:before="78" w:beforeLines="25"/>
        <w:ind w:firstLine="560" w:firstLineChars="200"/>
        <w:contextualSpacing/>
        <w:rPr>
          <w:rFonts w:hint="eastAsia" w:ascii="仿宋" w:hAnsi="仿宋" w:eastAsia="仿宋" w:cs="仿宋"/>
          <w:sz w:val="28"/>
          <w:szCs w:val="28"/>
        </w:rPr>
      </w:pPr>
      <w:r>
        <w:rPr>
          <w:rFonts w:hint="eastAsia" w:ascii="仿宋" w:hAnsi="仿宋" w:eastAsia="仿宋" w:cs="仿宋"/>
          <w:sz w:val="28"/>
          <w:szCs w:val="28"/>
          <w:lang w:bidi="ar"/>
        </w:rPr>
        <w:t>一切由执行合同引起的或与本合同有关的争执，双方应通过友好协商解决，如协商不能解决应提交甲方所在地有管辖权的人民法院诉讼解决。</w:t>
      </w:r>
    </w:p>
    <w:p w14:paraId="6E85A671">
      <w:pPr>
        <w:pStyle w:val="17"/>
        <w:widowControl w:val="0"/>
        <w:wordWrap w:val="0"/>
        <w:spacing w:before="78" w:beforeLines="25" w:beforeAutospacing="0" w:after="0" w:afterAutospacing="0" w:line="360" w:lineRule="auto"/>
        <w:jc w:val="both"/>
        <w:rPr>
          <w:rFonts w:hint="eastAsia" w:ascii="仿宋" w:hAnsi="仿宋" w:eastAsia="仿宋" w:cs="仿宋"/>
          <w:b/>
          <w:kern w:val="2"/>
          <w:sz w:val="28"/>
          <w:szCs w:val="28"/>
        </w:rPr>
      </w:pPr>
      <w:bookmarkStart w:id="86" w:name="_Toc14800"/>
      <w:bookmarkStart w:id="87" w:name="_Toc19079"/>
      <w:r>
        <w:rPr>
          <w:rFonts w:hint="eastAsia" w:ascii="仿宋" w:hAnsi="仿宋" w:eastAsia="仿宋" w:cs="仿宋"/>
          <w:b/>
          <w:kern w:val="2"/>
          <w:sz w:val="28"/>
          <w:szCs w:val="28"/>
          <w:lang w:bidi="ar"/>
        </w:rPr>
        <w:t>十八、合同组成</w:t>
      </w:r>
      <w:bookmarkEnd w:id="86"/>
      <w:bookmarkEnd w:id="87"/>
    </w:p>
    <w:p w14:paraId="5A7400F2">
      <w:pPr>
        <w:wordWrap w:val="0"/>
        <w:spacing w:before="78" w:beforeLines="25"/>
        <w:ind w:firstLine="560" w:firstLineChars="200"/>
        <w:rPr>
          <w:rFonts w:hint="eastAsia" w:ascii="仿宋" w:hAnsi="仿宋" w:eastAsia="仿宋" w:cs="仿宋"/>
          <w:sz w:val="28"/>
          <w:szCs w:val="28"/>
        </w:rPr>
      </w:pPr>
      <w:r>
        <w:rPr>
          <w:rFonts w:hint="eastAsia" w:ascii="仿宋" w:hAnsi="仿宋" w:eastAsia="仿宋" w:cs="仿宋"/>
          <w:sz w:val="28"/>
          <w:szCs w:val="28"/>
          <w:lang w:bidi="ar"/>
        </w:rPr>
        <w:t>下列文件为本合同不可分割的部分：</w:t>
      </w:r>
    </w:p>
    <w:p w14:paraId="003453B7">
      <w:pPr>
        <w:wordWrap w:val="0"/>
        <w:autoSpaceDE w:val="0"/>
        <w:autoSpaceDN w:val="0"/>
        <w:spacing w:before="78" w:beforeLines="25"/>
        <w:ind w:firstLine="560" w:firstLineChars="200"/>
        <w:contextualSpacing/>
        <w:rPr>
          <w:rFonts w:hint="eastAsia" w:ascii="仿宋" w:hAnsi="仿宋" w:eastAsia="仿宋" w:cs="仿宋"/>
          <w:sz w:val="28"/>
          <w:szCs w:val="28"/>
        </w:rPr>
      </w:pPr>
      <w:r>
        <w:rPr>
          <w:rFonts w:hint="eastAsia" w:ascii="仿宋" w:hAnsi="仿宋" w:eastAsia="仿宋" w:cs="仿宋"/>
          <w:sz w:val="28"/>
          <w:szCs w:val="28"/>
          <w:lang w:bidi="ar"/>
        </w:rPr>
        <w:t>1．合同书；</w:t>
      </w:r>
    </w:p>
    <w:p w14:paraId="5D186F20">
      <w:pPr>
        <w:wordWrap w:val="0"/>
        <w:autoSpaceDE w:val="0"/>
        <w:autoSpaceDN w:val="0"/>
        <w:spacing w:before="78" w:beforeLines="25"/>
        <w:ind w:firstLine="560" w:firstLineChars="200"/>
        <w:contextualSpacing/>
        <w:rPr>
          <w:rFonts w:hint="eastAsia" w:ascii="仿宋" w:hAnsi="仿宋" w:eastAsia="仿宋" w:cs="仿宋"/>
          <w:sz w:val="28"/>
          <w:szCs w:val="28"/>
        </w:rPr>
      </w:pPr>
      <w:r>
        <w:rPr>
          <w:rFonts w:hint="eastAsia" w:ascii="仿宋" w:hAnsi="仿宋" w:eastAsia="仿宋" w:cs="仿宋"/>
          <w:sz w:val="28"/>
          <w:szCs w:val="28"/>
          <w:lang w:bidi="ar"/>
        </w:rPr>
        <w:t xml:space="preserve">2．代理机构发出的成交通知书； </w:t>
      </w:r>
    </w:p>
    <w:p w14:paraId="7D8335AA">
      <w:pPr>
        <w:wordWrap w:val="0"/>
        <w:autoSpaceDE w:val="0"/>
        <w:autoSpaceDN w:val="0"/>
        <w:spacing w:before="78" w:beforeLines="25"/>
        <w:ind w:firstLine="560" w:firstLineChars="200"/>
        <w:contextualSpacing/>
        <w:rPr>
          <w:rFonts w:hint="eastAsia" w:ascii="仿宋" w:hAnsi="仿宋" w:eastAsia="仿宋" w:cs="仿宋"/>
          <w:sz w:val="28"/>
          <w:szCs w:val="28"/>
        </w:rPr>
      </w:pPr>
      <w:r>
        <w:rPr>
          <w:rFonts w:hint="eastAsia" w:ascii="仿宋" w:hAnsi="仿宋" w:eastAsia="仿宋" w:cs="仿宋"/>
          <w:sz w:val="28"/>
          <w:szCs w:val="28"/>
          <w:lang w:bidi="ar"/>
        </w:rPr>
        <w:t>3．经双方确认并共同签字的补充文件、技术协议等；</w:t>
      </w:r>
    </w:p>
    <w:p w14:paraId="723695E7">
      <w:pPr>
        <w:wordWrap w:val="0"/>
        <w:autoSpaceDE w:val="0"/>
        <w:autoSpaceDN w:val="0"/>
        <w:spacing w:before="78" w:beforeLines="25"/>
        <w:ind w:firstLine="560" w:firstLineChars="200"/>
        <w:contextualSpacing/>
        <w:rPr>
          <w:rFonts w:hint="eastAsia" w:ascii="仿宋" w:hAnsi="仿宋" w:eastAsia="仿宋" w:cs="仿宋"/>
          <w:sz w:val="28"/>
          <w:szCs w:val="28"/>
        </w:rPr>
      </w:pPr>
      <w:r>
        <w:rPr>
          <w:rFonts w:hint="eastAsia" w:ascii="仿宋" w:hAnsi="仿宋" w:eastAsia="仿宋" w:cs="仿宋"/>
          <w:sz w:val="28"/>
          <w:szCs w:val="28"/>
          <w:lang w:bidi="ar"/>
        </w:rPr>
        <w:t>4．乙方的响应文件（含附件、补充文件、图纸等）；</w:t>
      </w:r>
    </w:p>
    <w:p w14:paraId="1F9A426C">
      <w:pPr>
        <w:wordWrap w:val="0"/>
        <w:autoSpaceDE w:val="0"/>
        <w:autoSpaceDN w:val="0"/>
        <w:spacing w:before="78" w:beforeLines="25"/>
        <w:ind w:firstLine="560" w:firstLineChars="200"/>
        <w:contextualSpacing/>
        <w:rPr>
          <w:rFonts w:hint="eastAsia" w:ascii="仿宋" w:hAnsi="仿宋" w:eastAsia="仿宋" w:cs="仿宋"/>
          <w:sz w:val="28"/>
          <w:szCs w:val="28"/>
        </w:rPr>
      </w:pPr>
      <w:r>
        <w:rPr>
          <w:rFonts w:hint="eastAsia" w:ascii="仿宋" w:hAnsi="仿宋" w:eastAsia="仿宋" w:cs="仿宋"/>
          <w:sz w:val="28"/>
          <w:szCs w:val="28"/>
          <w:lang w:bidi="ar"/>
        </w:rPr>
        <w:t>5．采购文件（含附件、补充文件、图纸等）。</w:t>
      </w:r>
    </w:p>
    <w:p w14:paraId="1DC42AF2">
      <w:pPr>
        <w:pStyle w:val="17"/>
        <w:widowControl w:val="0"/>
        <w:wordWrap w:val="0"/>
        <w:spacing w:before="78" w:beforeLines="25" w:beforeAutospacing="0" w:after="0" w:afterAutospacing="0" w:line="360" w:lineRule="auto"/>
        <w:jc w:val="both"/>
        <w:rPr>
          <w:rFonts w:hint="eastAsia" w:ascii="仿宋" w:hAnsi="仿宋" w:eastAsia="仿宋" w:cs="仿宋"/>
          <w:b/>
          <w:kern w:val="2"/>
          <w:sz w:val="28"/>
          <w:szCs w:val="28"/>
        </w:rPr>
      </w:pPr>
      <w:bookmarkStart w:id="88" w:name="_Toc21623"/>
      <w:bookmarkStart w:id="89" w:name="_Toc17920"/>
      <w:r>
        <w:rPr>
          <w:rFonts w:hint="eastAsia" w:ascii="仿宋" w:hAnsi="仿宋" w:eastAsia="仿宋" w:cs="仿宋"/>
          <w:b/>
          <w:kern w:val="2"/>
          <w:sz w:val="28"/>
          <w:szCs w:val="28"/>
          <w:lang w:bidi="ar"/>
        </w:rPr>
        <w:t>十九、合同生效与终止</w:t>
      </w:r>
      <w:bookmarkEnd w:id="88"/>
      <w:bookmarkEnd w:id="89"/>
    </w:p>
    <w:p w14:paraId="2CFBDF18">
      <w:pPr>
        <w:wordWrap w:val="0"/>
        <w:autoSpaceDE w:val="0"/>
        <w:autoSpaceDN w:val="0"/>
        <w:spacing w:before="78" w:beforeLines="25"/>
        <w:ind w:firstLine="560" w:firstLineChars="200"/>
        <w:contextualSpacing/>
        <w:rPr>
          <w:rFonts w:hint="eastAsia" w:ascii="仿宋" w:hAnsi="仿宋" w:eastAsia="仿宋" w:cs="仿宋"/>
          <w:sz w:val="28"/>
          <w:szCs w:val="28"/>
        </w:rPr>
      </w:pPr>
      <w:r>
        <w:rPr>
          <w:rFonts w:hint="eastAsia" w:ascii="仿宋" w:hAnsi="仿宋" w:eastAsia="仿宋" w:cs="仿宋"/>
          <w:sz w:val="28"/>
          <w:szCs w:val="28"/>
          <w:lang w:bidi="ar"/>
        </w:rPr>
        <w:t>1．本合同经甲乙双方授权代表签字和加盖公章（或合同专用章）后生效。如竞争性谈判申请公证的，合同需经公证机构公证后生效；</w:t>
      </w:r>
    </w:p>
    <w:p w14:paraId="21592721">
      <w:pPr>
        <w:wordWrap w:val="0"/>
        <w:autoSpaceDE w:val="0"/>
        <w:autoSpaceDN w:val="0"/>
        <w:spacing w:before="78" w:beforeLines="25"/>
        <w:ind w:firstLine="560" w:firstLineChars="200"/>
        <w:contextualSpacing/>
        <w:rPr>
          <w:rFonts w:hint="eastAsia" w:ascii="仿宋" w:hAnsi="仿宋" w:eastAsia="仿宋" w:cs="仿宋"/>
          <w:sz w:val="28"/>
          <w:szCs w:val="28"/>
        </w:rPr>
      </w:pPr>
      <w:r>
        <w:rPr>
          <w:rFonts w:hint="eastAsia" w:ascii="仿宋" w:hAnsi="仿宋" w:eastAsia="仿宋" w:cs="仿宋"/>
          <w:sz w:val="28"/>
          <w:szCs w:val="28"/>
          <w:lang w:bidi="ar"/>
        </w:rPr>
        <w:t>2．双方履行完各自权利和义务后合同自行终止；</w:t>
      </w:r>
    </w:p>
    <w:p w14:paraId="3EA26407">
      <w:pPr>
        <w:wordWrap w:val="0"/>
        <w:autoSpaceDE w:val="0"/>
        <w:autoSpaceDN w:val="0"/>
        <w:spacing w:before="78" w:beforeLines="25"/>
        <w:ind w:firstLine="560" w:firstLineChars="200"/>
        <w:contextualSpacing/>
        <w:rPr>
          <w:rFonts w:hint="eastAsia" w:ascii="仿宋" w:hAnsi="仿宋" w:eastAsia="仿宋" w:cs="仿宋"/>
          <w:sz w:val="28"/>
          <w:szCs w:val="28"/>
        </w:rPr>
      </w:pPr>
      <w:r>
        <w:rPr>
          <w:rFonts w:hint="eastAsia" w:ascii="仿宋" w:hAnsi="仿宋" w:eastAsia="仿宋" w:cs="仿宋"/>
          <w:sz w:val="28"/>
          <w:szCs w:val="28"/>
          <w:lang w:bidi="ar"/>
        </w:rPr>
        <w:t>3．本合同规定可以终止合同的情形。</w:t>
      </w:r>
    </w:p>
    <w:p w14:paraId="52B32ADC">
      <w:pPr>
        <w:pStyle w:val="17"/>
        <w:widowControl w:val="0"/>
        <w:wordWrap w:val="0"/>
        <w:spacing w:before="78" w:beforeLines="25" w:beforeAutospacing="0" w:after="0" w:afterAutospacing="0" w:line="360" w:lineRule="auto"/>
        <w:jc w:val="both"/>
        <w:rPr>
          <w:rFonts w:hint="eastAsia" w:ascii="仿宋" w:hAnsi="仿宋" w:eastAsia="仿宋" w:cs="仿宋"/>
          <w:b/>
          <w:bCs/>
          <w:kern w:val="2"/>
          <w:sz w:val="28"/>
          <w:szCs w:val="28"/>
        </w:rPr>
      </w:pPr>
      <w:bookmarkStart w:id="90" w:name="_Toc25261"/>
      <w:bookmarkStart w:id="91" w:name="_Toc3241"/>
      <w:r>
        <w:rPr>
          <w:rFonts w:hint="eastAsia" w:ascii="仿宋" w:hAnsi="仿宋" w:eastAsia="仿宋" w:cs="仿宋"/>
          <w:b/>
          <w:kern w:val="2"/>
          <w:sz w:val="28"/>
          <w:szCs w:val="28"/>
          <w:lang w:bidi="ar"/>
        </w:rPr>
        <w:t>二十、</w:t>
      </w:r>
      <w:r>
        <w:rPr>
          <w:rFonts w:hint="eastAsia" w:ascii="仿宋" w:hAnsi="仿宋" w:eastAsia="仿宋" w:cs="仿宋"/>
          <w:b/>
          <w:bCs/>
          <w:kern w:val="2"/>
          <w:sz w:val="28"/>
          <w:szCs w:val="28"/>
          <w:lang w:bidi="ar"/>
        </w:rPr>
        <w:t>通知与送达</w:t>
      </w:r>
      <w:bookmarkEnd w:id="90"/>
      <w:bookmarkEnd w:id="91"/>
    </w:p>
    <w:p w14:paraId="1E138B55">
      <w:pPr>
        <w:wordWrap w:val="0"/>
        <w:autoSpaceDE w:val="0"/>
        <w:autoSpaceDN w:val="0"/>
        <w:spacing w:before="78" w:beforeLines="25"/>
        <w:ind w:firstLine="560" w:firstLineChars="200"/>
        <w:contextualSpacing/>
        <w:rPr>
          <w:rFonts w:hint="eastAsia" w:ascii="仿宋" w:hAnsi="仿宋" w:eastAsia="仿宋" w:cs="仿宋"/>
          <w:sz w:val="28"/>
          <w:szCs w:val="28"/>
        </w:rPr>
      </w:pPr>
      <w:r>
        <w:rPr>
          <w:rFonts w:hint="eastAsia" w:ascii="仿宋" w:hAnsi="仿宋" w:eastAsia="仿宋" w:cs="仿宋"/>
          <w:sz w:val="28"/>
          <w:szCs w:val="28"/>
          <w:lang w:bidi="ar"/>
        </w:rPr>
        <w:t>1．就本合同有关事项，双方应通过本合同约定的联系方式向对方发送相关通知，本合同约定的送达地址同时作为有效司法送达地址；</w:t>
      </w:r>
    </w:p>
    <w:p w14:paraId="2432F85B">
      <w:pPr>
        <w:wordWrap w:val="0"/>
        <w:autoSpaceDE w:val="0"/>
        <w:autoSpaceDN w:val="0"/>
        <w:spacing w:before="78" w:beforeLines="25"/>
        <w:ind w:firstLine="560" w:firstLineChars="200"/>
        <w:contextualSpacing/>
        <w:rPr>
          <w:rFonts w:hint="eastAsia" w:ascii="仿宋" w:hAnsi="仿宋" w:eastAsia="仿宋" w:cs="仿宋"/>
          <w:sz w:val="28"/>
          <w:szCs w:val="28"/>
        </w:rPr>
      </w:pPr>
      <w:r>
        <w:rPr>
          <w:rFonts w:hint="eastAsia" w:ascii="仿宋" w:hAnsi="仿宋" w:eastAsia="仿宋" w:cs="仿宋"/>
          <w:sz w:val="28"/>
          <w:szCs w:val="28"/>
          <w:lang w:bidi="ar"/>
        </w:rPr>
        <w:t>2．一方变更通知或通讯地址，应自变更之日起</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日内，以书面形式通知对方，否则，由未通知方承担由此而引起的相关责任。</w:t>
      </w:r>
    </w:p>
    <w:p w14:paraId="7807A7C4">
      <w:pPr>
        <w:pStyle w:val="17"/>
        <w:widowControl w:val="0"/>
        <w:wordWrap w:val="0"/>
        <w:spacing w:before="78" w:beforeLines="25" w:beforeAutospacing="0" w:after="0" w:afterAutospacing="0" w:line="360" w:lineRule="auto"/>
        <w:jc w:val="both"/>
        <w:rPr>
          <w:rFonts w:hint="eastAsia" w:ascii="仿宋" w:hAnsi="仿宋" w:eastAsia="仿宋" w:cs="仿宋"/>
          <w:b/>
          <w:bCs/>
          <w:kern w:val="2"/>
          <w:sz w:val="28"/>
          <w:szCs w:val="28"/>
        </w:rPr>
      </w:pPr>
      <w:bookmarkStart w:id="92" w:name="_Toc27836"/>
      <w:bookmarkStart w:id="93" w:name="_Toc13862"/>
      <w:r>
        <w:rPr>
          <w:rFonts w:hint="eastAsia" w:ascii="仿宋" w:hAnsi="仿宋" w:eastAsia="仿宋" w:cs="仿宋"/>
          <w:b/>
          <w:kern w:val="2"/>
          <w:sz w:val="28"/>
          <w:szCs w:val="28"/>
          <w:lang w:bidi="ar"/>
        </w:rPr>
        <w:t>二十一、</w:t>
      </w:r>
      <w:r>
        <w:rPr>
          <w:rFonts w:hint="eastAsia" w:ascii="仿宋" w:hAnsi="仿宋" w:eastAsia="仿宋" w:cs="仿宋"/>
          <w:b/>
          <w:bCs/>
          <w:kern w:val="2"/>
          <w:sz w:val="28"/>
          <w:szCs w:val="28"/>
          <w:lang w:bidi="ar"/>
        </w:rPr>
        <w:t>其它</w:t>
      </w:r>
      <w:bookmarkEnd w:id="92"/>
      <w:bookmarkEnd w:id="93"/>
    </w:p>
    <w:p w14:paraId="706807E7">
      <w:pPr>
        <w:numPr>
          <w:ilvl w:val="255"/>
          <w:numId w:val="0"/>
        </w:numPr>
        <w:tabs>
          <w:tab w:val="left" w:pos="980"/>
        </w:tabs>
        <w:wordWrap w:val="0"/>
        <w:autoSpaceDE w:val="0"/>
        <w:autoSpaceDN w:val="0"/>
        <w:ind w:firstLine="560" w:firstLineChars="200"/>
        <w:contextualSpacing/>
        <w:rPr>
          <w:rFonts w:hint="eastAsia" w:ascii="仿宋" w:hAnsi="仿宋" w:eastAsia="仿宋" w:cs="仿宋"/>
          <w:sz w:val="28"/>
          <w:szCs w:val="28"/>
          <w:lang w:val="zh-CN"/>
        </w:rPr>
      </w:pPr>
      <w:r>
        <w:rPr>
          <w:rFonts w:hint="eastAsia" w:ascii="仿宋" w:hAnsi="仿宋" w:eastAsia="仿宋" w:cs="仿宋"/>
          <w:sz w:val="28"/>
          <w:szCs w:val="28"/>
          <w:lang w:bidi="ar"/>
        </w:rPr>
        <w:t>本合同正本一式</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份，甲方执</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份，乙方执</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份；副本一式</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份，甲方执</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份，乙方执</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份。</w:t>
      </w:r>
    </w:p>
    <w:p w14:paraId="5DD1346E">
      <w:pPr>
        <w:wordWrap w:val="0"/>
        <w:spacing w:before="78" w:beforeLines="25"/>
        <w:ind w:firstLine="428" w:firstLineChars="204"/>
        <w:contextualSpacing/>
        <w:rPr>
          <w:rFonts w:hint="eastAsia"/>
        </w:rPr>
      </w:pPr>
      <w:r>
        <w:rPr>
          <w:rFonts w:hint="eastAsia"/>
        </w:rPr>
        <w:t xml:space="preserve">    </w:t>
      </w:r>
    </w:p>
    <w:p w14:paraId="2F5C7E42">
      <w:pPr>
        <w:wordWrap w:val="0"/>
        <w:spacing w:before="78" w:beforeLines="25"/>
        <w:contextualSpacing/>
        <w:rPr>
          <w:rFonts w:hint="eastAsia" w:ascii="仿宋" w:hAnsi="仿宋" w:eastAsia="仿宋" w:cs="仿宋"/>
          <w:sz w:val="28"/>
          <w:szCs w:val="28"/>
        </w:rPr>
      </w:pPr>
      <w:r>
        <w:rPr>
          <w:rFonts w:hint="eastAsia" w:ascii="仿宋" w:hAnsi="仿宋" w:eastAsia="仿宋" w:cs="仿宋"/>
          <w:sz w:val="28"/>
          <w:szCs w:val="28"/>
        </w:rPr>
        <w:t>甲　　方：</w:t>
      </w:r>
      <w:r>
        <w:rPr>
          <w:rFonts w:hint="eastAsia" w:ascii="仿宋" w:hAnsi="仿宋" w:eastAsia="仿宋" w:cs="仿宋"/>
          <w:sz w:val="28"/>
          <w:szCs w:val="28"/>
        </w:rPr>
        <w:tab/>
      </w:r>
      <w:r>
        <w:rPr>
          <w:rFonts w:hint="eastAsia" w:ascii="仿宋" w:hAnsi="仿宋" w:eastAsia="仿宋" w:cs="仿宋"/>
          <w:sz w:val="28"/>
          <w:szCs w:val="28"/>
        </w:rPr>
        <w:t xml:space="preserve">                        乙　　方：</w:t>
      </w:r>
    </w:p>
    <w:p w14:paraId="05E0CAD1">
      <w:pPr>
        <w:wordWrap w:val="0"/>
        <w:spacing w:before="78" w:beforeLines="25"/>
        <w:contextualSpacing/>
        <w:rPr>
          <w:rFonts w:hint="eastAsia" w:ascii="仿宋" w:hAnsi="仿宋" w:eastAsia="仿宋" w:cs="仿宋"/>
          <w:sz w:val="28"/>
          <w:szCs w:val="28"/>
        </w:rPr>
      </w:pPr>
      <w:r>
        <w:rPr>
          <w:rFonts w:hint="eastAsia" w:ascii="仿宋" w:hAnsi="仿宋" w:eastAsia="仿宋" w:cs="仿宋"/>
          <w:sz w:val="28"/>
          <w:szCs w:val="28"/>
        </w:rPr>
        <w:t>单位名称（盖章）：</w:t>
      </w:r>
      <w:r>
        <w:rPr>
          <w:rFonts w:hint="eastAsia" w:ascii="仿宋" w:hAnsi="仿宋" w:eastAsia="仿宋" w:cs="仿宋"/>
          <w:sz w:val="28"/>
          <w:szCs w:val="28"/>
        </w:rPr>
        <w:tab/>
      </w:r>
      <w:r>
        <w:rPr>
          <w:rFonts w:hint="eastAsia" w:ascii="仿宋" w:hAnsi="仿宋" w:eastAsia="仿宋" w:cs="仿宋"/>
          <w:sz w:val="28"/>
          <w:szCs w:val="28"/>
        </w:rPr>
        <w:t xml:space="preserve">               单位名称（盖章）：</w:t>
      </w:r>
    </w:p>
    <w:p w14:paraId="1EDB9B6D">
      <w:pPr>
        <w:wordWrap w:val="0"/>
        <w:spacing w:before="78" w:beforeLines="25"/>
        <w:contextualSpacing/>
        <w:rPr>
          <w:rFonts w:hint="eastAsia" w:ascii="仿宋" w:hAnsi="仿宋" w:eastAsia="仿宋" w:cs="仿宋"/>
          <w:sz w:val="28"/>
          <w:szCs w:val="28"/>
        </w:rPr>
      </w:pPr>
      <w:r>
        <w:rPr>
          <w:rFonts w:hint="eastAsia" w:ascii="仿宋" w:hAnsi="仿宋" w:eastAsia="仿宋" w:cs="仿宋"/>
          <w:sz w:val="28"/>
          <w:szCs w:val="28"/>
        </w:rPr>
        <w:t>单位地址：</w:t>
      </w:r>
      <w:r>
        <w:rPr>
          <w:rFonts w:hint="eastAsia" w:ascii="仿宋" w:hAnsi="仿宋" w:eastAsia="仿宋" w:cs="仿宋"/>
          <w:sz w:val="28"/>
          <w:szCs w:val="28"/>
        </w:rPr>
        <w:tab/>
      </w:r>
      <w:r>
        <w:rPr>
          <w:rFonts w:hint="eastAsia" w:ascii="仿宋" w:hAnsi="仿宋" w:eastAsia="仿宋" w:cs="仿宋"/>
          <w:sz w:val="28"/>
          <w:szCs w:val="28"/>
        </w:rPr>
        <w:t xml:space="preserve">                        单位地址：</w:t>
      </w:r>
    </w:p>
    <w:p w14:paraId="6148E66B">
      <w:pPr>
        <w:wordWrap w:val="0"/>
        <w:spacing w:before="78" w:beforeLines="25"/>
        <w:contextualSpacing/>
        <w:rPr>
          <w:rFonts w:hint="eastAsia" w:ascii="仿宋" w:hAnsi="仿宋" w:eastAsia="仿宋" w:cs="仿宋"/>
          <w:sz w:val="28"/>
          <w:szCs w:val="28"/>
        </w:rPr>
      </w:pPr>
      <w:r>
        <w:rPr>
          <w:rFonts w:hint="eastAsia" w:ascii="仿宋" w:hAnsi="仿宋" w:eastAsia="仿宋" w:cs="仿宋"/>
          <w:sz w:val="28"/>
          <w:szCs w:val="28"/>
        </w:rPr>
        <w:t>法人代表授权人</w:t>
      </w:r>
      <w:r>
        <w:rPr>
          <w:rFonts w:hint="eastAsia" w:ascii="仿宋" w:hAnsi="仿宋" w:eastAsia="仿宋" w:cs="仿宋"/>
          <w:sz w:val="28"/>
          <w:szCs w:val="28"/>
          <w:lang w:eastAsia="zh-CN"/>
        </w:rPr>
        <w:t>（</w:t>
      </w:r>
      <w:r>
        <w:rPr>
          <w:rFonts w:hint="eastAsia" w:ascii="仿宋" w:hAnsi="仿宋" w:eastAsia="仿宋" w:cs="仿宋"/>
          <w:sz w:val="28"/>
          <w:szCs w:val="28"/>
        </w:rPr>
        <w:t>签字</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法人代表授权人</w:t>
      </w:r>
      <w:r>
        <w:rPr>
          <w:rFonts w:hint="eastAsia" w:ascii="仿宋" w:hAnsi="仿宋" w:eastAsia="仿宋" w:cs="仿宋"/>
          <w:sz w:val="28"/>
          <w:szCs w:val="28"/>
          <w:lang w:eastAsia="zh-CN"/>
        </w:rPr>
        <w:t>（</w:t>
      </w:r>
      <w:r>
        <w:rPr>
          <w:rFonts w:hint="eastAsia" w:ascii="仿宋" w:hAnsi="仿宋" w:eastAsia="仿宋" w:cs="仿宋"/>
          <w:sz w:val="28"/>
          <w:szCs w:val="28"/>
        </w:rPr>
        <w:t>签字</w:t>
      </w:r>
      <w:r>
        <w:rPr>
          <w:rFonts w:hint="eastAsia" w:ascii="仿宋" w:hAnsi="仿宋" w:eastAsia="仿宋" w:cs="仿宋"/>
          <w:sz w:val="28"/>
          <w:szCs w:val="28"/>
          <w:lang w:eastAsia="zh-CN"/>
        </w:rPr>
        <w:t>）</w:t>
      </w:r>
      <w:r>
        <w:rPr>
          <w:rFonts w:hint="eastAsia" w:ascii="仿宋" w:hAnsi="仿宋" w:eastAsia="仿宋" w:cs="仿宋"/>
          <w:sz w:val="28"/>
          <w:szCs w:val="28"/>
        </w:rPr>
        <w:t>：</w:t>
      </w:r>
    </w:p>
    <w:p w14:paraId="744B0247">
      <w:pPr>
        <w:wordWrap w:val="0"/>
        <w:spacing w:before="78" w:beforeLines="25"/>
        <w:contextualSpacing/>
        <w:rPr>
          <w:rFonts w:hint="eastAsia" w:ascii="仿宋" w:hAnsi="仿宋" w:eastAsia="仿宋" w:cs="仿宋"/>
          <w:sz w:val="28"/>
          <w:szCs w:val="28"/>
        </w:rPr>
      </w:pPr>
      <w:r>
        <w:rPr>
          <w:rFonts w:hint="eastAsia" w:ascii="仿宋" w:hAnsi="仿宋" w:eastAsia="仿宋" w:cs="仿宋"/>
          <w:sz w:val="28"/>
          <w:szCs w:val="28"/>
        </w:rPr>
        <w:t>联 系 人：</w:t>
      </w:r>
      <w:r>
        <w:rPr>
          <w:rFonts w:hint="eastAsia" w:ascii="仿宋" w:hAnsi="仿宋" w:eastAsia="仿宋" w:cs="仿宋"/>
          <w:sz w:val="28"/>
          <w:szCs w:val="28"/>
        </w:rPr>
        <w:tab/>
      </w:r>
      <w:r>
        <w:rPr>
          <w:rFonts w:hint="eastAsia" w:ascii="仿宋" w:hAnsi="仿宋" w:eastAsia="仿宋" w:cs="仿宋"/>
          <w:sz w:val="28"/>
          <w:szCs w:val="28"/>
        </w:rPr>
        <w:t xml:space="preserve">                        联 系 人：</w:t>
      </w:r>
    </w:p>
    <w:p w14:paraId="59CFF884">
      <w:pPr>
        <w:wordWrap w:val="0"/>
        <w:spacing w:before="78" w:beforeLines="25"/>
        <w:contextualSpacing/>
        <w:rPr>
          <w:rFonts w:hint="eastAsia" w:ascii="仿宋" w:hAnsi="仿宋" w:eastAsia="仿宋" w:cs="仿宋"/>
          <w:sz w:val="28"/>
          <w:szCs w:val="28"/>
        </w:rPr>
      </w:pPr>
      <w:r>
        <w:rPr>
          <w:rFonts w:hint="eastAsia" w:ascii="仿宋" w:hAnsi="仿宋" w:eastAsia="仿宋" w:cs="仿宋"/>
          <w:sz w:val="28"/>
          <w:szCs w:val="28"/>
        </w:rPr>
        <w:t xml:space="preserve">电　　话：                         </w:t>
      </w:r>
      <w:r>
        <w:rPr>
          <w:rFonts w:hint="eastAsia" w:ascii="仿宋" w:hAnsi="仿宋" w:eastAsia="仿宋" w:cs="仿宋"/>
          <w:sz w:val="28"/>
          <w:szCs w:val="28"/>
        </w:rPr>
        <w:tab/>
      </w:r>
      <w:r>
        <w:rPr>
          <w:rFonts w:hint="eastAsia" w:ascii="仿宋" w:hAnsi="仿宋" w:eastAsia="仿宋" w:cs="仿宋"/>
          <w:sz w:val="28"/>
          <w:szCs w:val="28"/>
        </w:rPr>
        <w:t>电　　话：</w:t>
      </w:r>
    </w:p>
    <w:p w14:paraId="58990D59">
      <w:pPr>
        <w:wordWrap w:val="0"/>
        <w:spacing w:before="78" w:beforeLines="25"/>
        <w:contextualSpacing/>
        <w:rPr>
          <w:rFonts w:hint="eastAsia" w:ascii="仿宋" w:hAnsi="仿宋" w:eastAsia="仿宋" w:cs="仿宋"/>
          <w:sz w:val="28"/>
          <w:szCs w:val="28"/>
        </w:rPr>
      </w:pPr>
      <w:r>
        <w:rPr>
          <w:rFonts w:hint="eastAsia" w:ascii="仿宋" w:hAnsi="仿宋" w:eastAsia="仿宋" w:cs="仿宋"/>
          <w:sz w:val="28"/>
          <w:szCs w:val="28"/>
        </w:rPr>
        <w:t xml:space="preserve">传　　真：                         </w:t>
      </w:r>
      <w:r>
        <w:rPr>
          <w:rFonts w:hint="eastAsia" w:ascii="仿宋" w:hAnsi="仿宋" w:eastAsia="仿宋" w:cs="仿宋"/>
          <w:sz w:val="28"/>
          <w:szCs w:val="28"/>
        </w:rPr>
        <w:tab/>
      </w:r>
      <w:r>
        <w:rPr>
          <w:rFonts w:hint="eastAsia" w:ascii="仿宋" w:hAnsi="仿宋" w:eastAsia="仿宋" w:cs="仿宋"/>
          <w:sz w:val="28"/>
          <w:szCs w:val="28"/>
        </w:rPr>
        <w:t>传　　真：</w:t>
      </w:r>
    </w:p>
    <w:p w14:paraId="064C5B83">
      <w:pPr>
        <w:wordWrap w:val="0"/>
        <w:spacing w:before="78" w:beforeLines="25"/>
        <w:contextualSpacing/>
        <w:rPr>
          <w:rFonts w:hint="eastAsia" w:ascii="仿宋" w:hAnsi="仿宋" w:eastAsia="仿宋" w:cs="仿宋"/>
          <w:sz w:val="28"/>
          <w:szCs w:val="28"/>
        </w:rPr>
      </w:pPr>
      <w:r>
        <w:rPr>
          <w:rFonts w:hint="eastAsia" w:ascii="仿宋" w:hAnsi="仿宋" w:eastAsia="仿宋" w:cs="仿宋"/>
          <w:sz w:val="28"/>
          <w:szCs w:val="28"/>
        </w:rPr>
        <w:t xml:space="preserve">邮政编码：                         </w:t>
      </w:r>
      <w:r>
        <w:rPr>
          <w:rFonts w:hint="eastAsia" w:ascii="仿宋" w:hAnsi="仿宋" w:eastAsia="仿宋" w:cs="仿宋"/>
          <w:sz w:val="28"/>
          <w:szCs w:val="28"/>
        </w:rPr>
        <w:tab/>
      </w:r>
      <w:r>
        <w:rPr>
          <w:rFonts w:hint="eastAsia" w:ascii="仿宋" w:hAnsi="仿宋" w:eastAsia="仿宋" w:cs="仿宋"/>
          <w:sz w:val="28"/>
          <w:szCs w:val="28"/>
        </w:rPr>
        <w:t>邮政编码：</w:t>
      </w:r>
    </w:p>
    <w:p w14:paraId="57F51EED">
      <w:pPr>
        <w:wordWrap w:val="0"/>
        <w:spacing w:before="78" w:beforeLines="25"/>
        <w:contextualSpacing/>
        <w:rPr>
          <w:rFonts w:hint="eastAsia" w:ascii="仿宋" w:hAnsi="仿宋" w:eastAsia="仿宋" w:cs="仿宋"/>
          <w:sz w:val="28"/>
          <w:szCs w:val="28"/>
        </w:rPr>
      </w:pPr>
      <w:r>
        <w:rPr>
          <w:rFonts w:hint="eastAsia" w:ascii="仿宋" w:hAnsi="仿宋" w:eastAsia="仿宋" w:cs="仿宋"/>
          <w:sz w:val="28"/>
          <w:szCs w:val="28"/>
        </w:rPr>
        <w:t xml:space="preserve">开户银行：                         </w:t>
      </w:r>
      <w:r>
        <w:rPr>
          <w:rFonts w:hint="eastAsia" w:ascii="仿宋" w:hAnsi="仿宋" w:eastAsia="仿宋" w:cs="仿宋"/>
          <w:sz w:val="28"/>
          <w:szCs w:val="28"/>
        </w:rPr>
        <w:tab/>
      </w:r>
      <w:r>
        <w:rPr>
          <w:rFonts w:hint="eastAsia" w:ascii="仿宋" w:hAnsi="仿宋" w:eastAsia="仿宋" w:cs="仿宋"/>
          <w:sz w:val="28"/>
          <w:szCs w:val="28"/>
        </w:rPr>
        <w:t>开户银行：</w:t>
      </w:r>
    </w:p>
    <w:p w14:paraId="63E94BF7">
      <w:pPr>
        <w:wordWrap w:val="0"/>
        <w:spacing w:before="78" w:beforeLines="25"/>
        <w:contextualSpacing/>
        <w:rPr>
          <w:rFonts w:hint="eastAsia" w:ascii="仿宋" w:hAnsi="仿宋" w:eastAsia="仿宋" w:cs="仿宋"/>
          <w:sz w:val="28"/>
          <w:szCs w:val="28"/>
        </w:rPr>
      </w:pPr>
      <w:r>
        <w:rPr>
          <w:rFonts w:hint="eastAsia" w:ascii="仿宋" w:hAnsi="仿宋" w:eastAsia="仿宋" w:cs="仿宋"/>
          <w:sz w:val="28"/>
          <w:szCs w:val="28"/>
        </w:rPr>
        <w:t xml:space="preserve">帐　　号：                         </w:t>
      </w:r>
      <w:r>
        <w:rPr>
          <w:rFonts w:hint="eastAsia" w:ascii="仿宋" w:hAnsi="仿宋" w:eastAsia="仿宋" w:cs="仿宋"/>
          <w:sz w:val="28"/>
          <w:szCs w:val="28"/>
        </w:rPr>
        <w:tab/>
      </w:r>
      <w:r>
        <w:rPr>
          <w:rFonts w:hint="eastAsia" w:ascii="仿宋" w:hAnsi="仿宋" w:eastAsia="仿宋" w:cs="仿宋"/>
          <w:sz w:val="28"/>
          <w:szCs w:val="28"/>
        </w:rPr>
        <w:t>帐　　号：</w:t>
      </w:r>
    </w:p>
    <w:p w14:paraId="43869A7A">
      <w:pPr>
        <w:rPr>
          <w:rFonts w:ascii="仿宋" w:hAnsi="仿宋" w:eastAsia="仿宋" w:cs="Times New Roman"/>
          <w:color w:val="000000" w:themeColor="text1"/>
          <w:kern w:val="0"/>
          <w:sz w:val="28"/>
          <w:szCs w:val="28"/>
          <w:u w:color="000000"/>
          <w14:textFill>
            <w14:solidFill>
              <w14:schemeClr w14:val="tx1"/>
            </w14:solidFill>
          </w14:textFill>
        </w:rPr>
      </w:pPr>
      <w:r>
        <w:rPr>
          <w:rFonts w:hint="eastAsia" w:ascii="仿宋" w:hAnsi="仿宋" w:eastAsia="仿宋" w:cs="仿宋"/>
          <w:sz w:val="28"/>
          <w:szCs w:val="28"/>
        </w:rPr>
        <w:t xml:space="preserve">税　　号：                         </w:t>
      </w:r>
      <w:r>
        <w:rPr>
          <w:rFonts w:hint="eastAsia" w:ascii="仿宋" w:hAnsi="仿宋" w:eastAsia="仿宋" w:cs="仿宋"/>
          <w:sz w:val="28"/>
          <w:szCs w:val="28"/>
        </w:rPr>
        <w:tab/>
      </w:r>
      <w:r>
        <w:rPr>
          <w:rFonts w:hint="eastAsia" w:ascii="仿宋" w:hAnsi="仿宋" w:eastAsia="仿宋" w:cs="仿宋"/>
          <w:sz w:val="28"/>
          <w:szCs w:val="28"/>
        </w:rPr>
        <w:t>税　　号：</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6CE70">
    <w:pPr>
      <w:pStyle w:val="11"/>
      <w:tabs>
        <w:tab w:val="center" w:pos="4153"/>
        <w:tab w:val="right" w:pos="8306"/>
      </w:tabs>
      <w:ind w:firstLine="1920" w:firstLineChars="800"/>
      <w:rPr>
        <w:rFonts w:ascii="宋体" w:hAnsi="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6F7575">
                          <w:pPr>
                            <w:pStyle w:val="11"/>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18</w:t>
                          </w:r>
                          <w:r>
                            <w:fldChar w:fldCharType="end"/>
                          </w:r>
                        </w:p>
                      </w:txbxContent>
                    </wps:txbx>
                    <wps:bodyPr vert="horz" wrap="none" lIns="0" tIns="0" rIns="0" bIns="0" anchor="t" anchorCtr="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KKhfdrdAQAAvgMAAA4AAAAAAAAA&#10;AQAgAAAAHgEAAGRycy9lMm9Eb2MueG1sUEsFBgAAAAAGAAYAWQEAAG0FAAAAAA==&#10;">
              <v:fill on="f" focussize="0,0"/>
              <v:stroke on="f"/>
              <v:imagedata o:title=""/>
              <o:lock v:ext="edit" aspectratio="f"/>
              <v:textbox inset="0mm,0mm,0mm,0mm" style="mso-fit-shape-to-text:t;">
                <w:txbxContent>
                  <w:p w14:paraId="436F7575">
                    <w:pPr>
                      <w:pStyle w:val="11"/>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A42A10"/>
    <w:multiLevelType w:val="multilevel"/>
    <w:tmpl w:val="0FA42A10"/>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FA84B13"/>
    <w:multiLevelType w:val="multilevel"/>
    <w:tmpl w:val="3FA84B13"/>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jY2RmM2RjZWU2ZTA5ZTRlOGIxZjRkOGJmODI1NzkifQ=="/>
  </w:docVars>
  <w:rsids>
    <w:rsidRoot w:val="00172A27"/>
    <w:rsid w:val="00020B58"/>
    <w:rsid w:val="001011C3"/>
    <w:rsid w:val="00112D9E"/>
    <w:rsid w:val="0012176A"/>
    <w:rsid w:val="00172A27"/>
    <w:rsid w:val="00181F69"/>
    <w:rsid w:val="001A6F57"/>
    <w:rsid w:val="001E23F0"/>
    <w:rsid w:val="002B7CA3"/>
    <w:rsid w:val="002D0854"/>
    <w:rsid w:val="002E0208"/>
    <w:rsid w:val="002E7452"/>
    <w:rsid w:val="002F3BE1"/>
    <w:rsid w:val="0039629C"/>
    <w:rsid w:val="003B7874"/>
    <w:rsid w:val="00410F85"/>
    <w:rsid w:val="004144FE"/>
    <w:rsid w:val="0042161E"/>
    <w:rsid w:val="004C3B7A"/>
    <w:rsid w:val="00552FA6"/>
    <w:rsid w:val="00566106"/>
    <w:rsid w:val="005D786A"/>
    <w:rsid w:val="00600D4A"/>
    <w:rsid w:val="00621279"/>
    <w:rsid w:val="00627CE5"/>
    <w:rsid w:val="006B0ACC"/>
    <w:rsid w:val="006D5EDB"/>
    <w:rsid w:val="00751611"/>
    <w:rsid w:val="0079503E"/>
    <w:rsid w:val="008A3311"/>
    <w:rsid w:val="0090478D"/>
    <w:rsid w:val="00916352"/>
    <w:rsid w:val="009229B2"/>
    <w:rsid w:val="00954A2E"/>
    <w:rsid w:val="009C4533"/>
    <w:rsid w:val="009C4FC0"/>
    <w:rsid w:val="00A30407"/>
    <w:rsid w:val="00A704BE"/>
    <w:rsid w:val="00B00487"/>
    <w:rsid w:val="00B023E8"/>
    <w:rsid w:val="00BA20BA"/>
    <w:rsid w:val="00BC2806"/>
    <w:rsid w:val="00BE4695"/>
    <w:rsid w:val="00C03153"/>
    <w:rsid w:val="00C048CD"/>
    <w:rsid w:val="00C21298"/>
    <w:rsid w:val="00CB2FB5"/>
    <w:rsid w:val="00CC6D35"/>
    <w:rsid w:val="00D52095"/>
    <w:rsid w:val="00DB39EE"/>
    <w:rsid w:val="00DB6E37"/>
    <w:rsid w:val="00DC1DB2"/>
    <w:rsid w:val="00E100A1"/>
    <w:rsid w:val="00E2435F"/>
    <w:rsid w:val="00E6129C"/>
    <w:rsid w:val="00EC3D5F"/>
    <w:rsid w:val="00EE2C63"/>
    <w:rsid w:val="00F14079"/>
    <w:rsid w:val="00F62453"/>
    <w:rsid w:val="00FC1EC7"/>
    <w:rsid w:val="00FC3C31"/>
    <w:rsid w:val="01D37272"/>
    <w:rsid w:val="067E4912"/>
    <w:rsid w:val="07750484"/>
    <w:rsid w:val="07B301C9"/>
    <w:rsid w:val="083D5097"/>
    <w:rsid w:val="0CAF3C55"/>
    <w:rsid w:val="0CD83E89"/>
    <w:rsid w:val="0D5621FC"/>
    <w:rsid w:val="0D735192"/>
    <w:rsid w:val="10936BB7"/>
    <w:rsid w:val="11E766A6"/>
    <w:rsid w:val="15C12D96"/>
    <w:rsid w:val="169766C2"/>
    <w:rsid w:val="199C1275"/>
    <w:rsid w:val="1B0367AA"/>
    <w:rsid w:val="1EE9607B"/>
    <w:rsid w:val="20C95B86"/>
    <w:rsid w:val="231B04EC"/>
    <w:rsid w:val="238D37D0"/>
    <w:rsid w:val="242F6BBB"/>
    <w:rsid w:val="26D47194"/>
    <w:rsid w:val="271948D9"/>
    <w:rsid w:val="27615A1A"/>
    <w:rsid w:val="27A66875"/>
    <w:rsid w:val="294E7A67"/>
    <w:rsid w:val="2A9860B3"/>
    <w:rsid w:val="2BBD5040"/>
    <w:rsid w:val="32E0684A"/>
    <w:rsid w:val="339030EB"/>
    <w:rsid w:val="34897861"/>
    <w:rsid w:val="357E37D9"/>
    <w:rsid w:val="397E5CA5"/>
    <w:rsid w:val="399C1725"/>
    <w:rsid w:val="3A560B45"/>
    <w:rsid w:val="3AFE0251"/>
    <w:rsid w:val="3EFD08CE"/>
    <w:rsid w:val="3F500C15"/>
    <w:rsid w:val="40237341"/>
    <w:rsid w:val="4079473B"/>
    <w:rsid w:val="40F70728"/>
    <w:rsid w:val="42175BC4"/>
    <w:rsid w:val="42681327"/>
    <w:rsid w:val="435E4CAD"/>
    <w:rsid w:val="45E5269D"/>
    <w:rsid w:val="478C4D85"/>
    <w:rsid w:val="49C04930"/>
    <w:rsid w:val="4BBE7EB7"/>
    <w:rsid w:val="4D09732C"/>
    <w:rsid w:val="4DBE602C"/>
    <w:rsid w:val="4DC56C12"/>
    <w:rsid w:val="4E5C4655"/>
    <w:rsid w:val="4EAD5EC4"/>
    <w:rsid w:val="4FDA2F83"/>
    <w:rsid w:val="51FE77E7"/>
    <w:rsid w:val="52131FB2"/>
    <w:rsid w:val="527B3FE6"/>
    <w:rsid w:val="54992FD0"/>
    <w:rsid w:val="56713F8D"/>
    <w:rsid w:val="569C607F"/>
    <w:rsid w:val="57957137"/>
    <w:rsid w:val="5919331E"/>
    <w:rsid w:val="5B0B62AA"/>
    <w:rsid w:val="5BEA3BCE"/>
    <w:rsid w:val="5DD456D0"/>
    <w:rsid w:val="5E1E00A2"/>
    <w:rsid w:val="5E730D7D"/>
    <w:rsid w:val="60B564F4"/>
    <w:rsid w:val="62EE364B"/>
    <w:rsid w:val="6313653C"/>
    <w:rsid w:val="64A7007F"/>
    <w:rsid w:val="676A1D17"/>
    <w:rsid w:val="67782FC1"/>
    <w:rsid w:val="68FB72BE"/>
    <w:rsid w:val="6B4566D4"/>
    <w:rsid w:val="6B830630"/>
    <w:rsid w:val="6CA515B1"/>
    <w:rsid w:val="6E8250DD"/>
    <w:rsid w:val="70190BA5"/>
    <w:rsid w:val="70CD2DFE"/>
    <w:rsid w:val="742C36E5"/>
    <w:rsid w:val="74977960"/>
    <w:rsid w:val="783C0B80"/>
    <w:rsid w:val="793A3BDF"/>
    <w:rsid w:val="79652C30"/>
    <w:rsid w:val="79BC5331"/>
    <w:rsid w:val="7A7A6822"/>
    <w:rsid w:val="7AC97E18"/>
    <w:rsid w:val="7AF75868"/>
    <w:rsid w:val="7C4D021F"/>
    <w:rsid w:val="7C9D6C4C"/>
    <w:rsid w:val="7DF10C05"/>
    <w:rsid w:val="7E171D89"/>
    <w:rsid w:val="7E821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28"/>
    <w:unhideWhenUsed/>
    <w:qFormat/>
    <w:uiPriority w:val="0"/>
    <w:pPr>
      <w:spacing w:line="360" w:lineRule="auto"/>
      <w:ind w:firstLine="420" w:firstLineChars="200"/>
    </w:pPr>
    <w:rPr>
      <w:rFonts w:ascii="Times New Roman" w:hAnsi="Times New Roman" w:eastAsia="仿宋"/>
      <w:sz w:val="30"/>
      <w:szCs w:val="22"/>
    </w:rPr>
  </w:style>
  <w:style w:type="paragraph" w:styleId="7">
    <w:name w:val="annotation text"/>
    <w:basedOn w:val="1"/>
    <w:link w:val="29"/>
    <w:qFormat/>
    <w:uiPriority w:val="99"/>
    <w:pPr>
      <w:jc w:val="left"/>
    </w:pPr>
  </w:style>
  <w:style w:type="paragraph" w:styleId="8">
    <w:name w:val="Body Text"/>
    <w:basedOn w:val="1"/>
    <w:next w:val="6"/>
    <w:link w:val="27"/>
    <w:unhideWhenUsed/>
    <w:qFormat/>
    <w:uiPriority w:val="99"/>
    <w:pPr>
      <w:spacing w:after="120" w:line="360" w:lineRule="auto"/>
      <w:ind w:firstLine="200" w:firstLineChars="200"/>
    </w:pPr>
    <w:rPr>
      <w:rFonts w:ascii="Times New Roman" w:hAnsi="Times New Roman" w:eastAsia="仿宋"/>
      <w:sz w:val="30"/>
      <w:szCs w:val="22"/>
    </w:rPr>
  </w:style>
  <w:style w:type="paragraph" w:styleId="9">
    <w:name w:val="toc 3"/>
    <w:basedOn w:val="1"/>
    <w:next w:val="1"/>
    <w:qFormat/>
    <w:uiPriority w:val="0"/>
    <w:pPr>
      <w:ind w:left="840" w:leftChars="400"/>
    </w:pPr>
  </w:style>
  <w:style w:type="paragraph" w:styleId="10">
    <w:name w:val="Plain Text"/>
    <w:basedOn w:val="1"/>
    <w:unhideWhenUsed/>
    <w:qFormat/>
    <w:uiPriority w:val="0"/>
    <w:rPr>
      <w:rFonts w:ascii="宋体" w:hAnsi="Courier New" w:cs="Courier New"/>
    </w:rPr>
  </w:style>
  <w:style w:type="paragraph" w:styleId="11">
    <w:name w:val="footer"/>
    <w:basedOn w:val="1"/>
    <w:unhideWhenUsed/>
    <w:qFormat/>
    <w:uiPriority w:val="0"/>
    <w:pPr>
      <w:snapToGrid w:val="0"/>
    </w:pPr>
    <w:rPr>
      <w:sz w:val="18"/>
      <w:szCs w:val="18"/>
    </w:rPr>
  </w:style>
  <w:style w:type="paragraph" w:styleId="12">
    <w:name w:val="header"/>
    <w:basedOn w:val="1"/>
    <w:unhideWhenUsed/>
    <w:qFormat/>
    <w:uiPriority w:val="0"/>
    <w:pPr>
      <w:pBdr>
        <w:bottom w:val="single" w:color="auto" w:sz="6" w:space="1"/>
      </w:pBdr>
      <w:snapToGrid w:val="0"/>
      <w:jc w:val="center"/>
    </w:pPr>
    <w:rPr>
      <w:sz w:val="18"/>
      <w:szCs w:val="18"/>
    </w:rPr>
  </w:style>
  <w:style w:type="paragraph" w:styleId="13">
    <w:name w:val="toc 1"/>
    <w:basedOn w:val="1"/>
    <w:next w:val="1"/>
    <w:qFormat/>
    <w:uiPriority w:val="39"/>
    <w:pPr>
      <w:spacing w:after="100" w:line="276" w:lineRule="auto"/>
    </w:pPr>
    <w:rPr>
      <w:b/>
      <w:kern w:val="0"/>
      <w:sz w:val="32"/>
    </w:rPr>
  </w:style>
  <w:style w:type="paragraph" w:styleId="14">
    <w:name w:val="Body Text Indent 3"/>
    <w:basedOn w:val="1"/>
    <w:qFormat/>
    <w:uiPriority w:val="0"/>
    <w:pPr>
      <w:ind w:firstLine="600" w:firstLineChars="200"/>
    </w:pPr>
    <w:rPr>
      <w:rFonts w:ascii="等线" w:hAnsi="等线" w:eastAsia="等线" w:cs="Times New Roman"/>
      <w:color w:val="FF0000"/>
      <w:kern w:val="2"/>
      <w:sz w:val="30"/>
      <w:szCs w:val="22"/>
    </w:rPr>
  </w:style>
  <w:style w:type="paragraph" w:styleId="15">
    <w:name w:val="toc 2"/>
    <w:basedOn w:val="1"/>
    <w:next w:val="1"/>
    <w:qFormat/>
    <w:uiPriority w:val="39"/>
    <w:pPr>
      <w:spacing w:after="100" w:line="276" w:lineRule="auto"/>
      <w:ind w:left="220"/>
    </w:pPr>
    <w:rPr>
      <w:kern w:val="0"/>
      <w:sz w:val="32"/>
    </w:rPr>
  </w:style>
  <w:style w:type="paragraph" w:styleId="16">
    <w:name w:val="Body Text 2"/>
    <w:basedOn w:val="1"/>
    <w:qFormat/>
    <w:uiPriority w:val="99"/>
    <w:rPr>
      <w:rFonts w:ascii="等线" w:hAnsi="等线" w:eastAsia="等线" w:cs="Times New Roman"/>
      <w:color w:val="FF0000"/>
      <w:kern w:val="2"/>
      <w:sz w:val="21"/>
      <w:szCs w:val="24"/>
    </w:rPr>
  </w:style>
  <w:style w:type="paragraph" w:styleId="17">
    <w:name w:val="Normal (Web)"/>
    <w:basedOn w:val="1"/>
    <w:qFormat/>
    <w:uiPriority w:val="0"/>
    <w:rPr>
      <w:sz w:val="24"/>
    </w:rPr>
  </w:style>
  <w:style w:type="table" w:styleId="19">
    <w:name w:val="Table Grid"/>
    <w:basedOn w:val="1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Hyperlink"/>
    <w:basedOn w:val="20"/>
    <w:unhideWhenUsed/>
    <w:qFormat/>
    <w:uiPriority w:val="99"/>
    <w:rPr>
      <w:color w:val="0563C1" w:themeColor="hyperlink"/>
      <w:u w:val="single"/>
      <w14:textFill>
        <w14:solidFill>
          <w14:schemeClr w14:val="hlink"/>
        </w14:solidFill>
      </w14:textFill>
    </w:rPr>
  </w:style>
  <w:style w:type="character" w:styleId="22">
    <w:name w:val="annotation reference"/>
    <w:basedOn w:val="20"/>
    <w:unhideWhenUsed/>
    <w:qFormat/>
    <w:uiPriority w:val="99"/>
    <w:rPr>
      <w:sz w:val="21"/>
      <w:szCs w:val="21"/>
    </w:rPr>
  </w:style>
  <w:style w:type="paragraph" w:customStyle="1" w:styleId="23">
    <w:name w:val="正文文本首行缩进1"/>
    <w:basedOn w:val="1"/>
    <w:qFormat/>
    <w:uiPriority w:val="0"/>
    <w:pPr>
      <w:ind w:firstLine="420" w:firstLineChars="100"/>
    </w:pPr>
    <w:rPr>
      <w:rFonts w:ascii="Calibri" w:hAnsi="Calibri" w:eastAsia="宋体" w:cs="Times New Roman"/>
    </w:rPr>
  </w:style>
  <w:style w:type="paragraph" w:customStyle="1" w:styleId="24">
    <w:name w:val="列出段落1"/>
    <w:basedOn w:val="1"/>
    <w:unhideWhenUsed/>
    <w:qFormat/>
    <w:uiPriority w:val="0"/>
    <w:pPr>
      <w:ind w:firstLine="420"/>
    </w:pPr>
    <w:rPr>
      <w:szCs w:val="22"/>
    </w:rPr>
  </w:style>
  <w:style w:type="paragraph" w:customStyle="1" w:styleId="25">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6">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7">
    <w:name w:val="正文文本 字符"/>
    <w:basedOn w:val="20"/>
    <w:link w:val="8"/>
    <w:qFormat/>
    <w:uiPriority w:val="99"/>
    <w:rPr>
      <w:rFonts w:eastAsia="仿宋" w:cstheme="minorBidi"/>
      <w:kern w:val="2"/>
      <w:sz w:val="30"/>
      <w:szCs w:val="22"/>
    </w:rPr>
  </w:style>
  <w:style w:type="character" w:customStyle="1" w:styleId="28">
    <w:name w:val="正文缩进 字符"/>
    <w:link w:val="6"/>
    <w:qFormat/>
    <w:uiPriority w:val="0"/>
    <w:rPr>
      <w:rFonts w:eastAsia="仿宋" w:cstheme="minorBidi"/>
      <w:kern w:val="2"/>
      <w:sz w:val="30"/>
      <w:szCs w:val="22"/>
    </w:rPr>
  </w:style>
  <w:style w:type="character" w:customStyle="1" w:styleId="29">
    <w:name w:val="批注文字 字符"/>
    <w:basedOn w:val="20"/>
    <w:link w:val="7"/>
    <w:qFormat/>
    <w:uiPriority w:val="99"/>
    <w:rPr>
      <w:rFonts w:asciiTheme="minorHAnsi" w:hAnsiTheme="minorHAnsi" w:eastAsiaTheme="minorEastAsia" w:cstheme="minorBidi"/>
      <w:kern w:val="2"/>
      <w:sz w:val="21"/>
      <w:szCs w:val="24"/>
    </w:rPr>
  </w:style>
  <w:style w:type="paragraph" w:customStyle="1" w:styleId="30">
    <w:name w:val="Default"/>
    <w:qFormat/>
    <w:uiPriority w:val="0"/>
    <w:pPr>
      <w:widowControl w:val="0"/>
      <w:autoSpaceDE w:val="0"/>
      <w:autoSpaceDN w:val="0"/>
      <w:adjustRightInd w:val="0"/>
    </w:pPr>
    <w:rPr>
      <w:rFonts w:ascii=".." w:hAnsi="Times New Roman" w:eastAsia=".." w:cs="Times New Roman"/>
      <w:color w:val="000000"/>
      <w:kern w:val="0"/>
      <w:sz w:val="24"/>
      <w:szCs w:val="24"/>
      <w:lang w:val="en-US" w:eastAsia="zh-CN" w:bidi="ar-SA"/>
    </w:rPr>
  </w:style>
  <w:style w:type="paragraph" w:styleId="31">
    <w:name w:val="No Spacing"/>
    <w:autoRedefine/>
    <w:qFormat/>
    <w:uiPriority w:val="1"/>
    <w:pPr>
      <w:widowControl w:val="0"/>
    </w:pPr>
    <w:rPr>
      <w:rFonts w:ascii="宋体" w:hAnsi="宋体" w:eastAsia="宋体" w:cstheme="minorBidi"/>
      <w:kern w:val="2"/>
      <w:sz w:val="21"/>
      <w:szCs w:val="22"/>
      <w:lang w:val="en-US" w:eastAsia="zh-CN" w:bidi="ar-SA"/>
    </w:rPr>
  </w:style>
  <w:style w:type="paragraph" w:customStyle="1" w:styleId="32">
    <w:name w:val="正文缩进2"/>
    <w:basedOn w:val="1"/>
    <w:autoRedefine/>
    <w:qFormat/>
    <w:uiPriority w:val="0"/>
    <w:pPr>
      <w:wordWrap w:val="0"/>
      <w:ind w:firstLine="200" w:firstLineChars="200"/>
    </w:pPr>
  </w:style>
  <w:style w:type="paragraph" w:styleId="3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5612</Words>
  <Characters>5774</Characters>
  <Lines>149</Lines>
  <Paragraphs>42</Paragraphs>
  <TotalTime>1</TotalTime>
  <ScaleCrop>false</ScaleCrop>
  <LinksUpToDate>false</LinksUpToDate>
  <CharactersWithSpaces>5810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2023-04-18T02:04:00Z</dcterms:created>
  <dc:creator>Administrator</dc:creator>
  <cp:lastModifiedBy>czy</cp:lastModifiedBy>
  <dcterms:modified xsi:type="dcterms:W3CDTF">2025-03-18T11:17:18Z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561B1CEF9EE6471A8BEA0FE1DCE3A5DB</vt:lpwstr>
  </property>
  <property fmtid="{D5CDD505-2E9C-101B-9397-08002B2CF9AE}" pid="4" name="KSOTemplateDocerSaveRecord">
    <vt:lpwstr>eyJoZGlkIjoiMTJjY2RmM2RjZWU2ZTA5ZTRlOGIxZjRkOGJmODI1NzkiLCJ1c2VySWQiOiI3MzEyNDU2MTYifQ==</vt:lpwstr>
  </property>
</Properties>
</file>