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C5C62">
      <w:pPr>
        <w:pStyle w:val="3"/>
        <w:spacing w:before="0" w:after="0" w:line="360" w:lineRule="auto"/>
        <w:rPr>
          <w:rFonts w:hint="default" w:ascii="黑体" w:hAnsi="黑体" w:eastAsia="黑体" w:cs="黑体"/>
          <w:b w:val="0"/>
          <w:bCs w:val="0"/>
          <w:szCs w:val="32"/>
          <w:highlight w:val="none"/>
        </w:rPr>
      </w:pPr>
      <w:bookmarkStart w:id="0" w:name="_Toc109897478"/>
      <w:bookmarkStart w:id="1" w:name="_Toc109899996"/>
      <w:bookmarkStart w:id="2" w:name="_Toc109900415"/>
      <w:bookmarkStart w:id="3" w:name="_Toc30617"/>
      <w:r>
        <w:rPr>
          <w:rFonts w:hint="eastAsia" w:ascii="黑体" w:hAnsi="黑体" w:eastAsia="黑体" w:cs="黑体"/>
          <w:b w:val="0"/>
          <w:bCs w:val="0"/>
          <w:szCs w:val="32"/>
          <w:highlight w:val="none"/>
        </w:rPr>
        <w:t>第三章 项目采购需求</w:t>
      </w:r>
      <w:bookmarkEnd w:id="0"/>
      <w:bookmarkEnd w:id="1"/>
      <w:bookmarkEnd w:id="2"/>
      <w:bookmarkEnd w:id="3"/>
      <w:bookmarkStart w:id="4" w:name="_Toc535832547"/>
      <w:bookmarkStart w:id="5" w:name="_Toc162164501"/>
    </w:p>
    <w:bookmarkEnd w:id="4"/>
    <w:bookmarkEnd w:id="5"/>
    <w:p w14:paraId="36AAF150">
      <w:pPr>
        <w:keepNext w:val="0"/>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黑体" w:hAnsi="黑体" w:eastAsia="黑体" w:cs="仿宋"/>
          <w:b/>
          <w:bCs/>
          <w:sz w:val="28"/>
          <w:szCs w:val="28"/>
          <w:highlight w:val="none"/>
        </w:rPr>
      </w:pPr>
      <w:bookmarkStart w:id="6" w:name="_Toc8036"/>
      <w:bookmarkStart w:id="7" w:name="_Toc30506"/>
      <w:r>
        <w:rPr>
          <w:rFonts w:hint="eastAsia" w:ascii="仿宋" w:hAnsi="仿宋" w:eastAsia="仿宋" w:cs="仿宋"/>
          <w:b/>
          <w:bCs/>
          <w:color w:val="auto"/>
          <w:sz w:val="28"/>
          <w:szCs w:val="28"/>
          <w:highlight w:val="none"/>
        </w:rPr>
        <w:t>“★”号标注的内容为实质性要求，必须满足或优于该要求，否则按照无效投标处理。（须针对“★”条款提供承诺函，格式自拟；后期如发现</w:t>
      </w:r>
      <w:r>
        <w:rPr>
          <w:rFonts w:hint="eastAsia" w:ascii="仿宋" w:hAnsi="仿宋" w:eastAsia="仿宋" w:cs="仿宋"/>
          <w:b/>
          <w:bCs/>
          <w:color w:val="auto"/>
          <w:sz w:val="28"/>
          <w:szCs w:val="28"/>
          <w:highlight w:val="none"/>
          <w:lang w:val="en-US" w:eastAsia="zh-CN"/>
        </w:rPr>
        <w:t>成交</w:t>
      </w:r>
      <w:r>
        <w:rPr>
          <w:rFonts w:hint="eastAsia" w:ascii="仿宋" w:hAnsi="仿宋" w:eastAsia="仿宋" w:cs="仿宋"/>
          <w:b/>
          <w:bCs/>
          <w:color w:val="auto"/>
          <w:sz w:val="28"/>
          <w:szCs w:val="28"/>
          <w:highlight w:val="none"/>
        </w:rPr>
        <w:t>供应商捏造虚假承诺的将由</w:t>
      </w:r>
      <w:r>
        <w:rPr>
          <w:rFonts w:hint="eastAsia" w:ascii="仿宋" w:hAnsi="仿宋" w:eastAsia="仿宋" w:cs="仿宋"/>
          <w:b/>
          <w:bCs/>
          <w:color w:val="auto"/>
          <w:sz w:val="28"/>
          <w:szCs w:val="28"/>
          <w:highlight w:val="none"/>
          <w:lang w:val="en-US" w:eastAsia="zh-CN"/>
        </w:rPr>
        <w:t>成交</w:t>
      </w:r>
      <w:r>
        <w:rPr>
          <w:rFonts w:hint="eastAsia" w:ascii="仿宋" w:hAnsi="仿宋" w:eastAsia="仿宋" w:cs="仿宋"/>
          <w:b/>
          <w:bCs/>
          <w:color w:val="auto"/>
          <w:sz w:val="28"/>
          <w:szCs w:val="28"/>
          <w:highlight w:val="none"/>
        </w:rPr>
        <w:t>供应商承担所有责任）。</w:t>
      </w:r>
      <w:bookmarkEnd w:id="6"/>
    </w:p>
    <w:p w14:paraId="7CC6CE9D">
      <w:pPr>
        <w:pageBreakBefore w:val="0"/>
        <w:widowControl w:val="0"/>
        <w:kinsoku/>
        <w:wordWrap/>
        <w:overflowPunct/>
        <w:topLinePunct w:val="0"/>
        <w:bidi w:val="0"/>
        <w:spacing w:line="360" w:lineRule="auto"/>
        <w:ind w:firstLine="560" w:firstLineChars="200"/>
        <w:jc w:val="left"/>
        <w:textAlignment w:val="auto"/>
        <w:outlineLvl w:val="1"/>
        <w:rPr>
          <w:rFonts w:hint="eastAsia" w:ascii="黑体" w:hAnsi="黑体" w:eastAsia="黑体" w:cs="仿宋"/>
          <w:sz w:val="28"/>
          <w:szCs w:val="28"/>
          <w:highlight w:val="none"/>
          <w:lang w:val="en-US" w:eastAsia="zh-CN"/>
        </w:rPr>
      </w:pPr>
      <w:r>
        <w:rPr>
          <w:rFonts w:hint="eastAsia" w:ascii="黑体" w:hAnsi="黑体" w:eastAsia="黑体" w:cs="仿宋"/>
          <w:sz w:val="28"/>
          <w:szCs w:val="28"/>
          <w:highlight w:val="none"/>
        </w:rPr>
        <w:t>一、项目</w:t>
      </w:r>
      <w:r>
        <w:rPr>
          <w:rFonts w:hint="eastAsia" w:ascii="黑体" w:hAnsi="黑体" w:eastAsia="黑体" w:cs="仿宋"/>
          <w:sz w:val="28"/>
          <w:szCs w:val="28"/>
          <w:highlight w:val="none"/>
          <w:lang w:val="en-US" w:eastAsia="zh-CN"/>
        </w:rPr>
        <w:t>概况</w:t>
      </w:r>
      <w:bookmarkEnd w:id="7"/>
    </w:p>
    <w:p w14:paraId="5CBCAC97">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firstLine="560" w:firstLineChars="200"/>
        <w:jc w:val="left"/>
        <w:textAlignment w:val="auto"/>
        <w:outlineLvl w:val="9"/>
        <w:rPr>
          <w:rFonts w:hint="eastAsia" w:ascii="仿宋" w:hAnsi="仿宋" w:eastAsia="仿宋"/>
          <w:kern w:val="2"/>
          <w:sz w:val="28"/>
          <w:szCs w:val="28"/>
          <w:highlight w:val="none"/>
          <w:lang w:eastAsia="zh-CN"/>
        </w:rPr>
      </w:pPr>
      <w:r>
        <w:rPr>
          <w:rFonts w:hint="eastAsia" w:ascii="仿宋" w:hAnsi="仿宋" w:eastAsia="仿宋"/>
          <w:kern w:val="2"/>
          <w:sz w:val="28"/>
          <w:szCs w:val="28"/>
          <w:highlight w:val="none"/>
          <w:lang w:eastAsia="zh-CN"/>
        </w:rPr>
        <w:t>为做好</w:t>
      </w:r>
      <w:r>
        <w:rPr>
          <w:rFonts w:hint="eastAsia" w:ascii="仿宋" w:hAnsi="仿宋" w:eastAsia="仿宋"/>
          <w:kern w:val="2"/>
          <w:sz w:val="28"/>
          <w:szCs w:val="28"/>
          <w:highlight w:val="none"/>
          <w:lang w:val="en-US" w:eastAsia="zh-CN"/>
        </w:rPr>
        <w:t>武汉市东西湖区</w:t>
      </w:r>
      <w:r>
        <w:rPr>
          <w:rFonts w:hint="eastAsia" w:ascii="仿宋" w:hAnsi="仿宋" w:eastAsia="仿宋"/>
          <w:kern w:val="2"/>
          <w:sz w:val="28"/>
          <w:szCs w:val="28"/>
          <w:highlight w:val="none"/>
          <w:lang w:eastAsia="zh-CN"/>
        </w:rPr>
        <w:t>的2025年除政府投资以外的财政资金</w:t>
      </w:r>
      <w:r>
        <w:rPr>
          <w:rFonts w:hint="eastAsia" w:ascii="仿宋" w:hAnsi="仿宋" w:eastAsia="仿宋"/>
          <w:kern w:val="2"/>
          <w:sz w:val="28"/>
          <w:szCs w:val="28"/>
          <w:highlight w:val="none"/>
          <w:lang w:val="en-US" w:eastAsia="zh-CN"/>
        </w:rPr>
        <w:t>性</w:t>
      </w:r>
      <w:r>
        <w:rPr>
          <w:rFonts w:hint="eastAsia" w:ascii="仿宋" w:hAnsi="仿宋" w:eastAsia="仿宋"/>
          <w:kern w:val="2"/>
          <w:sz w:val="28"/>
          <w:szCs w:val="28"/>
          <w:highlight w:val="none"/>
          <w:lang w:eastAsia="zh-CN"/>
        </w:rPr>
        <w:t>农业项目</w:t>
      </w:r>
      <w:r>
        <w:rPr>
          <w:rFonts w:hint="eastAsia" w:ascii="仿宋" w:hAnsi="仿宋" w:eastAsia="仿宋"/>
          <w:kern w:val="2"/>
          <w:sz w:val="28"/>
          <w:szCs w:val="28"/>
          <w:highlight w:val="none"/>
          <w:lang w:val="en-US" w:eastAsia="zh-CN"/>
        </w:rPr>
        <w:t>合规性</w:t>
      </w:r>
      <w:r>
        <w:rPr>
          <w:rFonts w:hint="eastAsia" w:ascii="仿宋" w:hAnsi="仿宋" w:eastAsia="仿宋"/>
          <w:kern w:val="2"/>
          <w:sz w:val="28"/>
          <w:szCs w:val="28"/>
          <w:highlight w:val="none"/>
          <w:lang w:eastAsia="zh-CN"/>
        </w:rPr>
        <w:t>的把关工作，真正实现财政“按效付费”的要求，包括但不仅限于项目财务管理及会计核算情况审计、项目资金来源和使用情况的审计、建筑安装工程投资审计、设备投资审计、其它投资审计</w:t>
      </w:r>
      <w:r>
        <w:rPr>
          <w:rFonts w:hint="eastAsia" w:ascii="仿宋" w:hAnsi="仿宋" w:eastAsia="仿宋"/>
          <w:kern w:val="2"/>
          <w:sz w:val="28"/>
          <w:szCs w:val="28"/>
          <w:highlight w:val="none"/>
          <w:lang w:val="en-US" w:eastAsia="zh-CN"/>
        </w:rPr>
        <w:t>等</w:t>
      </w:r>
      <w:r>
        <w:rPr>
          <w:rFonts w:hint="eastAsia" w:ascii="仿宋" w:hAnsi="仿宋" w:eastAsia="仿宋"/>
          <w:kern w:val="2"/>
          <w:sz w:val="28"/>
          <w:szCs w:val="28"/>
          <w:highlight w:val="none"/>
          <w:lang w:eastAsia="zh-CN"/>
        </w:rPr>
        <w:t>，拟采购财务审计服务。</w:t>
      </w:r>
    </w:p>
    <w:p w14:paraId="731B066A">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firstLine="560" w:firstLineChars="200"/>
        <w:jc w:val="left"/>
        <w:textAlignment w:val="auto"/>
        <w:outlineLvl w:val="1"/>
        <w:rPr>
          <w:rFonts w:hint="eastAsia" w:ascii="黑体" w:hAnsi="黑体" w:eastAsia="黑体" w:cs="黑体"/>
          <w:i w:val="0"/>
          <w:iCs w:val="0"/>
          <w:snapToGrid w:val="0"/>
          <w:sz w:val="28"/>
          <w:szCs w:val="21"/>
          <w:highlight w:val="none"/>
          <w:lang w:val="en-US" w:eastAsia="zh-CN"/>
        </w:rPr>
      </w:pPr>
      <w:bookmarkStart w:id="8" w:name="_Toc25175"/>
      <w:r>
        <w:rPr>
          <w:rFonts w:hint="eastAsia" w:ascii="黑体" w:hAnsi="黑体" w:eastAsia="黑体" w:cs="黑体"/>
          <w:i w:val="0"/>
          <w:iCs w:val="0"/>
          <w:snapToGrid w:val="0"/>
          <w:sz w:val="28"/>
          <w:szCs w:val="21"/>
          <w:highlight w:val="none"/>
          <w:lang w:val="en-US" w:eastAsia="zh-CN"/>
        </w:rPr>
        <w:t>二、服务内容及要求</w:t>
      </w:r>
      <w:bookmarkEnd w:id="8"/>
    </w:p>
    <w:p w14:paraId="26F183B3">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562" w:firstLineChars="200"/>
        <w:jc w:val="left"/>
        <w:textAlignment w:val="auto"/>
        <w:outlineLvl w:val="9"/>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（一）</w:t>
      </w:r>
      <w:r>
        <w:rPr>
          <w:rFonts w:hint="eastAsia" w:ascii="楷体" w:hAnsi="楷体" w:eastAsia="楷体" w:cs="楷体"/>
          <w:b/>
          <w:bCs/>
          <w:sz w:val="28"/>
          <w:szCs w:val="28"/>
          <w:highlight w:val="none"/>
          <w:lang w:val="en-US"/>
        </w:rPr>
        <w:t>服务内容</w:t>
      </w:r>
    </w:p>
    <w:p w14:paraId="650F50C1">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本项目服务内容主要为武汉市东西湖区2025年除政府投资以外的财政性资金农业项目，提供专项审计等相关服务，具体服务包括但不限于以下内容：</w:t>
      </w:r>
    </w:p>
    <w:p w14:paraId="44790B12">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1.项目资金来源和使用情况的审计</w:t>
      </w:r>
    </w:p>
    <w:p w14:paraId="4874884B">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1)资金使用合规性审计：核查财政性资金的使用是否符合相关政策、法规和项目合同的规定，确保资金用途合法合规;</w:t>
      </w:r>
    </w:p>
    <w:p w14:paraId="69A44AB7">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2)资金流向跟踪：追踪资金的拨付、使用和管理情况，确保资金流向清晰、透明，防止挪用或滥用;</w:t>
      </w:r>
    </w:p>
    <w:p w14:paraId="7B72DDEA">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3)预算执行审计：检查项目预算的执行情况，分析预算与实际支出的差异，确保资金使用效率。</w:t>
      </w:r>
    </w:p>
    <w:p w14:paraId="058EB577">
      <w:pPr>
        <w:spacing w:line="360" w:lineRule="auto"/>
        <w:ind w:firstLine="560" w:firstLineChars="200"/>
        <w:contextualSpacing/>
        <w:rPr>
          <w:rFonts w:hint="eastAsia"/>
          <w:lang w:val="en-US" w:eastAsia="zh-CN"/>
        </w:rPr>
      </w:pPr>
      <w:r>
        <w:rPr>
          <w:rFonts w:hint="eastAsia" w:ascii="仿宋" w:hAnsi="仿宋" w:eastAsia="仿宋" w:cs="Times New Roman"/>
          <w:color w:val="auto"/>
          <w:kern w:val="2"/>
          <w:sz w:val="28"/>
          <w:szCs w:val="28"/>
          <w:highlight w:val="none"/>
          <w:lang w:val="en-US" w:eastAsia="zh-CN"/>
        </w:rPr>
        <w:t>2.项目财务管理及会计核算情况审计</w:t>
      </w:r>
    </w:p>
    <w:p w14:paraId="0AA289C9">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1）会计基础工作：检查会计凭证、账簿、报表等基础资料是否齐全、规范；</w:t>
      </w:r>
    </w:p>
    <w:p w14:paraId="4927F8FF">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2)会计核算准确性：核查会计核算是否符合会计准则和相关法规，是否存在错账、漏账或虚假账目；</w:t>
      </w:r>
    </w:p>
    <w:p w14:paraId="41B7A3A1">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3)成本核算合规性：检查项目成本核算是否真实、准确，是否存在虚增成本或隐瞒收入的情况。</w:t>
      </w:r>
    </w:p>
    <w:p w14:paraId="28722525">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3.项目财政支付审核</w:t>
      </w:r>
    </w:p>
    <w:p w14:paraId="28C0C51E">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协助财政局规范项目各项服务费确认、核算及支付流程,并针对实施机构提交的付费申请材料进行审核，并出具专业审核意见。</w:t>
      </w:r>
    </w:p>
    <w:p w14:paraId="52B41000">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4.出具专项审计报告</w:t>
      </w:r>
    </w:p>
    <w:p w14:paraId="53DBEBEE">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1)审计发现问题：总结审计过程中发现的问题，如资金使用不规范、管理漏洞等;</w:t>
      </w:r>
    </w:p>
    <w:p w14:paraId="00A7A6EB">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2)整改建议：针对发现的问题，提出具体的整改建议和改进措施;</w:t>
      </w:r>
    </w:p>
    <w:p w14:paraId="7D512170">
      <w:pPr>
        <w:spacing w:line="360" w:lineRule="auto"/>
        <w:ind w:firstLine="560" w:firstLineChars="200"/>
        <w:contextualSpacing/>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3)审计结论：出具审计结论，明确项目资金使用的合规性、效率性和效果性。</w:t>
      </w:r>
    </w:p>
    <w:p w14:paraId="4A3CABB7">
      <w:pPr>
        <w:keepNext/>
        <w:keepLines/>
        <w:pageBreakBefore w:val="0"/>
        <w:widowControl w:val="0"/>
        <w:numPr>
          <w:ilvl w:val="0"/>
          <w:numId w:val="0"/>
        </w:numPr>
        <w:suppressLineNumbers w:val="0"/>
        <w:kinsoku/>
        <w:wordWrap/>
        <w:overflowPunct/>
        <w:topLinePunct w:val="0"/>
        <w:autoSpaceDE w:val="0"/>
        <w:autoSpaceDN/>
        <w:bidi w:val="0"/>
        <w:adjustRightInd w:val="0"/>
        <w:snapToGrid w:val="0"/>
        <w:spacing w:before="0" w:after="0" w:line="360" w:lineRule="auto"/>
        <w:ind w:left="0" w:leftChars="0" w:firstLine="562" w:firstLineChars="200"/>
        <w:jc w:val="left"/>
        <w:textAlignment w:val="auto"/>
        <w:outlineLvl w:val="9"/>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bidi="ar-SA"/>
        </w:rPr>
        <w:t>（二）</w:t>
      </w:r>
      <w:r>
        <w:rPr>
          <w:rFonts w:hint="eastAsia" w:ascii="楷体" w:hAnsi="楷体" w:eastAsia="楷体" w:cs="楷体"/>
          <w:b/>
          <w:bCs/>
          <w:sz w:val="28"/>
          <w:szCs w:val="28"/>
          <w:highlight w:val="none"/>
          <w:lang w:val="en-US" w:eastAsia="zh-CN"/>
        </w:rPr>
        <w:t>工作要求</w:t>
      </w:r>
    </w:p>
    <w:p w14:paraId="6A3631E0">
      <w:pPr>
        <w:pageBreakBefore w:val="0"/>
        <w:widowControl w:val="0"/>
        <w:kinsoku/>
        <w:wordWrap/>
        <w:overflowPunct/>
        <w:topLinePunct w:val="0"/>
        <w:autoSpaceDN/>
        <w:bidi w:val="0"/>
        <w:adjustRightInd w:val="0"/>
        <w:snapToGrid w:val="0"/>
        <w:spacing w:line="360" w:lineRule="auto"/>
        <w:ind w:firstLine="560" w:firstLineChars="200"/>
        <w:jc w:val="left"/>
        <w:textAlignment w:val="auto"/>
        <w:rPr>
          <w:rFonts w:hint="eastAsia" w:ascii="仿宋" w:hAnsi="仿宋" w:eastAsia="仿宋" w:cs="Times New Roman"/>
          <w:b w:val="0"/>
          <w:bCs w:val="0"/>
          <w:kern w:val="2"/>
          <w:sz w:val="28"/>
          <w:szCs w:val="28"/>
          <w:highlight w:val="none"/>
          <w:lang w:val="en-US" w:eastAsia="zh-CN" w:bidi="ar-SA"/>
        </w:rPr>
      </w:pPr>
      <w:r>
        <w:rPr>
          <w:rFonts w:hint="eastAsia" w:ascii="仿宋" w:hAnsi="仿宋" w:eastAsia="仿宋" w:cs="Times New Roman"/>
          <w:b w:val="0"/>
          <w:bCs w:val="0"/>
          <w:kern w:val="2"/>
          <w:sz w:val="28"/>
          <w:szCs w:val="28"/>
          <w:highlight w:val="none"/>
          <w:lang w:val="en-US" w:eastAsia="zh-CN" w:bidi="ar-SA"/>
        </w:rPr>
        <w:t>1.供应商在提供审计服务的同时，要提供专业的咨询服务，为项目后期付费把好关，真正实现财政“按效付费”的要求，确保项目后期合法合规实施。</w:t>
      </w:r>
    </w:p>
    <w:p w14:paraId="018C0879">
      <w:pPr>
        <w:pageBreakBefore w:val="0"/>
        <w:widowControl w:val="0"/>
        <w:kinsoku/>
        <w:wordWrap/>
        <w:overflowPunct/>
        <w:topLinePunct w:val="0"/>
        <w:autoSpaceDN/>
        <w:bidi w:val="0"/>
        <w:adjustRightInd w:val="0"/>
        <w:snapToGrid w:val="0"/>
        <w:spacing w:line="360" w:lineRule="auto"/>
        <w:ind w:firstLine="560" w:firstLineChars="200"/>
        <w:jc w:val="left"/>
        <w:textAlignment w:val="auto"/>
        <w:rPr>
          <w:rFonts w:hint="eastAsia" w:ascii="仿宋" w:hAnsi="仿宋" w:eastAsia="仿宋" w:cs="Times New Roman"/>
          <w:b w:val="0"/>
          <w:bCs w:val="0"/>
          <w:kern w:val="2"/>
          <w:sz w:val="28"/>
          <w:szCs w:val="28"/>
          <w:highlight w:val="none"/>
          <w:lang w:val="en-US" w:eastAsia="zh-CN" w:bidi="ar-SA"/>
        </w:rPr>
      </w:pPr>
      <w:r>
        <w:rPr>
          <w:rFonts w:hint="eastAsia" w:ascii="仿宋" w:hAnsi="仿宋" w:eastAsia="仿宋" w:cs="Times New Roman"/>
          <w:b w:val="0"/>
          <w:bCs w:val="0"/>
          <w:kern w:val="2"/>
          <w:sz w:val="28"/>
          <w:szCs w:val="28"/>
          <w:highlight w:val="none"/>
          <w:lang w:val="en-US" w:eastAsia="zh-CN" w:bidi="ar-SA"/>
        </w:rPr>
        <w:t>2.供应商在合同履行期内，项目日常沟通及审计整改时要体现专业机构的协调能力，要与各个项目参与方进行沟通协调，对项目起到积极的推进作用，使整个项目更加公正、完善。</w:t>
      </w:r>
    </w:p>
    <w:p w14:paraId="506F3622">
      <w:pPr>
        <w:keepNext/>
        <w:keepLines/>
        <w:pageBreakBefore w:val="0"/>
        <w:widowControl w:val="0"/>
        <w:numPr>
          <w:ilvl w:val="0"/>
          <w:numId w:val="0"/>
        </w:numPr>
        <w:suppressLineNumbers w:val="0"/>
        <w:kinsoku/>
        <w:wordWrap/>
        <w:overflowPunct/>
        <w:topLinePunct w:val="0"/>
        <w:autoSpaceDE w:val="0"/>
        <w:autoSpaceDN/>
        <w:bidi w:val="0"/>
        <w:adjustRightInd w:val="0"/>
        <w:snapToGrid w:val="0"/>
        <w:spacing w:before="0" w:after="0" w:line="360" w:lineRule="auto"/>
        <w:ind w:left="0" w:leftChars="0" w:firstLine="562" w:firstLineChars="200"/>
        <w:jc w:val="left"/>
        <w:textAlignment w:val="auto"/>
        <w:outlineLvl w:val="9"/>
        <w:rPr>
          <w:rFonts w:hint="eastAsia" w:ascii="楷体" w:hAnsi="楷体" w:eastAsia="楷体" w:cs="楷体"/>
          <w:b/>
          <w:bCs/>
          <w:sz w:val="28"/>
          <w:szCs w:val="28"/>
          <w:highlight w:val="none"/>
          <w:lang w:val="en-US" w:eastAsia="zh-CN" w:bidi="ar-SA"/>
        </w:rPr>
      </w:pPr>
      <w:r>
        <w:rPr>
          <w:rFonts w:hint="eastAsia" w:ascii="楷体" w:hAnsi="楷体" w:eastAsia="楷体" w:cs="楷体"/>
          <w:b/>
          <w:bCs/>
          <w:sz w:val="28"/>
          <w:szCs w:val="28"/>
          <w:highlight w:val="none"/>
          <w:lang w:val="en-US" w:eastAsia="zh-CN" w:bidi="ar-SA"/>
        </w:rPr>
        <w:t>（三）审计依据</w:t>
      </w:r>
    </w:p>
    <w:p w14:paraId="2C7C3D34">
      <w:pPr>
        <w:pageBreakBefore w:val="0"/>
        <w:widowControl w:val="0"/>
        <w:kinsoku/>
        <w:wordWrap/>
        <w:overflowPunct/>
        <w:topLinePunct w:val="0"/>
        <w:autoSpaceDN/>
        <w:bidi w:val="0"/>
        <w:adjustRightInd w:val="0"/>
        <w:snapToGrid w:val="0"/>
        <w:spacing w:line="360" w:lineRule="auto"/>
        <w:ind w:firstLine="560" w:firstLineChars="200"/>
        <w:textAlignment w:val="auto"/>
        <w:rPr>
          <w:rFonts w:hint="eastAsia" w:ascii="仿宋" w:hAnsi="仿宋" w:eastAsia="仿宋" w:cs="Times New Roman"/>
          <w:b w:val="0"/>
          <w:bCs w:val="0"/>
          <w:kern w:val="2"/>
          <w:sz w:val="28"/>
          <w:szCs w:val="28"/>
          <w:highlight w:val="none"/>
          <w:lang w:val="en-US" w:eastAsia="zh-CN" w:bidi="ar-SA"/>
        </w:rPr>
      </w:pPr>
      <w:r>
        <w:rPr>
          <w:rFonts w:hint="eastAsia" w:ascii="仿宋" w:hAnsi="仿宋" w:eastAsia="仿宋" w:cs="Times New Roman"/>
          <w:b w:val="0"/>
          <w:bCs w:val="0"/>
          <w:kern w:val="2"/>
          <w:sz w:val="28"/>
          <w:szCs w:val="28"/>
          <w:highlight w:val="none"/>
          <w:lang w:val="en-US" w:eastAsia="zh-CN" w:bidi="ar-SA"/>
        </w:rPr>
        <w:t>1.《中国注册会计师审计准则》；</w:t>
      </w:r>
    </w:p>
    <w:p w14:paraId="60FCCD9F">
      <w:pPr>
        <w:pageBreakBefore w:val="0"/>
        <w:widowControl w:val="0"/>
        <w:kinsoku/>
        <w:wordWrap/>
        <w:overflowPunct/>
        <w:topLinePunct w:val="0"/>
        <w:autoSpaceDN/>
        <w:bidi w:val="0"/>
        <w:adjustRightInd w:val="0"/>
        <w:snapToGrid w:val="0"/>
        <w:spacing w:line="360" w:lineRule="auto"/>
        <w:ind w:firstLine="560" w:firstLineChars="200"/>
        <w:textAlignment w:val="auto"/>
        <w:rPr>
          <w:rFonts w:hint="eastAsia" w:ascii="仿宋" w:hAnsi="仿宋" w:eastAsia="仿宋" w:cs="Times New Roman"/>
          <w:b w:val="0"/>
          <w:bCs w:val="0"/>
          <w:kern w:val="2"/>
          <w:sz w:val="28"/>
          <w:szCs w:val="28"/>
          <w:highlight w:val="none"/>
          <w:lang w:val="en-US" w:eastAsia="zh-CN" w:bidi="ar-SA"/>
        </w:rPr>
      </w:pPr>
      <w:r>
        <w:rPr>
          <w:rFonts w:hint="eastAsia" w:ascii="仿宋" w:hAnsi="仿宋" w:eastAsia="仿宋" w:cs="Times New Roman"/>
          <w:b w:val="0"/>
          <w:bCs w:val="0"/>
          <w:kern w:val="2"/>
          <w:sz w:val="28"/>
          <w:szCs w:val="28"/>
          <w:highlight w:val="none"/>
          <w:lang w:val="en-US" w:eastAsia="zh-CN" w:bidi="ar-SA"/>
        </w:rPr>
        <w:t>2.《会计师事务所从事基本建设工程预算、结算、决算审核暂行办法》；</w:t>
      </w:r>
    </w:p>
    <w:p w14:paraId="00B573E7">
      <w:pPr>
        <w:pageBreakBefore w:val="0"/>
        <w:widowControl w:val="0"/>
        <w:kinsoku/>
        <w:wordWrap/>
        <w:overflowPunct/>
        <w:topLinePunct w:val="0"/>
        <w:autoSpaceDN/>
        <w:bidi w:val="0"/>
        <w:adjustRightInd w:val="0"/>
        <w:snapToGrid w:val="0"/>
        <w:spacing w:line="360" w:lineRule="auto"/>
        <w:ind w:firstLine="560" w:firstLineChars="200"/>
        <w:textAlignment w:val="auto"/>
        <w:rPr>
          <w:rFonts w:hint="eastAsia" w:ascii="仿宋" w:hAnsi="仿宋" w:eastAsia="仿宋" w:cs="Times New Roman"/>
          <w:b w:val="0"/>
          <w:bCs w:val="0"/>
          <w:kern w:val="2"/>
          <w:sz w:val="28"/>
          <w:szCs w:val="28"/>
          <w:highlight w:val="none"/>
          <w:lang w:val="en-US" w:eastAsia="zh-CN" w:bidi="ar-SA"/>
        </w:rPr>
      </w:pPr>
      <w:r>
        <w:rPr>
          <w:rFonts w:hint="eastAsia" w:ascii="仿宋" w:hAnsi="仿宋" w:eastAsia="仿宋" w:cs="Times New Roman"/>
          <w:b w:val="0"/>
          <w:bCs w:val="0"/>
          <w:kern w:val="2"/>
          <w:sz w:val="28"/>
          <w:szCs w:val="28"/>
          <w:highlight w:val="none"/>
          <w:lang w:val="en-US" w:eastAsia="zh-CN" w:bidi="ar-SA"/>
        </w:rPr>
        <w:t>3.《基本建设项目竣工财务决算管理暂行办法》；</w:t>
      </w:r>
    </w:p>
    <w:p w14:paraId="6BA72658">
      <w:pPr>
        <w:pageBreakBefore w:val="0"/>
        <w:widowControl w:val="0"/>
        <w:kinsoku/>
        <w:wordWrap/>
        <w:overflowPunct/>
        <w:topLinePunct w:val="0"/>
        <w:autoSpaceDN/>
        <w:bidi w:val="0"/>
        <w:adjustRightInd w:val="0"/>
        <w:snapToGrid w:val="0"/>
        <w:spacing w:line="360" w:lineRule="auto"/>
        <w:ind w:firstLine="560" w:firstLineChars="200"/>
        <w:textAlignment w:val="auto"/>
        <w:rPr>
          <w:rFonts w:hint="eastAsia" w:ascii="仿宋" w:hAnsi="仿宋" w:eastAsia="仿宋" w:cs="Times New Roman"/>
          <w:b w:val="0"/>
          <w:bCs w:val="0"/>
          <w:kern w:val="2"/>
          <w:sz w:val="28"/>
          <w:szCs w:val="28"/>
          <w:highlight w:val="none"/>
          <w:lang w:val="en-US" w:eastAsia="zh-CN" w:bidi="ar-SA"/>
        </w:rPr>
      </w:pPr>
      <w:r>
        <w:rPr>
          <w:rFonts w:hint="eastAsia" w:ascii="仿宋" w:hAnsi="仿宋" w:eastAsia="仿宋" w:cs="Times New Roman"/>
          <w:b w:val="0"/>
          <w:bCs w:val="0"/>
          <w:kern w:val="2"/>
          <w:sz w:val="28"/>
          <w:szCs w:val="28"/>
          <w:highlight w:val="none"/>
          <w:lang w:val="en-US" w:eastAsia="zh-CN" w:bidi="ar-SA"/>
        </w:rPr>
        <w:t>4.国家及湖北省其他有关政策法规规定。</w:t>
      </w:r>
    </w:p>
    <w:p w14:paraId="37DDE817">
      <w:pPr>
        <w:keepNext/>
        <w:keepLines/>
        <w:pageBreakBefore w:val="0"/>
        <w:widowControl w:val="0"/>
        <w:numPr>
          <w:ilvl w:val="0"/>
          <w:numId w:val="0"/>
        </w:numPr>
        <w:suppressLineNumbers w:val="0"/>
        <w:kinsoku/>
        <w:wordWrap/>
        <w:overflowPunct/>
        <w:topLinePunct w:val="0"/>
        <w:autoSpaceDE w:val="0"/>
        <w:autoSpaceDN/>
        <w:bidi w:val="0"/>
        <w:adjustRightInd w:val="0"/>
        <w:snapToGrid w:val="0"/>
        <w:spacing w:before="0" w:after="0" w:line="360" w:lineRule="auto"/>
        <w:ind w:left="0" w:leftChars="0" w:firstLine="562" w:firstLineChars="200"/>
        <w:jc w:val="left"/>
        <w:textAlignment w:val="auto"/>
        <w:outlineLvl w:val="9"/>
        <w:rPr>
          <w:rFonts w:hint="default" w:ascii="楷体" w:hAnsi="楷体" w:eastAsia="楷体" w:cs="楷体"/>
          <w:b/>
          <w:bCs/>
          <w:sz w:val="28"/>
          <w:szCs w:val="28"/>
          <w:highlight w:val="none"/>
          <w:lang w:val="en-US" w:eastAsia="zh-CN" w:bidi="ar-SA"/>
        </w:rPr>
      </w:pPr>
      <w:r>
        <w:rPr>
          <w:rFonts w:hint="eastAsia" w:ascii="楷体" w:hAnsi="楷体" w:eastAsia="楷体" w:cs="楷体"/>
          <w:b/>
          <w:bCs/>
          <w:sz w:val="28"/>
          <w:szCs w:val="28"/>
          <w:highlight w:val="none"/>
          <w:lang w:val="en-US" w:eastAsia="zh-CN" w:bidi="ar-SA"/>
        </w:rPr>
        <w:t>（四）审计时限要求</w:t>
      </w:r>
    </w:p>
    <w:p w14:paraId="0B4FC7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default" w:ascii="BRPORS+·ÂËÎ" w:hAnsi="BRPORS+·ÂËÎ" w:cs="BRPORS+·ÂËÎ"/>
          <w:color w:val="0000FF"/>
          <w:sz w:val="28"/>
          <w:szCs w:val="28"/>
          <w:highlight w:val="none"/>
          <w:lang w:val="en-US" w:eastAsia="zh-CN"/>
        </w:rPr>
      </w:pPr>
      <w:r>
        <w:rPr>
          <w:rFonts w:hint="eastAsia" w:ascii="仿宋" w:hAnsi="仿宋" w:eastAsia="仿宋" w:cs="Times New Roman"/>
          <w:b w:val="0"/>
          <w:bCs w:val="0"/>
          <w:kern w:val="2"/>
          <w:sz w:val="28"/>
          <w:szCs w:val="28"/>
          <w:highlight w:val="none"/>
          <w:lang w:val="en-US" w:eastAsia="zh-CN" w:bidi="ar-SA"/>
        </w:rPr>
        <w:t>1.供应商须在规定时限内完成专项审计工作，并出具审计报告，</w:t>
      </w:r>
      <w:r>
        <w:rPr>
          <w:rFonts w:hint="eastAsia" w:ascii="仿宋" w:hAnsi="仿宋" w:eastAsia="仿宋" w:cs="Times New Roman"/>
          <w:color w:val="auto"/>
          <w:kern w:val="2"/>
          <w:sz w:val="28"/>
          <w:szCs w:val="28"/>
          <w:highlight w:val="none"/>
          <w:lang w:val="en-US" w:eastAsia="zh-CN"/>
        </w:rPr>
        <w:t>审计时限从被审计单位提供完整审计所需资料之日起计。</w:t>
      </w:r>
    </w:p>
    <w:p w14:paraId="09F071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1）投资额3000万元以下（含3000万元）的，审计时限最长为20个日历日；</w:t>
      </w:r>
    </w:p>
    <w:p w14:paraId="7CE1F3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2）投资额3000万元至5000万元（含5000万元）的，审计时限最长为30个日历日；</w:t>
      </w:r>
    </w:p>
    <w:p w14:paraId="6E39C1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3）投资额5000万元至1亿元（含1亿元）的，审计时限最长为35个日历日；</w:t>
      </w:r>
    </w:p>
    <w:p w14:paraId="1ADB64B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4）投资额1亿元以上的，审计时限最长为45个日历日；</w:t>
      </w:r>
    </w:p>
    <w:p w14:paraId="096956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5）特大型项目、项目在外地或批量项目等特殊情况的，经采购人书面批准，审计时限可适当延长，延长时间不得超过10个日历日。</w:t>
      </w:r>
    </w:p>
    <w:p w14:paraId="512DD11E">
      <w:pPr>
        <w:pStyle w:val="4"/>
        <w:keepNext/>
        <w:keepLines/>
        <w:pageBreakBefore w:val="0"/>
        <w:widowControl w:val="0"/>
        <w:numPr>
          <w:ilvl w:val="0"/>
          <w:numId w:val="0"/>
        </w:numPr>
        <w:suppressLineNumbers w:val="0"/>
        <w:kinsoku/>
        <w:wordWrap/>
        <w:overflowPunct/>
        <w:topLinePunct w:val="0"/>
        <w:autoSpaceDE w:val="0"/>
        <w:autoSpaceDN/>
        <w:bidi w:val="0"/>
        <w:adjustRightInd w:val="0"/>
        <w:snapToGrid w:val="0"/>
        <w:spacing w:before="0" w:after="0" w:line="360" w:lineRule="auto"/>
        <w:ind w:leftChars="0" w:firstLine="560" w:firstLineChars="200"/>
        <w:jc w:val="left"/>
        <w:textAlignment w:val="auto"/>
        <w:rPr>
          <w:rFonts w:hint="eastAsia" w:ascii="楷体" w:hAnsi="楷体" w:eastAsia="楷体" w:cs="楷体"/>
          <w:b/>
          <w:bCs/>
          <w:kern w:val="2"/>
          <w:sz w:val="28"/>
          <w:szCs w:val="28"/>
          <w:highlight w:val="none"/>
        </w:rPr>
      </w:pPr>
      <w:bookmarkStart w:id="9" w:name="_Toc669"/>
      <w:r>
        <w:rPr>
          <w:rFonts w:hint="eastAsia" w:ascii="黑体" w:hAnsi="黑体" w:eastAsia="黑体" w:cs="黑体"/>
          <w:b w:val="0"/>
          <w:bCs w:val="0"/>
          <w:i w:val="0"/>
          <w:iCs w:val="0"/>
          <w:snapToGrid w:val="0"/>
          <w:kern w:val="0"/>
          <w:sz w:val="28"/>
          <w:szCs w:val="21"/>
          <w:highlight w:val="none"/>
          <w:lang w:val="en-US" w:eastAsia="zh-CN" w:bidi="ar-SA"/>
        </w:rPr>
        <w:t>三、商务要求</w:t>
      </w:r>
      <w:bookmarkEnd w:id="9"/>
    </w:p>
    <w:p w14:paraId="192DD1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1.报价要求：</w:t>
      </w:r>
    </w:p>
    <w:p w14:paraId="1761B06D">
      <w:pPr>
        <w:keepNext w:val="0"/>
        <w:keepLines w:val="0"/>
        <w:pageBreakBefore w:val="0"/>
        <w:widowControl w:val="0"/>
        <w:wordWrap/>
        <w:topLinePunct w:val="0"/>
        <w:autoSpaceDE/>
        <w:autoSpaceDN/>
        <w:bidi w:val="0"/>
        <w:adjustRightInd w:val="0"/>
        <w:snapToGrid w:val="0"/>
        <w:spacing w:before="0"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(1)本项目为综合折扣报价及保底收费报价，根据完成工作量据实结算。供应商应考虑综合风险，各供应商所作出的投标报价，是为完成本项目所涉及有所内容的报价，任何可供选择的报价采购人将不予接受。</w:t>
      </w:r>
    </w:p>
    <w:p w14:paraId="0C4B9C13">
      <w:pPr>
        <w:pStyle w:val="2"/>
        <w:keepNext w:val="0"/>
        <w:keepLines w:val="0"/>
        <w:pageBreakBefore w:val="0"/>
        <w:widowControl w:val="0"/>
        <w:wordWrap/>
        <w:topLinePunct w:val="0"/>
        <w:autoSpaceDE/>
        <w:autoSpaceDN/>
        <w:bidi w:val="0"/>
        <w:adjustRightInd w:val="0"/>
        <w:snapToGrid w:val="0"/>
        <w:spacing w:line="360" w:lineRule="auto"/>
        <w:textAlignment w:val="auto"/>
        <w:rPr>
          <w:rFonts w:hint="default"/>
          <w:b/>
          <w:bCs/>
          <w:sz w:val="28"/>
          <w:szCs w:val="28"/>
          <w:highlight w:val="none"/>
          <w:lang w:val="en-US" w:eastAsia="zh-CN"/>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kern w:val="0"/>
          <w:sz w:val="28"/>
          <w:szCs w:val="28"/>
          <w:highlight w:val="none"/>
          <w:lang w:val="en-US" w:eastAsia="zh-CN" w:bidi="ar-SA"/>
        </w:rPr>
        <w:t>（2）保底收费标准：供应商需按采购文件要求填写保底收费标准，即“单个项目审计费不足3000元的，按照3000元计算”。该收费标准为不可竞争的费用，供应商需提供承诺函，格式自拟。</w:t>
      </w:r>
    </w:p>
    <w:p w14:paraId="757794E5">
      <w:pPr>
        <w:keepNext w:val="0"/>
        <w:keepLines w:val="0"/>
        <w:pageBreakBefore w:val="0"/>
        <w:widowControl w:val="0"/>
        <w:wordWrap/>
        <w:topLinePunct w:val="0"/>
        <w:autoSpaceDE/>
        <w:autoSpaceDN/>
        <w:bidi w:val="0"/>
        <w:adjustRightInd w:val="0"/>
        <w:snapToGrid w:val="0"/>
        <w:spacing w:before="0"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采购人实际结算金额：单个项目审计费=项目送审资金总额×0.5%×综合折扣(综合折扣按百分比计算，精确到小数点后1位，如供应商折扣为8折，则综合折扣为80.0%)，计算后的单个项目审计费不足3000元的，按照3000元计算。</w:t>
      </w:r>
    </w:p>
    <w:p w14:paraId="1D8503A5">
      <w:pPr>
        <w:keepNext w:val="0"/>
        <w:keepLines w:val="0"/>
        <w:pageBreakBefore w:val="0"/>
        <w:widowControl w:val="0"/>
        <w:wordWrap/>
        <w:topLinePunct w:val="0"/>
        <w:autoSpaceDE/>
        <w:autoSpaceDN/>
        <w:bidi w:val="0"/>
        <w:adjustRightInd w:val="0"/>
        <w:snapToGrid w:val="0"/>
        <w:spacing w:before="0"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(4)供应商所填报综合折扣报价，应充分考虑完成本项目服务期的所有费用，对在合同实施过程中可能发生的其它费用（如：住宿费、交通费、设备耗材、人工、运输成本增加等因素），采购方概不负责</w:t>
      </w:r>
    </w:p>
    <w:p w14:paraId="02D6FCE0">
      <w:pPr>
        <w:pStyle w:val="5"/>
        <w:keepNext w:val="0"/>
        <w:keepLines w:val="0"/>
        <w:pageBreakBefore w:val="0"/>
        <w:widowControl w:val="0"/>
        <w:kinsoku w:val="0"/>
        <w:wordWrap/>
        <w:overflowPunct w:val="0"/>
        <w:topLinePunct w:val="0"/>
        <w:autoSpaceDE/>
        <w:autoSpaceDN/>
        <w:bidi w:val="0"/>
        <w:adjustRightInd w:val="0"/>
        <w:snapToGrid w:val="0"/>
        <w:spacing w:after="0" w:line="360" w:lineRule="auto"/>
        <w:ind w:left="0" w:leftChars="0" w:firstLine="560" w:firstLineChars="200"/>
        <w:textAlignment w:val="auto"/>
        <w:outlineLvl w:val="9"/>
        <w:rPr>
          <w:rFonts w:hint="default"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(5)本次采购预算金额49万元，为年度结算上限，即据实结算金额不超过本项目的采购预算。</w:t>
      </w:r>
    </w:p>
    <w:p w14:paraId="4918B96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2.人员要求</w:t>
      </w:r>
    </w:p>
    <w:p w14:paraId="00577A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（一）工作效率要求：拟派项目人员应对于各项审计工作需求能第一时间反应，提供高效率服务。在必要的时候，应能加班加点、增配人员满足项目进度需要。</w:t>
      </w:r>
    </w:p>
    <w:p w14:paraId="4C11ECB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二）按照项目实际要求，成立专项服务团队组，明确人员内部具体分工等，服务期内，确保及时向采购人提供需要了解的相关咨询信息。成交供应商应严格按照响应文件中承诺的拟派项目组人员名单开展工作，不得擅自更换拟派项目负责人及成员名单，在特殊情况下可以用同等资历的人员代替，但须经采购人同意并备案。采购人有权要求成交供应商更换不合格的服务人员，成交供应商应予以接受。</w:t>
      </w:r>
    </w:p>
    <w:p w14:paraId="5B3BAC80">
      <w:pPr>
        <w:keepNext w:val="0"/>
        <w:keepLines w:val="0"/>
        <w:widowControl w:val="0"/>
        <w:suppressLineNumbers w:val="0"/>
        <w:spacing w:before="0" w:beforeAutospacing="0" w:after="0" w:afterAutospacing="0" w:line="360" w:lineRule="auto"/>
        <w:ind w:left="0" w:leftChars="0" w:right="0" w:firstLine="560" w:firstLineChars="200"/>
        <w:jc w:val="left"/>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3.付款方式</w:t>
      </w:r>
    </w:p>
    <w:p w14:paraId="12DF8A09">
      <w:pPr>
        <w:keepNext w:val="0"/>
        <w:keepLines w:val="0"/>
        <w:widowControl w:val="0"/>
        <w:suppressLineNumbers w:val="0"/>
        <w:spacing w:before="0" w:beforeAutospacing="0" w:after="0" w:afterAutospacing="0" w:line="360" w:lineRule="auto"/>
        <w:ind w:left="0" w:leftChars="0" w:right="0" w:firstLine="560" w:firstLineChars="200"/>
        <w:jc w:val="left"/>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（1）合同履行期内，供应商完成每个单项项目的审计工作后，提交正式专项审核报告及完税发票。</w:t>
      </w:r>
    </w:p>
    <w:p w14:paraId="3FB42696">
      <w:pPr>
        <w:keepNext w:val="0"/>
        <w:keepLines w:val="0"/>
        <w:widowControl w:val="0"/>
        <w:suppressLineNumbers w:val="0"/>
        <w:spacing w:before="0" w:beforeAutospacing="0" w:after="0" w:afterAutospacing="0" w:line="360" w:lineRule="auto"/>
        <w:ind w:left="0" w:leftChars="0" w:right="0" w:firstLine="560" w:firstLineChars="200"/>
        <w:jc w:val="left"/>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（2）单个项目审计费=项目送审资金总额×0.5%×综合折扣，计算后的单个项目审计费不足3000元的，按照3000元计算。</w:t>
      </w:r>
    </w:p>
    <w:p w14:paraId="0F6CE1AF">
      <w:pPr>
        <w:keepNext w:val="0"/>
        <w:keepLines w:val="0"/>
        <w:widowControl w:val="0"/>
        <w:suppressLineNumbers w:val="0"/>
        <w:spacing w:before="0" w:beforeAutospacing="0" w:after="0" w:afterAutospacing="0" w:line="360" w:lineRule="auto"/>
        <w:ind w:left="0" w:leftChars="0" w:right="0" w:firstLine="560" w:firstLineChars="200"/>
        <w:jc w:val="left"/>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（3）合同履行期结束，本项目验收合格后30日历天内，采购人按照所有项目的完税发票总金额一次性结清。</w:t>
      </w:r>
    </w:p>
    <w:p w14:paraId="3B131E00">
      <w:pPr>
        <w:pStyle w:val="4"/>
        <w:keepNext/>
        <w:keepLines/>
        <w:pageBreakBefore w:val="0"/>
        <w:widowControl w:val="0"/>
        <w:suppressLineNumbers w:val="0"/>
        <w:kinsoku/>
        <w:overflowPunct/>
        <w:topLinePunct w:val="0"/>
        <w:autoSpaceDE w:val="0"/>
        <w:autoSpaceDN/>
        <w:bidi w:val="0"/>
        <w:adjustRightInd w:val="0"/>
        <w:snapToGrid w:val="0"/>
        <w:spacing w:before="0" w:after="0" w:line="360" w:lineRule="auto"/>
        <w:ind w:left="0" w:firstLine="560" w:firstLineChars="200"/>
        <w:textAlignment w:val="auto"/>
        <w:rPr>
          <w:rFonts w:hint="eastAsia" w:ascii="黑体" w:hAnsi="黑体" w:eastAsia="黑体" w:cs="黑体"/>
          <w:b w:val="0"/>
          <w:bCs w:val="0"/>
          <w:i w:val="0"/>
          <w:iCs w:val="0"/>
          <w:snapToGrid w:val="0"/>
          <w:kern w:val="0"/>
          <w:sz w:val="28"/>
          <w:szCs w:val="21"/>
          <w:highlight w:val="none"/>
          <w:lang w:val="en-US" w:eastAsia="zh-CN" w:bidi="ar-SA"/>
        </w:rPr>
      </w:pPr>
      <w:bookmarkStart w:id="10" w:name="_Toc24085"/>
      <w:r>
        <w:rPr>
          <w:rFonts w:hint="eastAsia" w:ascii="黑体" w:hAnsi="黑体" w:cs="黑体"/>
          <w:b w:val="0"/>
          <w:bCs w:val="0"/>
          <w:i w:val="0"/>
          <w:iCs w:val="0"/>
          <w:snapToGrid w:val="0"/>
          <w:kern w:val="0"/>
          <w:sz w:val="28"/>
          <w:szCs w:val="21"/>
          <w:highlight w:val="none"/>
          <w:lang w:val="en-US" w:eastAsia="zh-CN" w:bidi="ar-SA"/>
        </w:rPr>
        <w:t>四、</w:t>
      </w:r>
      <w:r>
        <w:rPr>
          <w:rFonts w:hint="eastAsia" w:ascii="黑体" w:hAnsi="黑体" w:eastAsia="黑体" w:cs="黑体"/>
          <w:b w:val="0"/>
          <w:bCs w:val="0"/>
          <w:i w:val="0"/>
          <w:iCs w:val="0"/>
          <w:snapToGrid w:val="0"/>
          <w:kern w:val="0"/>
          <w:sz w:val="28"/>
          <w:szCs w:val="21"/>
          <w:highlight w:val="none"/>
          <w:lang w:val="en-US" w:eastAsia="zh-CN" w:bidi="ar-SA"/>
        </w:rPr>
        <w:t>其他要求</w:t>
      </w:r>
      <w:bookmarkEnd w:id="10"/>
      <w:r>
        <w:rPr>
          <w:rFonts w:hint="eastAsia" w:ascii="黑体" w:hAnsi="黑体" w:eastAsia="黑体" w:cs="黑体"/>
          <w:b w:val="0"/>
          <w:bCs w:val="0"/>
          <w:i w:val="0"/>
          <w:iCs w:val="0"/>
          <w:snapToGrid w:val="0"/>
          <w:kern w:val="0"/>
          <w:sz w:val="28"/>
          <w:szCs w:val="21"/>
          <w:highlight w:val="none"/>
          <w:lang w:val="en-US" w:eastAsia="zh-CN" w:bidi="ar-SA"/>
        </w:rPr>
        <w:t xml:space="preserve"> </w:t>
      </w:r>
    </w:p>
    <w:p w14:paraId="58569E4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1.依据相关规定和项目采购文件的规定，承担受委托项目的审计服务工作，并对成果文件的完整性、准确性、合法性负责。按照规范性、完备性、可实施性、科学性、适应本项目特点的要求，制定出详细的工作方案，在实施过程中严格按照方案中的计划进行，并做好后续各种服务工作，在规定的时间内按国家及行业规范出具高质量的成果报告。</w:t>
      </w:r>
    </w:p>
    <w:p w14:paraId="5D53FE4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2.在服务过程中应遵守职业道德规范、职业操守。严禁从业人员有任何违背采购人有关项目廉政工作要求。</w:t>
      </w:r>
    </w:p>
    <w:p w14:paraId="7DCFB3C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3.成交供应商应严格按照响应文件中承诺的拟派项目组人员名单开展工作，不得擅自更换拟派项目负责人及成员名单，在特殊情况下可以用同等资历的人员代替，但须经来购人同意并备案。采购人有权要求成交供应商更换不合格的服务人员，成交供应商应予以接受。</w:t>
      </w:r>
    </w:p>
    <w:p w14:paraId="5CD6C0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4.合同履行期间服务人员所发生的办公设备、交通工具、餐饮住宿由供应商自行承担，服务人员应配备便携式电脑，自备交通工具或乘坐公共交通。</w:t>
      </w:r>
    </w:p>
    <w:p w14:paraId="56E30F7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仿宋" w:hAnsi="仿宋" w:eastAsia="仿宋" w:cs="Times New Roman"/>
          <w:color w:val="auto"/>
          <w:kern w:val="2"/>
          <w:sz w:val="28"/>
          <w:szCs w:val="28"/>
          <w:highlight w:val="none"/>
          <w:lang w:val="en-US" w:eastAsia="zh-CN"/>
        </w:rPr>
      </w:pPr>
      <w:r>
        <w:rPr>
          <w:rFonts w:hint="eastAsia" w:ascii="仿宋" w:hAnsi="仿宋" w:eastAsia="仿宋" w:cs="Times New Roman"/>
          <w:color w:val="auto"/>
          <w:kern w:val="2"/>
          <w:sz w:val="28"/>
          <w:szCs w:val="28"/>
          <w:highlight w:val="none"/>
          <w:lang w:val="en-US" w:eastAsia="zh-CN"/>
        </w:rPr>
        <w:t>5.违约责任：供应商提供的所有服务，应严格按照本磋商文件及响应的各项服务具体内容执行，经采购人验收不合格的均提供无条件免费整改，直至满足合同要求为止。</w:t>
      </w:r>
    </w:p>
    <w:p w14:paraId="244E8A3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contextualSpacing/>
        <w:jc w:val="left"/>
        <w:textAlignment w:val="auto"/>
        <w:rPr>
          <w:rFonts w:hint="eastAsia" w:ascii="黑体" w:hAnsi="黑体" w:eastAsia="黑体"/>
          <w:color w:val="auto"/>
          <w:kern w:val="2"/>
          <w:sz w:val="28"/>
          <w:szCs w:val="28"/>
          <w:highlight w:val="none"/>
        </w:rPr>
      </w:pPr>
      <w:r>
        <w:rPr>
          <w:rFonts w:hint="eastAsia" w:ascii="仿宋" w:hAnsi="仿宋" w:eastAsia="仿宋" w:cs="Times New Roman"/>
          <w:color w:val="auto"/>
          <w:kern w:val="2"/>
          <w:sz w:val="28"/>
          <w:szCs w:val="28"/>
          <w:highlight w:val="none"/>
          <w:lang w:val="en-US" w:eastAsia="zh-CN"/>
        </w:rPr>
        <w:t>6.保密要求：成交供应商自接受委托之日起，对所获知项目的一切信息保密，不向任何第三方透漏，否则造成的经济损失，将按照国家有关法律规定承担责任。在服务过程中，制定本项目保密安全管理制度，确定项目保密责任人，管理、监督、落实项目安全保密工作，按照国家、省、市的有关法规文件规定，履行保密责任。</w:t>
      </w:r>
    </w:p>
    <w:p w14:paraId="471E28D2">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须承诺所提供的服务及成果不受到第三方的侵权诉讼或索赔。采购人在中华人民共和国境内使用供应商提供的服务及成果时免受第三方提出的侵犯其专利权或其它知识产权的起诉。如果第三方提出侵权指控，成交供应商应承担由此而引起的一切法律责任和费用。未经采购人同意，成交供应商不得将采购人提供的基础资料用于与本项目无关的其他任何用途。在服务结束后，须按采购人的要求将有关的基础资料归还主办单位。</w:t>
      </w:r>
    </w:p>
    <w:p w14:paraId="397D8BD6">
      <w:pPr>
        <w:spacing w:line="360" w:lineRule="auto"/>
        <w:ind w:firstLine="560" w:firstLineChars="200"/>
        <w:rPr>
          <w:rFonts w:eastAsia="仿宋"/>
          <w:color w:val="auto"/>
          <w:sz w:val="32"/>
          <w:szCs w:val="32"/>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.供应商需具有成熟的专业技术，有承接过</w:t>
      </w:r>
      <w:r>
        <w:rPr>
          <w:rFonts w:hint="eastAsia" w:ascii="仿宋" w:hAnsi="仿宋" w:eastAsia="仿宋" w:cs="仿宋"/>
          <w:color w:val="auto"/>
          <w:sz w:val="28"/>
          <w:szCs w:val="28"/>
          <w:highlight w:val="none"/>
          <w:lang w:val="en-US" w:eastAsia="zh-CN"/>
        </w:rPr>
        <w:t>专项资金审计或财务审计服务等</w:t>
      </w:r>
      <w:r>
        <w:rPr>
          <w:rFonts w:hint="eastAsia" w:ascii="仿宋" w:hAnsi="仿宋" w:eastAsia="仿宋" w:cs="仿宋"/>
          <w:color w:val="auto"/>
          <w:sz w:val="28"/>
          <w:szCs w:val="28"/>
          <w:highlight w:val="none"/>
        </w:rPr>
        <w:t>类似工作的经验。负责项目执行的拟派团队人员需具备足够数量且具有专业性，具有</w:t>
      </w:r>
      <w:r>
        <w:rPr>
          <w:rFonts w:hint="eastAsia" w:ascii="仿宋" w:hAnsi="仿宋" w:eastAsia="仿宋" w:cs="仿宋"/>
          <w:color w:val="auto"/>
          <w:sz w:val="28"/>
          <w:szCs w:val="28"/>
          <w:highlight w:val="none"/>
          <w:lang w:val="en-US" w:eastAsia="zh-CN"/>
        </w:rPr>
        <w:t>注册会计师证书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团队中的项目负责人拥有会计类中级及以上职称的，</w:t>
      </w:r>
      <w:r>
        <w:rPr>
          <w:rFonts w:hint="eastAsia" w:ascii="仿宋" w:hAnsi="仿宋" w:eastAsia="仿宋" w:cs="仿宋"/>
          <w:color w:val="auto"/>
          <w:sz w:val="28"/>
          <w:szCs w:val="28"/>
          <w:highlight w:val="none"/>
        </w:rPr>
        <w:t>保障本项目完成质量，能够很好地完成全部工作内容。本项目属于专业服务工作，工作内容较为繁杂，配套服务方案需由响应供应商按自身同类项目服务经验及实际情况进行拟定，项目性质特殊，供应商应对项目内容进行充分调研，能全面理解并准确分析本项目的需求及目的，提出有针对性、合理化的建议；也需对本项目进行需求分析，并提供项目整体服务规划、审计服务方案、</w:t>
      </w:r>
      <w:r>
        <w:rPr>
          <w:rFonts w:hint="eastAsia" w:ascii="仿宋" w:hAnsi="仿宋" w:eastAsia="仿宋" w:cs="仿宋"/>
          <w:color w:val="auto"/>
          <w:sz w:val="28"/>
          <w:szCs w:val="28"/>
          <w:highlight w:val="none"/>
          <w:lang w:val="en-US" w:eastAsia="zh-CN"/>
        </w:rPr>
        <w:t>项目保密方案</w:t>
      </w:r>
      <w:r>
        <w:rPr>
          <w:rFonts w:hint="eastAsia" w:ascii="仿宋" w:hAnsi="仿宋" w:eastAsia="仿宋" w:cs="仿宋"/>
          <w:color w:val="auto"/>
          <w:sz w:val="28"/>
          <w:szCs w:val="28"/>
          <w:highlight w:val="none"/>
        </w:rPr>
        <w:t>、项目进度计划、重难点及合理化建议、成果目标质量保障措施等。为满足本项目要求，供应商应在合同履行期限内完成全部项目内容。</w:t>
      </w:r>
    </w:p>
    <w:p w14:paraId="3F8D1B85">
      <w:pPr>
        <w:pStyle w:val="4"/>
        <w:keepNext/>
        <w:keepLines/>
        <w:pageBreakBefore w:val="0"/>
        <w:widowControl w:val="0"/>
        <w:suppressLineNumbers w:val="0"/>
        <w:kinsoku/>
        <w:overflowPunct/>
        <w:topLinePunct w:val="0"/>
        <w:autoSpaceDE w:val="0"/>
        <w:autoSpaceDN/>
        <w:bidi w:val="0"/>
        <w:adjustRightInd w:val="0"/>
        <w:snapToGrid w:val="0"/>
        <w:spacing w:before="0" w:after="0" w:line="360" w:lineRule="auto"/>
        <w:ind w:left="0" w:firstLine="560" w:firstLineChars="200"/>
        <w:textAlignment w:val="auto"/>
        <w:rPr>
          <w:rFonts w:hint="eastAsia" w:ascii="黑体" w:hAnsi="黑体" w:eastAsia="黑体" w:cs="黑体"/>
          <w:b w:val="0"/>
          <w:bCs w:val="0"/>
          <w:i w:val="0"/>
          <w:iCs w:val="0"/>
          <w:snapToGrid w:val="0"/>
          <w:kern w:val="0"/>
          <w:sz w:val="28"/>
          <w:szCs w:val="21"/>
          <w:highlight w:val="none"/>
          <w:lang w:val="en-US" w:eastAsia="zh-CN" w:bidi="ar-SA"/>
        </w:rPr>
      </w:pPr>
      <w:bookmarkStart w:id="11" w:name="_Toc12737"/>
      <w:r>
        <w:rPr>
          <w:rFonts w:hint="eastAsia" w:ascii="黑体" w:hAnsi="黑体" w:eastAsia="黑体" w:cs="黑体"/>
          <w:b w:val="0"/>
          <w:bCs w:val="0"/>
          <w:i w:val="0"/>
          <w:iCs w:val="0"/>
          <w:snapToGrid w:val="0"/>
          <w:kern w:val="0"/>
          <w:sz w:val="28"/>
          <w:szCs w:val="21"/>
          <w:highlight w:val="none"/>
          <w:lang w:val="en-US" w:eastAsia="zh-CN" w:bidi="ar-SA"/>
        </w:rPr>
        <w:t>五、项目验收</w:t>
      </w:r>
      <w:bookmarkEnd w:id="11"/>
    </w:p>
    <w:p w14:paraId="77FB1D8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采购人有权对成交供应商工作人员的各项工作进行监督、检查，对不符合采购人工作要求的服务行为要求其立即纠正、整改。</w:t>
      </w:r>
    </w:p>
    <w:p w14:paraId="48621E5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采购人按国家有关标准、规范对项目出具的报告和工作服务进行验收。</w:t>
      </w:r>
    </w:p>
    <w:p w14:paraId="33F287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成交供应商须制定本项目保密安全管理制度，确定项目保密责任人，管理、监督、落实项目安全保密工作，同时要求成交供应商按照国家、省、市的有关法规文件规定，履行保密责任。 </w:t>
      </w:r>
    </w:p>
    <w:p w14:paraId="5B324FC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成交供应商在服务期内如被发现有以下问题，通过有关部门查处核实，采购人有权终止服务工作，采购人保留停止支付或追回已支付的服务费用和追究其法律责任的权利，并将有关情况向有关管理部门反映，并送有关部门处理∶ </w:t>
      </w:r>
    </w:p>
    <w:p w14:paraId="5D55E51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（1）违反有关法律、法规和政策规定，造成采购人及相关单位损失的；</w:t>
      </w:r>
    </w:p>
    <w:p w14:paraId="742BF8B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（2）通过提供虚假信息、误导或欺骗等方式，以谋取非法利益的；</w:t>
      </w:r>
    </w:p>
    <w:p w14:paraId="37697E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（3）采用非法手段进行不正当竞争的，构成恶劣影响的；</w:t>
      </w:r>
    </w:p>
    <w:p w14:paraId="1F335EA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（4）违反回避制度和保密规定的；</w:t>
      </w:r>
    </w:p>
    <w:p w14:paraId="7807502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（5）拒绝接受采购人跟踪核查的；</w:t>
      </w:r>
    </w:p>
    <w:p w14:paraId="578900E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（6）不按要求保管资料的；</w:t>
      </w:r>
    </w:p>
    <w:p w14:paraId="2519E4D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审计</w:t>
      </w:r>
      <w:r>
        <w:rPr>
          <w:rFonts w:hint="eastAsia" w:ascii="仿宋" w:hAnsi="仿宋" w:eastAsia="仿宋" w:cs="仿宋"/>
          <w:color w:val="auto"/>
          <w:sz w:val="28"/>
          <w:szCs w:val="28"/>
          <w:highlight w:val="none"/>
        </w:rPr>
        <w:t>成果（含以往委托）被上级或其他机构检查时认定为重大工作失误∶</w:t>
      </w:r>
    </w:p>
    <w:p w14:paraId="7B21836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（8）在服务过程中，存在质量、进度、工作态度等方面问题时，委托方可对咨询人下达整改通知书，在自下达整改通知书起十五个工作日内咨询人未整改到位；</w:t>
      </w:r>
    </w:p>
    <w:p w14:paraId="0961D0F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（9）受到主管部门或相关机构的处分/处罚；</w:t>
      </w:r>
    </w:p>
    <w:p w14:paraId="1E99280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（10）机构解散；</w:t>
      </w:r>
    </w:p>
    <w:p w14:paraId="0F431B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合同履行过程中的各项违约情形的处罚措施在合同中具体约定。</w:t>
      </w:r>
    </w:p>
    <w:p w14:paraId="0CB463C6">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.组织形式：采购人自行组织验收，时间和地点由采购人与成交供应商双方协商确定。如未通过采购人的验收，采购人有权要求成交供应商修改、完善，直至通过验收。</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RPORS+·ÂËÎ">
    <w:altName w:val="SimSun-ExtB"/>
    <w:panose1 w:val="02010609060101010101"/>
    <w:charset w:val="01"/>
    <w:family w:val="modern"/>
    <w:pitch w:val="default"/>
    <w:sig w:usb0="00000000" w:usb1="00000000"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27B36"/>
    <w:rsid w:val="4872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ind w:firstLine="600" w:firstLineChars="200"/>
    </w:pPr>
    <w:rPr>
      <w:rFonts w:ascii="等线" w:hAnsi="等线" w:eastAsia="等线" w:cs="Times New Roman"/>
      <w:color w:val="FF0000"/>
      <w:kern w:val="2"/>
      <w:sz w:val="30"/>
      <w:szCs w:val="22"/>
    </w:rPr>
  </w:style>
  <w:style w:type="paragraph" w:styleId="5">
    <w:name w:val="Body Text"/>
    <w:basedOn w:val="1"/>
    <w:qFormat/>
    <w:uiPriority w:val="99"/>
    <w:pPr>
      <w:spacing w:after="120"/>
    </w:pPr>
    <w:rPr>
      <w:rFonts w:ascii="等线" w:hAnsi="等线" w:eastAsia="等线"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2025-03-18T11:17:00Z</dcterms:created>
  <dc:creator>Dong</dc:creator>
  <cp:lastModifiedBy>Dong</cp:lastModifiedBy>
  <dcterms:modified xsi:type="dcterms:W3CDTF">2025-03-18T11:18:00Z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8A5724AE62BC4D8C8430D3ACCEB11263_11</vt:lpwstr>
  </property>
  <property fmtid="{D5CDD505-2E9C-101B-9397-08002B2CF9AE}" pid="4" name="KSOTemplateDocerSaveRecord">
    <vt:lpwstr>eyJoZGlkIjoiODhkYzI2ZjlmOTg3MzE5MzE2YmRkZWU5ODUzNmI5MmMiLCJ1c2VySWQiOiI0NTk0NjUzNTEifQ==</vt:lpwstr>
  </property>
</Properties>
</file>