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9A656">
      <w:pPr>
        <w:keepNext w:val="0"/>
        <w:keepLines w:val="0"/>
        <w:widowControl/>
        <w:suppressLineNumbers w:val="0"/>
        <w:jc w:val="center"/>
        <w:rPr>
          <w:color w:val="auto"/>
        </w:rPr>
      </w:pPr>
      <w:r>
        <w:rPr>
          <w:rFonts w:ascii="黑体" w:hAnsi="宋体" w:eastAsia="黑体" w:cs="黑体"/>
          <w:b/>
          <w:bCs/>
          <w:color w:val="auto"/>
          <w:kern w:val="0"/>
          <w:sz w:val="28"/>
          <w:szCs w:val="28"/>
          <w:lang w:val="en-US" w:eastAsia="zh-CN" w:bidi="ar"/>
        </w:rPr>
        <w:t>东西湖区政府采购需求</w:t>
      </w:r>
    </w:p>
    <w:p w14:paraId="38530165"/>
    <w:p w14:paraId="698C154E">
      <w:pPr>
        <w:pStyle w:val="4"/>
        <w:spacing w:before="78" w:line="219" w:lineRule="auto"/>
        <w:ind w:left="102"/>
        <w:outlineLvl w:val="1"/>
        <w:rPr>
          <w:rFonts w:hint="eastAsia" w:ascii="宋体" w:hAnsi="宋体" w:eastAsia="宋体" w:cs="宋体"/>
          <w:b/>
          <w:bCs/>
          <w:color w:val="auto"/>
          <w:spacing w:val="-4"/>
          <w:sz w:val="24"/>
          <w:szCs w:val="24"/>
        </w:rPr>
      </w:pPr>
    </w:p>
    <w:p w14:paraId="6AF71365">
      <w:pPr>
        <w:pStyle w:val="4"/>
        <w:spacing w:before="37" w:line="219" w:lineRule="auto"/>
        <w:ind w:left="102"/>
        <w:outlineLvl w:val="1"/>
        <w:rPr>
          <w:rFonts w:hint="eastAsia" w:ascii="黑体" w:hAnsi="宋体" w:eastAsia="黑体" w:cs="黑体"/>
          <w:b/>
          <w:bCs/>
          <w:color w:val="auto"/>
          <w:kern w:val="0"/>
          <w:sz w:val="28"/>
          <w:szCs w:val="28"/>
          <w:lang w:val="en-US" w:eastAsia="zh-CN" w:bidi="ar"/>
        </w:rPr>
      </w:pPr>
      <w:r>
        <w:rPr>
          <w:rFonts w:hint="eastAsia" w:ascii="黑体" w:hAnsi="宋体" w:eastAsia="黑体" w:cs="黑体"/>
          <w:b/>
          <w:bCs/>
          <w:color w:val="auto"/>
          <w:kern w:val="0"/>
          <w:sz w:val="28"/>
          <w:szCs w:val="28"/>
          <w:lang w:val="en-US" w:eastAsia="zh-CN" w:bidi="ar"/>
        </w:rPr>
        <w:t>第一部分：项目基本情况</w:t>
      </w:r>
    </w:p>
    <w:p w14:paraId="2D61F385">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1.项目编号：</w:t>
      </w:r>
      <w:r>
        <w:rPr>
          <w:rFonts w:hint="eastAsia" w:ascii="宋体" w:hAnsi="宋体" w:eastAsia="宋体" w:cs="宋体"/>
          <w:color w:val="auto"/>
          <w:spacing w:val="-2"/>
          <w:sz w:val="24"/>
          <w:szCs w:val="24"/>
          <w:lang w:val="en-US" w:eastAsia="zh-CN"/>
        </w:rPr>
        <w:t>JYZX-ZFCG-2026-007A</w:t>
      </w:r>
    </w:p>
    <w:p w14:paraId="5D48C5F5">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2.采购计划备案号：</w:t>
      </w:r>
      <w:r>
        <w:rPr>
          <w:rFonts w:hint="eastAsia" w:ascii="宋体" w:hAnsi="宋体" w:eastAsia="宋体" w:cs="宋体"/>
          <w:color w:val="auto"/>
          <w:spacing w:val="-2"/>
          <w:sz w:val="24"/>
          <w:szCs w:val="24"/>
          <w:highlight w:val="none"/>
          <w:lang w:val="en-US" w:eastAsia="zh-CN"/>
        </w:rPr>
        <w:t xml:space="preserve">420112-2026-02179  </w:t>
      </w:r>
    </w:p>
    <w:p w14:paraId="24CDE68A">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3.项目名称：</w:t>
      </w:r>
      <w:r>
        <w:rPr>
          <w:rFonts w:hint="eastAsia" w:ascii="宋体" w:hAnsi="宋体" w:eastAsia="宋体" w:cs="宋体"/>
          <w:color w:val="auto"/>
          <w:spacing w:val="-2"/>
          <w:sz w:val="24"/>
          <w:szCs w:val="24"/>
          <w:lang w:eastAsia="zh-CN"/>
        </w:rPr>
        <w:t>长青街“友谊村闲置空地休闲空间改造”“革新大道校园段交通与绿化综合提升”三微整治项目</w:t>
      </w:r>
    </w:p>
    <w:p w14:paraId="4E25CF5C">
      <w:pPr>
        <w:spacing w:before="162" w:line="240" w:lineRule="auto"/>
        <w:ind w:left="18" w:right="37" w:firstLine="696" w:firstLineChars="295"/>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4.采购方式：竞争性磋商</w:t>
      </w:r>
      <w:bookmarkStart w:id="21" w:name="_GoBack"/>
      <w:bookmarkEnd w:id="21"/>
    </w:p>
    <w:p w14:paraId="6906BC25">
      <w:pPr>
        <w:spacing w:before="162" w:line="240" w:lineRule="auto"/>
        <w:ind w:left="18" w:right="37" w:firstLine="696" w:firstLineChars="295"/>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5.预算金额：</w:t>
      </w:r>
      <w:r>
        <w:rPr>
          <w:rFonts w:hint="eastAsia" w:ascii="宋体" w:hAnsi="宋体" w:eastAsia="宋体" w:cs="宋体"/>
          <w:color w:val="auto"/>
          <w:spacing w:val="-2"/>
          <w:sz w:val="24"/>
          <w:szCs w:val="24"/>
          <w:lang w:val="en-US" w:eastAsia="zh-CN"/>
        </w:rPr>
        <w:t>92.08</w:t>
      </w:r>
      <w:r>
        <w:rPr>
          <w:rFonts w:hint="eastAsia" w:ascii="宋体" w:hAnsi="宋体" w:eastAsia="宋体" w:cs="宋体"/>
          <w:color w:val="auto"/>
          <w:spacing w:val="-2"/>
          <w:sz w:val="24"/>
          <w:szCs w:val="24"/>
        </w:rPr>
        <w:t xml:space="preserve"> 万元 </w:t>
      </w:r>
    </w:p>
    <w:p w14:paraId="76609771">
      <w:pPr>
        <w:spacing w:before="156" w:line="439" w:lineRule="exact"/>
        <w:ind w:left="2138" w:leftChars="344" w:hanging="1416" w:hangingChars="600"/>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6.最高限价：</w:t>
      </w:r>
      <w:r>
        <w:rPr>
          <w:rFonts w:hint="eastAsia" w:ascii="宋体" w:hAnsi="宋体" w:eastAsia="宋体" w:cs="宋体"/>
          <w:color w:val="auto"/>
          <w:spacing w:val="-2"/>
          <w:sz w:val="24"/>
          <w:szCs w:val="24"/>
          <w:lang w:val="en-US" w:eastAsia="zh-CN"/>
        </w:rPr>
        <w:t>92.08</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2"/>
          <w:sz w:val="24"/>
          <w:szCs w:val="24"/>
          <w:lang w:val="en-US" w:eastAsia="zh-CN"/>
        </w:rPr>
        <w:t xml:space="preserve">万元，高于此报价做废标处理。 </w:t>
      </w:r>
    </w:p>
    <w:p w14:paraId="32395BB8">
      <w:pPr>
        <w:spacing w:before="162" w:line="240" w:lineRule="auto"/>
        <w:ind w:left="18" w:right="37" w:firstLine="696" w:firstLineChars="295"/>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7.采购需求： 详见采购文件第三章项目采购需求。</w:t>
      </w:r>
    </w:p>
    <w:p w14:paraId="1C8D5A49">
      <w:pPr>
        <w:spacing w:before="162" w:line="240" w:lineRule="auto"/>
        <w:ind w:left="18" w:right="37" w:firstLine="696" w:firstLineChars="295"/>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8.合同履行期限：</w:t>
      </w:r>
      <w:r>
        <w:rPr>
          <w:rFonts w:hint="eastAsia" w:ascii="宋体" w:hAnsi="宋体" w:eastAsia="宋体" w:cs="宋体"/>
          <w:color w:val="auto"/>
          <w:spacing w:val="-2"/>
          <w:sz w:val="24"/>
          <w:szCs w:val="24"/>
          <w:lang w:val="en-US" w:eastAsia="zh-CN"/>
        </w:rPr>
        <w:t>255日历天（其中革新大道校园段施工工期30日历天，友谊村闲置空地区域施工工期45日历天，绿化养护期180日历天。实际开工日期根据甲方要求执行）</w:t>
      </w:r>
      <w:r>
        <w:rPr>
          <w:rFonts w:hint="eastAsia" w:ascii="宋体" w:hAnsi="宋体" w:eastAsia="宋体" w:cs="宋体"/>
          <w:color w:val="auto"/>
          <w:spacing w:val="-2"/>
          <w:sz w:val="24"/>
          <w:szCs w:val="24"/>
          <w:lang w:val="en-US" w:eastAsia="en-US"/>
        </w:rPr>
        <w:t>。</w:t>
      </w:r>
    </w:p>
    <w:p w14:paraId="17F69265">
      <w:pPr>
        <w:spacing w:before="162" w:line="240" w:lineRule="auto"/>
        <w:ind w:left="18" w:right="37" w:firstLine="696" w:firstLineChars="295"/>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 xml:space="preserve">9.本项目（是/否）接受联合体投标：否 </w:t>
      </w:r>
    </w:p>
    <w:p w14:paraId="285D3788">
      <w:pPr>
        <w:spacing w:before="162" w:line="240" w:lineRule="auto"/>
        <w:ind w:left="18" w:right="37" w:firstLine="696" w:firstLineChars="295"/>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10.是否可采购进口产品：否</w:t>
      </w:r>
    </w:p>
    <w:p w14:paraId="02BFD0A0">
      <w:pPr>
        <w:spacing w:before="162" w:line="240" w:lineRule="auto"/>
        <w:ind w:left="18" w:right="37" w:firstLine="696" w:firstLineChars="295"/>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11.本项目（是/否）接受合同分包：否</w:t>
      </w:r>
    </w:p>
    <w:p w14:paraId="4AD32DC7">
      <w:pPr>
        <w:spacing w:before="162" w:line="240" w:lineRule="auto"/>
        <w:ind w:left="18" w:right="37" w:firstLine="696" w:firstLineChars="295"/>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12.本项目（是/否）专门面向中小微企业：</w:t>
      </w:r>
      <w:r>
        <w:rPr>
          <w:rFonts w:hint="eastAsia" w:ascii="宋体" w:hAnsi="宋体" w:eastAsia="宋体" w:cs="宋体"/>
          <w:color w:val="auto"/>
          <w:spacing w:val="-2"/>
          <w:sz w:val="24"/>
          <w:szCs w:val="24"/>
          <w:lang w:val="en-US" w:eastAsia="zh-CN"/>
        </w:rPr>
        <w:t>是</w:t>
      </w:r>
      <w:r>
        <w:rPr>
          <w:rFonts w:hint="eastAsia" w:ascii="宋体" w:hAnsi="宋体" w:eastAsia="宋体" w:cs="宋体"/>
          <w:color w:val="auto"/>
          <w:spacing w:val="-2"/>
          <w:sz w:val="24"/>
          <w:szCs w:val="24"/>
        </w:rPr>
        <w:t xml:space="preserve"> </w:t>
      </w:r>
    </w:p>
    <w:p w14:paraId="05EE2294">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13.面向中小微企业的类型为：中小微企业</w:t>
      </w:r>
    </w:p>
    <w:p w14:paraId="1C6A6281">
      <w:pPr>
        <w:pStyle w:val="4"/>
        <w:spacing w:before="37" w:line="219" w:lineRule="auto"/>
        <w:ind w:left="102"/>
        <w:outlineLvl w:val="1"/>
        <w:rPr>
          <w:rFonts w:hint="eastAsia" w:ascii="黑体" w:hAnsi="宋体" w:eastAsia="黑体" w:cs="黑体"/>
          <w:b/>
          <w:bCs/>
          <w:color w:val="auto"/>
          <w:kern w:val="0"/>
          <w:sz w:val="28"/>
          <w:szCs w:val="28"/>
          <w:lang w:val="en-US" w:eastAsia="zh-CN" w:bidi="ar"/>
        </w:rPr>
      </w:pPr>
      <w:bookmarkStart w:id="0" w:name="bookmark5"/>
      <w:bookmarkEnd w:id="0"/>
      <w:bookmarkStart w:id="1" w:name="bookmark6"/>
      <w:bookmarkEnd w:id="1"/>
    </w:p>
    <w:p w14:paraId="4AB7A691">
      <w:pPr>
        <w:pStyle w:val="4"/>
        <w:spacing w:before="37" w:line="219" w:lineRule="auto"/>
        <w:ind w:left="102"/>
        <w:outlineLvl w:val="1"/>
        <w:rPr>
          <w:rFonts w:hint="eastAsia" w:ascii="黑体" w:hAnsi="宋体" w:eastAsia="黑体" w:cs="黑体"/>
          <w:b/>
          <w:bCs/>
          <w:color w:val="auto"/>
          <w:kern w:val="0"/>
          <w:sz w:val="28"/>
          <w:szCs w:val="28"/>
          <w:lang w:val="en-US" w:eastAsia="zh-CN" w:bidi="ar"/>
        </w:rPr>
      </w:pPr>
      <w:r>
        <w:rPr>
          <w:rFonts w:hint="eastAsia" w:ascii="黑体" w:hAnsi="宋体" w:eastAsia="黑体" w:cs="黑体"/>
          <w:b/>
          <w:bCs/>
          <w:color w:val="auto"/>
          <w:kern w:val="0"/>
          <w:sz w:val="28"/>
          <w:szCs w:val="28"/>
          <w:lang w:val="en-US" w:eastAsia="zh-CN" w:bidi="ar"/>
        </w:rPr>
        <w:t>第二部分：申请人的资格要求</w:t>
      </w:r>
    </w:p>
    <w:p w14:paraId="66507009">
      <w:pPr>
        <w:spacing w:before="162" w:line="240" w:lineRule="auto"/>
        <w:ind w:left="18" w:right="37" w:firstLine="696" w:firstLineChars="295"/>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1.供应商资格条件</w:t>
      </w:r>
    </w:p>
    <w:p w14:paraId="13E45E3F">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（1）满足《中华人民共和国政府采购法》第二十二条规定，即：</w:t>
      </w:r>
    </w:p>
    <w:p w14:paraId="7BCAC9DC">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①具有独立承担民事责任的能力；</w:t>
      </w:r>
    </w:p>
    <w:p w14:paraId="7643FFA2">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②具有良好的商业信誉和健全的财务会计制度；</w:t>
      </w:r>
    </w:p>
    <w:p w14:paraId="36F67F8B">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③具有履行合同所必需的设备和专业技术能力；</w:t>
      </w:r>
    </w:p>
    <w:p w14:paraId="738D8171">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④有依法缴纳税收和社会保障资金的良好记录；</w:t>
      </w:r>
    </w:p>
    <w:p w14:paraId="1771A815">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⑤参加政府采购活动前三年内，在经营活动中没有重大违法记录；</w:t>
      </w:r>
    </w:p>
    <w:p w14:paraId="7B696E15">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⑥法律、行政法规规定的其他条件。</w:t>
      </w:r>
    </w:p>
    <w:p w14:paraId="55F13E04">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（2）单位负责人为同一人或者存在直接控股、管理关系的不同供应商，不得参加本项目同一合同项下的政府采购活动</w:t>
      </w:r>
    </w:p>
    <w:p w14:paraId="755A9FFA">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（3）为本采购项目提供整体设计、规范编制或者项目管理、监理、检测等服务的，不得再参加本项目的其他招标采购活动。</w:t>
      </w:r>
    </w:p>
    <w:p w14:paraId="677E7276">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（4）未被列入失信被执行人、“重大税收违法失信主体”，未被列入政府采购严重违法失信行为记录名单。</w:t>
      </w:r>
    </w:p>
    <w:p w14:paraId="3BDD1CB3">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（5）本项目不接受联合体形式的投标</w:t>
      </w:r>
    </w:p>
    <w:p w14:paraId="3A3E255C">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（6）本项目专门面向中小微企业进行采购活动</w:t>
      </w:r>
    </w:p>
    <w:p w14:paraId="74E50778">
      <w:pPr>
        <w:spacing w:before="162" w:line="240" w:lineRule="auto"/>
        <w:ind w:left="18" w:right="37" w:firstLine="696" w:firstLineChars="295"/>
        <w:rPr>
          <w:rFonts w:hint="eastAsia" w:ascii="宋体" w:hAnsi="宋体" w:eastAsia="宋体" w:cs="宋体"/>
          <w:color w:val="auto"/>
          <w:spacing w:val="-2"/>
          <w:sz w:val="24"/>
          <w:szCs w:val="24"/>
          <w:lang w:val="en-US" w:eastAsia="zh-CN"/>
        </w:rPr>
      </w:pPr>
      <w:bookmarkStart w:id="2" w:name="bookmark7"/>
      <w:bookmarkEnd w:id="2"/>
      <w:bookmarkStart w:id="3" w:name="bookmark8"/>
      <w:bookmarkEnd w:id="3"/>
      <w:r>
        <w:rPr>
          <w:rFonts w:hint="eastAsia" w:ascii="宋体" w:hAnsi="宋体" w:eastAsia="宋体" w:cs="宋体"/>
          <w:color w:val="auto"/>
          <w:spacing w:val="-2"/>
          <w:sz w:val="24"/>
          <w:szCs w:val="24"/>
          <w:lang w:val="en-US" w:eastAsia="zh-CN"/>
        </w:rPr>
        <w:t>（7）本项目特定资格要求：</w:t>
      </w:r>
    </w:p>
    <w:p w14:paraId="770487C4">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①供应商必须具备建设主管部门颁发的有效的市政公用工程施工总承包贰级及以上资质，且具备有效的安全生产许可证；</w:t>
      </w:r>
    </w:p>
    <w:p w14:paraId="3C0CEDF4">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②供应商拟派项目经理须具备市政公用工程专业贰级及以上注册建造师执业资格和有效的安全生产考核合格证书（B证），且未担任其他在实施建设工程项目的项目经理（提供承诺书）</w:t>
      </w:r>
    </w:p>
    <w:p w14:paraId="47CA11DC">
      <w:pPr>
        <w:spacing w:before="162" w:line="240" w:lineRule="auto"/>
        <w:ind w:left="18" w:right="37" w:firstLine="696" w:firstLineChars="295"/>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③投标人、本项目授权委托人及其法定代表人在近3年内（以裁判日期为准）没有行贿犯罪记录，行贿犯罪档案查询媒介为中国裁判文书网（</w:t>
      </w:r>
      <w:r>
        <w:rPr>
          <w:rFonts w:hint="eastAsia" w:ascii="宋体" w:hAnsi="宋体" w:eastAsia="宋体" w:cs="宋体"/>
          <w:color w:val="auto"/>
          <w:spacing w:val="-2"/>
          <w:sz w:val="24"/>
          <w:szCs w:val="24"/>
          <w:lang w:val="en-US" w:eastAsia="zh-CN"/>
        </w:rPr>
        <w:fldChar w:fldCharType="begin"/>
      </w:r>
      <w:r>
        <w:rPr>
          <w:rFonts w:hint="eastAsia" w:ascii="宋体" w:hAnsi="宋体" w:eastAsia="宋体" w:cs="宋体"/>
          <w:color w:val="auto"/>
          <w:spacing w:val="-2"/>
          <w:sz w:val="24"/>
          <w:szCs w:val="24"/>
          <w:lang w:val="en-US" w:eastAsia="zh-CN"/>
        </w:rPr>
        <w:instrText xml:space="preserve"> HYPERLINK "http://wenshu.court.gov.cn/" \h </w:instrText>
      </w:r>
      <w:r>
        <w:rPr>
          <w:rFonts w:hint="eastAsia" w:ascii="宋体" w:hAnsi="宋体" w:eastAsia="宋体" w:cs="宋体"/>
          <w:color w:val="auto"/>
          <w:spacing w:val="-2"/>
          <w:sz w:val="24"/>
          <w:szCs w:val="24"/>
          <w:lang w:val="en-US" w:eastAsia="zh-CN"/>
        </w:rPr>
        <w:fldChar w:fldCharType="separate"/>
      </w:r>
      <w:r>
        <w:rPr>
          <w:rFonts w:hint="eastAsia" w:ascii="宋体" w:hAnsi="宋体" w:eastAsia="宋体" w:cs="宋体"/>
          <w:color w:val="auto"/>
          <w:spacing w:val="-2"/>
          <w:sz w:val="24"/>
          <w:szCs w:val="24"/>
          <w:lang w:val="en-US" w:eastAsia="zh-CN"/>
        </w:rPr>
        <w:t>http://wenshu.court.gov.cn</w:t>
      </w:r>
      <w:r>
        <w:rPr>
          <w:rFonts w:hint="eastAsia" w:ascii="宋体" w:hAnsi="宋体" w:eastAsia="宋体" w:cs="宋体"/>
          <w:color w:val="auto"/>
          <w:spacing w:val="-2"/>
          <w:sz w:val="24"/>
          <w:szCs w:val="24"/>
          <w:lang w:val="en-US" w:eastAsia="zh-CN"/>
        </w:rPr>
        <w:fldChar w:fldCharType="end"/>
      </w:r>
      <w:r>
        <w:rPr>
          <w:rFonts w:hint="eastAsia" w:ascii="宋体" w:hAnsi="宋体" w:eastAsia="宋体" w:cs="宋体"/>
          <w:color w:val="auto"/>
          <w:spacing w:val="-2"/>
          <w:sz w:val="24"/>
          <w:szCs w:val="24"/>
          <w:lang w:val="en-US" w:eastAsia="zh-CN"/>
        </w:rPr>
        <w:t>）（提供网页查询截图并加盖单位公章）</w:t>
      </w:r>
    </w:p>
    <w:p w14:paraId="747B9891">
      <w:pPr>
        <w:pStyle w:val="4"/>
      </w:pPr>
    </w:p>
    <w:p w14:paraId="469AE761">
      <w:pPr>
        <w:pStyle w:val="4"/>
      </w:pPr>
    </w:p>
    <w:p w14:paraId="07C78C5E">
      <w:pPr>
        <w:pStyle w:val="4"/>
        <w:spacing w:before="37" w:line="219" w:lineRule="auto"/>
        <w:ind w:left="102"/>
        <w:outlineLvl w:val="1"/>
        <w:rPr>
          <w:rFonts w:hint="eastAsia" w:ascii="黑体" w:hAnsi="宋体" w:eastAsia="黑体" w:cs="黑体"/>
          <w:b/>
          <w:bCs/>
          <w:color w:val="auto"/>
          <w:kern w:val="0"/>
          <w:sz w:val="28"/>
          <w:szCs w:val="28"/>
          <w:lang w:val="en-US" w:eastAsia="zh-CN" w:bidi="ar"/>
        </w:rPr>
      </w:pPr>
      <w:r>
        <w:rPr>
          <w:rFonts w:hint="eastAsia" w:ascii="黑体" w:hAnsi="宋体" w:eastAsia="黑体" w:cs="黑体"/>
          <w:b/>
          <w:bCs/>
          <w:color w:val="auto"/>
          <w:kern w:val="0"/>
          <w:sz w:val="28"/>
          <w:szCs w:val="28"/>
          <w:lang w:val="en-US" w:eastAsia="zh-CN" w:bidi="ar"/>
        </w:rPr>
        <w:t>第三部分：采购需求</w:t>
      </w:r>
    </w:p>
    <w:p w14:paraId="685F1476">
      <w:pPr>
        <w:pStyle w:val="4"/>
        <w:rPr>
          <w:rFonts w:ascii="黑体" w:hAnsi="宋体" w:eastAsia="黑体" w:cs="黑体"/>
          <w:b/>
          <w:bCs/>
          <w:color w:val="auto"/>
          <w:kern w:val="0"/>
          <w:sz w:val="28"/>
          <w:szCs w:val="28"/>
          <w:lang w:val="en-US" w:eastAsia="zh-CN" w:bidi="ar"/>
        </w:rPr>
      </w:pPr>
    </w:p>
    <w:p w14:paraId="6AA9188D">
      <w:pPr>
        <w:keepNext w:val="0"/>
        <w:keepLines w:val="0"/>
        <w:pageBreakBefore w:val="0"/>
        <w:widowControl/>
        <w:kinsoku w:val="0"/>
        <w:wordWrap w:val="0"/>
        <w:overflowPunct/>
        <w:topLinePunct w:val="0"/>
        <w:autoSpaceDE w:val="0"/>
        <w:autoSpaceDN w:val="0"/>
        <w:bidi w:val="0"/>
        <w:adjustRightInd w:val="0"/>
        <w:snapToGrid w:val="0"/>
        <w:spacing w:line="460" w:lineRule="exact"/>
        <w:ind w:right="0" w:firstLine="482" w:firstLineChars="200"/>
        <w:textAlignment w:val="baseline"/>
        <w:outlineLvl w:val="9"/>
        <w:rPr>
          <w:rFonts w:hint="eastAsia" w:ascii="宋体" w:hAnsi="宋体" w:eastAsia="宋体" w:cs="宋体"/>
          <w:b/>
          <w:bCs/>
          <w:color w:val="auto"/>
          <w:spacing w:val="0"/>
          <w:position w:val="0"/>
          <w:sz w:val="24"/>
          <w:szCs w:val="24"/>
        </w:rPr>
      </w:pPr>
      <w:r>
        <w:rPr>
          <w:rFonts w:hint="eastAsia" w:ascii="宋体" w:hAnsi="宋体" w:eastAsia="宋体" w:cs="宋体"/>
          <w:b/>
          <w:bCs/>
          <w:color w:val="auto"/>
          <w:spacing w:val="0"/>
          <w:position w:val="0"/>
          <w:sz w:val="24"/>
          <w:szCs w:val="24"/>
          <w:lang w:val="en-US" w:eastAsia="zh-CN"/>
        </w:rPr>
        <w:t>一、项目概况</w:t>
      </w:r>
    </w:p>
    <w:p w14:paraId="1550B9FC">
      <w:pPr>
        <w:keepNext w:val="0"/>
        <w:keepLines w:val="0"/>
        <w:pageBreakBefore w:val="0"/>
        <w:widowControl/>
        <w:kinsoku w:val="0"/>
        <w:wordWrap w:val="0"/>
        <w:overflowPunct/>
        <w:topLinePunct w:val="0"/>
        <w:autoSpaceDE w:val="0"/>
        <w:autoSpaceDN w:val="0"/>
        <w:bidi w:val="0"/>
        <w:adjustRightInd w:val="0"/>
        <w:snapToGrid w:val="0"/>
        <w:spacing w:line="460" w:lineRule="exact"/>
        <w:ind w:left="0" w:right="0" w:firstLine="960" w:firstLineChars="400"/>
        <w:textAlignment w:val="baseline"/>
        <w:outlineLvl w:val="9"/>
        <w:rPr>
          <w:rFonts w:hint="eastAsia"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lang w:val="en-US" w:eastAsia="zh-CN"/>
        </w:rPr>
        <w:t>1.</w:t>
      </w:r>
      <w:r>
        <w:rPr>
          <w:rFonts w:hint="eastAsia" w:ascii="宋体" w:hAnsi="宋体" w:eastAsia="宋体" w:cs="宋体"/>
          <w:color w:val="auto"/>
          <w:spacing w:val="0"/>
          <w:position w:val="0"/>
          <w:sz w:val="24"/>
          <w:szCs w:val="24"/>
          <w:lang w:val="en-US" w:eastAsia="zh-Hans"/>
        </w:rPr>
        <w:t>项目名称：</w:t>
      </w:r>
      <w:r>
        <w:rPr>
          <w:rFonts w:hint="eastAsia" w:ascii="宋体" w:hAnsi="宋体" w:eastAsia="宋体" w:cs="宋体"/>
          <w:color w:val="auto"/>
          <w:spacing w:val="0"/>
          <w:position w:val="0"/>
          <w:sz w:val="24"/>
          <w:szCs w:val="24"/>
          <w:lang w:val="en-US" w:eastAsia="zh-CN"/>
        </w:rPr>
        <w:t>长青街“友谊村闲置空地休闲空间改造”“革新大道校园段交通与绿化综合提升”三微整治项目</w:t>
      </w:r>
    </w:p>
    <w:p w14:paraId="4BA481F3">
      <w:pPr>
        <w:keepNext w:val="0"/>
        <w:keepLines w:val="0"/>
        <w:pageBreakBefore w:val="0"/>
        <w:widowControl/>
        <w:kinsoku w:val="0"/>
        <w:wordWrap w:val="0"/>
        <w:overflowPunct/>
        <w:topLinePunct w:val="0"/>
        <w:autoSpaceDE w:val="0"/>
        <w:autoSpaceDN w:val="0"/>
        <w:bidi w:val="0"/>
        <w:adjustRightInd w:val="0"/>
        <w:snapToGrid w:val="0"/>
        <w:spacing w:line="460" w:lineRule="exact"/>
        <w:ind w:left="0" w:right="0" w:firstLine="960" w:firstLineChars="400"/>
        <w:textAlignment w:val="baseline"/>
        <w:outlineLvl w:val="9"/>
        <w:rPr>
          <w:rFonts w:hint="eastAsia" w:ascii="宋体" w:hAnsi="宋体" w:eastAsia="宋体" w:cs="宋体"/>
          <w:color w:val="auto"/>
          <w:spacing w:val="0"/>
          <w:position w:val="0"/>
          <w:sz w:val="24"/>
          <w:szCs w:val="24"/>
          <w:lang w:val="en-US" w:eastAsia="zh-Hans"/>
        </w:rPr>
      </w:pPr>
      <w:r>
        <w:rPr>
          <w:rFonts w:hint="eastAsia" w:ascii="宋体" w:hAnsi="宋体" w:eastAsia="宋体" w:cs="宋体"/>
          <w:color w:val="auto"/>
          <w:spacing w:val="0"/>
          <w:position w:val="0"/>
          <w:sz w:val="24"/>
          <w:szCs w:val="24"/>
          <w:lang w:val="en-US" w:eastAsia="zh-CN"/>
        </w:rPr>
        <w:t>2.服务期</w:t>
      </w:r>
      <w:r>
        <w:rPr>
          <w:rFonts w:hint="eastAsia" w:ascii="宋体" w:hAnsi="宋体" w:eastAsia="宋体" w:cs="宋体"/>
          <w:color w:val="auto"/>
          <w:spacing w:val="0"/>
          <w:position w:val="0"/>
          <w:sz w:val="24"/>
          <w:szCs w:val="24"/>
          <w:lang w:val="en-US" w:eastAsia="zh-Hans"/>
        </w:rPr>
        <w:t>：</w:t>
      </w:r>
      <w:r>
        <w:rPr>
          <w:rFonts w:hint="eastAsia" w:ascii="宋体" w:hAnsi="宋体" w:eastAsia="宋体" w:cs="宋体"/>
          <w:color w:val="auto"/>
          <w:spacing w:val="0"/>
          <w:position w:val="0"/>
          <w:sz w:val="24"/>
          <w:szCs w:val="24"/>
          <w:lang w:val="en-US" w:eastAsia="zh-CN"/>
        </w:rPr>
        <w:t>255日历天（其中革新大道校园段施工工期30日历天，友谊村闲置空地区域施工工期45日历天，绿化养护期180日历天。实际开工日期根据甲方要求执行）</w:t>
      </w:r>
    </w:p>
    <w:p w14:paraId="566A41D8">
      <w:pPr>
        <w:keepNext w:val="0"/>
        <w:keepLines w:val="0"/>
        <w:pageBreakBefore w:val="0"/>
        <w:widowControl/>
        <w:kinsoku w:val="0"/>
        <w:wordWrap w:val="0"/>
        <w:overflowPunct/>
        <w:topLinePunct w:val="0"/>
        <w:autoSpaceDE w:val="0"/>
        <w:autoSpaceDN w:val="0"/>
        <w:bidi w:val="0"/>
        <w:adjustRightInd w:val="0"/>
        <w:snapToGrid w:val="0"/>
        <w:spacing w:line="460" w:lineRule="exact"/>
        <w:ind w:left="0" w:right="0" w:firstLine="960" w:firstLineChars="400"/>
        <w:textAlignment w:val="baseline"/>
        <w:outlineLvl w:val="9"/>
        <w:rPr>
          <w:rFonts w:hint="eastAsia"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lang w:val="en-US" w:eastAsia="zh-CN"/>
        </w:rPr>
        <w:t>3.预算金额：92.08万元</w:t>
      </w:r>
    </w:p>
    <w:p w14:paraId="5C861B58">
      <w:pPr>
        <w:keepNext w:val="0"/>
        <w:keepLines w:val="0"/>
        <w:pageBreakBefore w:val="0"/>
        <w:widowControl/>
        <w:kinsoku w:val="0"/>
        <w:wordWrap w:val="0"/>
        <w:overflowPunct/>
        <w:topLinePunct w:val="0"/>
        <w:autoSpaceDE w:val="0"/>
        <w:autoSpaceDN w:val="0"/>
        <w:bidi w:val="0"/>
        <w:adjustRightInd w:val="0"/>
        <w:snapToGrid w:val="0"/>
        <w:spacing w:line="460" w:lineRule="exact"/>
        <w:ind w:left="0" w:right="0" w:firstLine="960" w:firstLineChars="400"/>
        <w:textAlignment w:val="baseline"/>
        <w:outlineLvl w:val="9"/>
        <w:rPr>
          <w:rFonts w:hint="eastAsia"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lang w:val="en-US" w:eastAsia="zh-CN"/>
        </w:rPr>
        <w:t>4.</w:t>
      </w:r>
      <w:r>
        <w:rPr>
          <w:rFonts w:hint="eastAsia" w:ascii="宋体" w:hAnsi="宋体" w:eastAsia="宋体" w:cs="宋体"/>
          <w:color w:val="auto"/>
          <w:spacing w:val="0"/>
          <w:position w:val="0"/>
          <w:sz w:val="24"/>
          <w:szCs w:val="24"/>
          <w:lang w:val="en-US" w:eastAsia="zh-Hans"/>
        </w:rPr>
        <w:t>付款方式：</w:t>
      </w:r>
      <w:r>
        <w:rPr>
          <w:rFonts w:hint="eastAsia" w:ascii="宋体" w:hAnsi="宋体" w:eastAsia="宋体" w:cs="宋体"/>
          <w:color w:val="auto"/>
          <w:spacing w:val="0"/>
          <w:position w:val="0"/>
          <w:sz w:val="24"/>
          <w:szCs w:val="24"/>
          <w:lang w:val="en-US" w:eastAsia="zh-CN"/>
        </w:rPr>
        <w:t>合同签订后支付合同签订金额的40%为预付款，竣工验收合格后支付至合同金额的97%，质保期结束后支付剩余部分。</w:t>
      </w:r>
    </w:p>
    <w:p w14:paraId="19824519">
      <w:pPr>
        <w:keepNext w:val="0"/>
        <w:keepLines w:val="0"/>
        <w:pageBreakBefore w:val="0"/>
        <w:widowControl/>
        <w:kinsoku w:val="0"/>
        <w:wordWrap w:val="0"/>
        <w:overflowPunct/>
        <w:topLinePunct w:val="0"/>
        <w:autoSpaceDE w:val="0"/>
        <w:autoSpaceDN w:val="0"/>
        <w:bidi w:val="0"/>
        <w:adjustRightInd w:val="0"/>
        <w:snapToGrid w:val="0"/>
        <w:spacing w:line="460" w:lineRule="exact"/>
        <w:ind w:right="0" w:firstLine="482" w:firstLineChars="200"/>
        <w:textAlignment w:val="baseline"/>
        <w:outlineLvl w:val="9"/>
        <w:rPr>
          <w:rFonts w:hint="eastAsia" w:ascii="宋体" w:hAnsi="宋体" w:eastAsia="宋体" w:cs="宋体"/>
          <w:b/>
          <w:bCs/>
          <w:color w:val="auto"/>
          <w:spacing w:val="0"/>
          <w:position w:val="0"/>
          <w:sz w:val="24"/>
          <w:szCs w:val="24"/>
          <w:lang w:val="en-US" w:eastAsia="zh-CN"/>
        </w:rPr>
      </w:pPr>
      <w:r>
        <w:rPr>
          <w:rFonts w:hint="eastAsia" w:ascii="宋体" w:hAnsi="宋体" w:eastAsia="宋体" w:cs="宋体"/>
          <w:b/>
          <w:bCs/>
          <w:color w:val="auto"/>
          <w:spacing w:val="0"/>
          <w:position w:val="0"/>
          <w:sz w:val="24"/>
          <w:szCs w:val="24"/>
          <w:lang w:val="en-US" w:eastAsia="zh-CN"/>
        </w:rPr>
        <w:t>二、具体采购要求</w:t>
      </w:r>
    </w:p>
    <w:p w14:paraId="16CBC789">
      <w:pPr>
        <w:pStyle w:val="11"/>
        <w:pBdr>
          <w:top w:val="none" w:color="auto" w:sz="0" w:space="1"/>
          <w:left w:val="none" w:color="auto" w:sz="0" w:space="4"/>
          <w:bottom w:val="none" w:color="auto" w:sz="0" w:space="1"/>
          <w:right w:val="none" w:color="auto" w:sz="0" w:space="4"/>
        </w:pBdr>
        <w:spacing w:line="700" w:lineRule="exact"/>
        <w:ind w:firstLine="482" w:firstLineChars="200"/>
        <w:rPr>
          <w:rFonts w:hint="eastAsia" w:ascii="宋体" w:hAnsi="宋体" w:eastAsia="宋体" w:cs="宋体"/>
          <w:b/>
          <w:bCs w:val="0"/>
          <w:color w:val="auto"/>
          <w:sz w:val="24"/>
          <w:szCs w:val="24"/>
          <w:highlight w:val="none"/>
          <w:lang w:val="en-US" w:eastAsia="zh-CN"/>
        </w:rPr>
      </w:pPr>
      <w:bookmarkStart w:id="4" w:name="_Toc32673"/>
      <w:bookmarkStart w:id="5" w:name="_Toc12942"/>
      <w:r>
        <w:rPr>
          <w:rFonts w:hint="eastAsia" w:ascii="宋体" w:hAnsi="宋体" w:eastAsia="宋体" w:cs="宋体"/>
          <w:b/>
          <w:bCs w:val="0"/>
          <w:color w:val="auto"/>
          <w:sz w:val="24"/>
          <w:szCs w:val="24"/>
          <w:highlight w:val="none"/>
          <w:lang w:val="en-US" w:eastAsia="zh-CN"/>
        </w:rPr>
        <w:t>（一）项目主要施工内容</w:t>
      </w:r>
      <w:bookmarkEnd w:id="4"/>
    </w:p>
    <w:p w14:paraId="675D0434">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本项目涵盖革新大道校园段交通与绿化综合提升，友谊村闲置空地休闲空间改造。具体包括以下内容：</w:t>
      </w:r>
    </w:p>
    <w:p w14:paraId="61DE0943">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一）原有设施拆除、垃圾及废渣清运</w:t>
      </w:r>
    </w:p>
    <w:p w14:paraId="10384533">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 绿化表层清理：全线清理原有杂草、旧草皮，统一装车外运至指定消纳场地。</w:t>
      </w:r>
    </w:p>
    <w:p w14:paraId="3F54C3B9">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 人行道拆除作业：拆除原有混凝土侧平缘石，所有破碎废渣、旧砖、废弃砼块集中堆放清运。</w:t>
      </w:r>
    </w:p>
    <w:p w14:paraId="20BD8612">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 拆除废渣全程管控：拆除施工同步配备装载、运输机械，作业轻凿轻拆，降低噪音；运输车辆密闭遮盖，杜绝渣土、碎料抛洒、滴漏；拆除完成后清扫路面散落废料，冲洗路面污渍，做到工完场清。</w:t>
      </w:r>
    </w:p>
    <w:p w14:paraId="613A8C4E">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二）路基及道路垫层施工</w:t>
      </w:r>
    </w:p>
    <w:p w14:paraId="5BF99BA0">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 路床整形碾压：对新建道路、人行道基底进行整平、碾压作业，严格按照设计及规范控制压实度，处理基底凹凸、松软区域。</w:t>
      </w:r>
    </w:p>
    <w:p w14:paraId="486F7BEA">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 级配碎石垫层铺设：分层摊铺、碾压平整，保证垫层厚度、密实度达标。</w:t>
      </w:r>
    </w:p>
    <w:p w14:paraId="5B9F93BB">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三）道路混凝土面层及人行道铺装施工</w:t>
      </w:r>
    </w:p>
    <w:p w14:paraId="5B4B9577">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 C15混凝土基层浇筑：人行道区域浇筑10cm厚C15素混凝土基层，规范振捣、找平，做好养护。</w:t>
      </w:r>
    </w:p>
    <w:p w14:paraId="6F6C7625">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 C30彩色拉丝混凝土路面施工：浇筑20cm厚C30彩色拉丝混凝土面层，包含混凝土浇筑、面层压膜上色、棉毡全覆盖养护全套工序，保障路面外观及强度标准。</w:t>
      </w:r>
    </w:p>
    <w:p w14:paraId="203421A5">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 盲道透水砖铺设：铺设6cm厚透水盲道砖，砖块排布整齐、缝隙均匀，边角切割规整。</w:t>
      </w:r>
    </w:p>
    <w:p w14:paraId="2A4835A3">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四）绿化配套工程施工</w:t>
      </w:r>
    </w:p>
    <w:p w14:paraId="727657CF">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八字植草砖铺装：绿化区域铺贴八字植草砖，铺设平整稳固，兼顾绿化透水与行人通行需求。</w:t>
      </w:r>
    </w:p>
    <w:p w14:paraId="68609B80">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五）道路附属构筑物及安防设施安装</w:t>
      </w:r>
    </w:p>
    <w:p w14:paraId="2F574DDA">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 花岗岩侧、平缘石安砌：花岗岩路缘石，采用M10水泥砂浆打底找平，安砌顺直、勾缝饱满。</w:t>
      </w:r>
    </w:p>
    <w:p w14:paraId="0C761620">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 围墙立面修补：对沿线破损围墙开展陶瓷锦砖贴砖修补，清理墙面破损基层、规范贴砖施工，修复破损外立面。</w:t>
      </w:r>
    </w:p>
    <w:p w14:paraId="641C7C03">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 道路隔离护栏安装：沿道路设置固定式隔离护栏，配套膨胀螺栓固定，安装牢固、排布整齐，完善道路分区隔离设施。</w:t>
      </w:r>
    </w:p>
    <w:p w14:paraId="2C585A87">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六）园林绿化工程施工</w:t>
      </w:r>
    </w:p>
    <w:p w14:paraId="03F66CBD">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 场地整理、种植土回填换填作业，完成场地堆坡造型、下沉绿地基础施工，规范处理土方开挖、场内转运、余土弃置工序。</w:t>
      </w:r>
    </w:p>
    <w:p w14:paraId="4C3A60FE">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 苗木栽植作业，包含精品乔木（日本晚樱、桂花、茶花）、造型灌木（红叶石楠、海桐、红花继木、金森女贞）栽种，配套树棍支撑、草绳缠杆等防护措施。</w:t>
      </w:r>
    </w:p>
    <w:p w14:paraId="77D8CECA">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 满铺马尼拉草皮，完成绿化区域杂草清理、场地平整。</w:t>
      </w:r>
    </w:p>
    <w:p w14:paraId="02757D43">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 苗木养护：提供六年养护服务，包含三个月存活养护、三个月保存养护，及时补植死亡苗木，定期浇灌、施肥、除虫、修剪，保持绿化景观完整美观。</w:t>
      </w:r>
    </w:p>
    <w:p w14:paraId="49162CF9">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 绿化区域日常清理，及时清运落叶、杂草、枯枝，保持绿地整洁。</w:t>
      </w:r>
    </w:p>
    <w:p w14:paraId="140E5712">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七）园路及硬质铺装施工</w:t>
      </w:r>
    </w:p>
    <w:p w14:paraId="45419998">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 园路基础施工：场地路基整平、碎石垫层、C15/C30混凝土基层浇筑作业。</w:t>
      </w:r>
    </w:p>
    <w:p w14:paraId="5DFC7539">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 各类面层铺设：花岗岩铺装、彩色拉丝混凝土路面、实木步道、青石台阶施工。</w:t>
      </w:r>
    </w:p>
    <w:p w14:paraId="2938B071">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 花岗岩路缘石安砌，道路土方开挖、回填、渣土清运同步实施。</w:t>
      </w:r>
    </w:p>
    <w:p w14:paraId="43F66600">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 完工后清理路面散落砂浆、泥土，冲洗路面污渍，做到工完场清。</w:t>
      </w:r>
    </w:p>
    <w:p w14:paraId="33B5F199">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八）围墙、景墙工程施工</w:t>
      </w:r>
    </w:p>
    <w:p w14:paraId="765805D2">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 场地土方开挖、回填、余方外运，垫层、混凝土基础浇筑，钢筋绑扎、模板支护施工。</w:t>
      </w:r>
    </w:p>
    <w:p w14:paraId="21F915A0">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 墙体砌筑、内外墙面抹灰处理，配套构造柱、圈梁施工。</w:t>
      </w:r>
    </w:p>
    <w:p w14:paraId="58A85E5E">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 景墙基底、主体结构施工，完工清理建筑垃圾并转运至指定堆放点。</w:t>
      </w:r>
    </w:p>
    <w:p w14:paraId="0EF06F0A">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九）墙面彩绘与广告标识施工</w:t>
      </w:r>
    </w:p>
    <w:p w14:paraId="6B687BDB">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 墙面基层打磨、腻子批刮、底漆、面漆喷涂施工。</w:t>
      </w:r>
    </w:p>
    <w:p w14:paraId="4D94F762">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 彩绘绘制，严格按照甲方选定样式施工。</w:t>
      </w:r>
    </w:p>
    <w:p w14:paraId="40723339">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 园区LOGO标识制作安装：预埋基础、钢板预埋件、不锈钢包边、透光云石、氟碳漆喷涂、管线预埋整套作业。</w:t>
      </w:r>
    </w:p>
    <w:p w14:paraId="237DDE4A">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十）景观构筑物施工（六角亭、坐凳、树池坐凳）</w:t>
      </w:r>
    </w:p>
    <w:p w14:paraId="6D180AB8">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 六角亭全套施工：土方、碎石及混凝土垫层、钢筋砼基础、青石板地面、青石踏步、红杉木立柱、木梁、斗拱、倒挂楣子、小青瓦屋面制作安装。</w:t>
      </w:r>
    </w:p>
    <w:p w14:paraId="55E340EF">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 花岗岩成品坐凳、树池坐凳基础浇筑、防腐木面板铺装施工。</w:t>
      </w:r>
    </w:p>
    <w:p w14:paraId="36E64047">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 现场建筑垃圾统一收集转运，施工设置围挡、警示标识，做到无扬尘、不扰民。</w:t>
      </w:r>
    </w:p>
    <w:p w14:paraId="5E0B4351">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十一）景观小品及便民设施安装</w:t>
      </w:r>
    </w:p>
    <w:p w14:paraId="57113CD1">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 公共垃圾箱采购、就位安装。</w:t>
      </w:r>
    </w:p>
    <w:p w14:paraId="57D5412E">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 多组健身器材（跷跷板、漫步机、康复器械等）、花岗岩石桌石凳安装就位，设备固定牢固。</w:t>
      </w:r>
    </w:p>
    <w:p w14:paraId="363ABDAB">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 小品区域场地清理，规整周边绿化、铺装。</w:t>
      </w:r>
    </w:p>
    <w:p w14:paraId="22A0A237">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十二）照明设施施工</w:t>
      </w:r>
    </w:p>
    <w:p w14:paraId="53ABCBF4">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 太阳能路灯基础开挖、混凝土基座浇筑、管线预埋、灯具立杆接线安装。</w:t>
      </w:r>
    </w:p>
    <w:p w14:paraId="729DCE4D">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 灯具调试，清理照明施工产生渣土、混凝土废料。</w:t>
      </w:r>
    </w:p>
    <w:p w14:paraId="3195EF49">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十三）现场围挡、文明施工保障</w:t>
      </w:r>
    </w:p>
    <w:p w14:paraId="0F8CA8D6">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 施工区域及时搭建围挡，围挡保持干净无破损。</w:t>
      </w:r>
    </w:p>
    <w:p w14:paraId="63CFAA94">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 施工现场设置警示标牌、施工公示牌，安排现场值守人员。</w:t>
      </w:r>
    </w:p>
    <w:p w14:paraId="19ACCB6A">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通行区域；施工废料当日清运。</w:t>
      </w:r>
    </w:p>
    <w:p w14:paraId="6AA8D925">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firstLine="482" w:firstLineChars="2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十四）现场应急与配合工作</w:t>
      </w:r>
    </w:p>
    <w:p w14:paraId="219C17B8">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 采购人临时下达的零星改造、场地清理、杂物清运等突发任务，做到随叫随到，快速调配人员、机械进场作业。</w:t>
      </w:r>
    </w:p>
    <w:p w14:paraId="24274EE4">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 拆除、施工产生建筑垃圾统一运送至采购人指定点位，清运产生相关费用由成交单位自行承担。</w:t>
      </w:r>
    </w:p>
    <w:p w14:paraId="1D2215F8">
      <w:pPr>
        <w:pStyle w:val="11"/>
        <w:keepNext w:val="0"/>
        <w:keepLines w:val="0"/>
        <w:pageBreakBefore w:val="0"/>
        <w:widowControl/>
        <w:pBdr>
          <w:top w:val="none" w:color="auto" w:sz="0" w:space="1"/>
          <w:left w:val="none" w:color="auto" w:sz="0" w:space="4"/>
          <w:bottom w:val="none" w:color="auto" w:sz="0" w:space="1"/>
          <w:right w:val="none" w:color="auto" w:sz="0" w:space="4"/>
        </w:pBdr>
        <w:kinsoku w:val="0"/>
        <w:wordWrap/>
        <w:overflowPunct/>
        <w:topLinePunct w:val="0"/>
        <w:autoSpaceDE w:val="0"/>
        <w:autoSpaceDN w:val="0"/>
        <w:bidi w:val="0"/>
        <w:adjustRightInd w:val="0"/>
        <w:snapToGrid w:val="0"/>
        <w:spacing w:line="500" w:lineRule="exact"/>
        <w:ind w:left="561" w:firstLine="369" w:firstLineChars="154"/>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 施工全过程落实安全管理，若因围挡缺失、防护不到位引发人员、财产损失，全部责任及费用由成交单位承担。</w:t>
      </w:r>
    </w:p>
    <w:p w14:paraId="4A9F2121">
      <w:pPr>
        <w:pStyle w:val="7"/>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40" w:lineRule="exact"/>
        <w:ind w:left="0" w:right="0" w:firstLine="480" w:firstLineChars="200"/>
        <w:jc w:val="left"/>
        <w:textAlignment w:val="auto"/>
        <w:rPr>
          <w:rFonts w:hint="eastAsia" w:ascii="宋体" w:hAnsi="宋体" w:eastAsia="宋体" w:cs="宋体"/>
          <w:i w:val="0"/>
          <w:caps w:val="0"/>
          <w:color w:val="auto"/>
          <w:spacing w:val="0"/>
          <w:sz w:val="24"/>
          <w:szCs w:val="24"/>
          <w:highlight w:val="none"/>
          <w:shd w:val="clear" w:fill="FFFFFF"/>
        </w:rPr>
      </w:pPr>
      <w:r>
        <w:rPr>
          <w:rFonts w:hint="eastAsia" w:ascii="宋体" w:hAnsi="宋体" w:eastAsia="宋体" w:cs="宋体"/>
          <w:bCs/>
          <w:color w:val="auto"/>
          <w:sz w:val="24"/>
          <w:szCs w:val="24"/>
          <w:highlight w:val="none"/>
          <w:lang w:val="en-US" w:eastAsia="zh-CN"/>
        </w:rPr>
        <w:t>4. 全部工程完工后，全域清理、冲洗场地，完成消杀保洁，交付整洁完好的休闲空间。</w:t>
      </w:r>
    </w:p>
    <w:p w14:paraId="0B990D17">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460" w:lineRule="exact"/>
        <w:ind w:right="0" w:rightChars="0" w:firstLine="241" w:firstLineChars="100"/>
        <w:textAlignment w:val="baseline"/>
        <w:outlineLvl w:val="9"/>
        <w:rPr>
          <w:rFonts w:hint="eastAsia" w:ascii="宋体" w:hAnsi="宋体" w:eastAsia="宋体" w:cs="宋体"/>
          <w:b/>
          <w:bCs/>
          <w:color w:val="auto"/>
          <w:spacing w:val="0"/>
          <w:position w:val="0"/>
          <w:sz w:val="24"/>
          <w:szCs w:val="24"/>
          <w:highlight w:val="none"/>
          <w:lang w:val="en-US" w:eastAsia="zh-CN"/>
        </w:rPr>
      </w:pPr>
      <w:r>
        <w:rPr>
          <w:rFonts w:hint="eastAsia" w:ascii="宋体" w:hAnsi="宋体" w:eastAsia="宋体" w:cs="宋体"/>
          <w:b/>
          <w:bCs/>
          <w:color w:val="auto"/>
          <w:spacing w:val="0"/>
          <w:position w:val="0"/>
          <w:sz w:val="24"/>
          <w:szCs w:val="24"/>
          <w:highlight w:val="none"/>
          <w:lang w:val="en-US" w:eastAsia="zh-CN"/>
        </w:rPr>
        <w:t>（二）施工要求：</w:t>
      </w:r>
    </w:p>
    <w:p w14:paraId="11B1F699">
      <w:pPr>
        <w:pStyle w:val="6"/>
        <w:keepNext w:val="0"/>
        <w:keepLines w:val="0"/>
        <w:widowControl/>
        <w:numPr>
          <w:ilvl w:val="0"/>
          <w:numId w:val="0"/>
        </w:numPr>
        <w:suppressLineNumbers w:val="0"/>
        <w:ind w:leftChars="175" w:firstLine="482" w:firstLineChars="200"/>
        <w:outlineLvl w:val="1"/>
        <w:rPr>
          <w:rFonts w:hint="eastAsia" w:ascii="宋体" w:hAnsi="宋体" w:eastAsia="宋体" w:cs="宋体"/>
          <w:b/>
          <w:bCs/>
          <w:color w:val="auto"/>
          <w:kern w:val="2"/>
          <w:sz w:val="24"/>
          <w:szCs w:val="24"/>
          <w:highlight w:val="none"/>
          <w:lang w:val="en-US" w:eastAsia="zh-CN" w:bidi="ar-SA"/>
        </w:rPr>
      </w:pPr>
    </w:p>
    <w:p w14:paraId="56F211EF">
      <w:pPr>
        <w:pStyle w:val="6"/>
        <w:keepNext w:val="0"/>
        <w:keepLines w:val="0"/>
        <w:widowControl/>
        <w:numPr>
          <w:ilvl w:val="0"/>
          <w:numId w:val="0"/>
        </w:numPr>
        <w:suppressLineNumbers w:val="0"/>
        <w:ind w:firstLine="482" w:firstLineChars="200"/>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一）技</w:t>
      </w:r>
      <w:r>
        <w:rPr>
          <w:rFonts w:hint="eastAsia" w:ascii="宋体" w:hAnsi="宋体" w:eastAsia="宋体" w:cs="宋体"/>
          <w:b/>
          <w:bCs/>
          <w:color w:val="auto"/>
          <w:sz w:val="24"/>
          <w:szCs w:val="24"/>
          <w:highlight w:val="none"/>
        </w:rPr>
        <w:t>术要求</w:t>
      </w:r>
    </w:p>
    <w:p w14:paraId="45FECCF1">
      <w:pPr>
        <w:pStyle w:val="6"/>
        <w:keepNext w:val="0"/>
        <w:keepLines w:val="0"/>
        <w:widowControl/>
        <w:numPr>
          <w:ilvl w:val="0"/>
          <w:numId w:val="0"/>
        </w:numPr>
        <w:suppressLineNumbers w:val="0"/>
        <w:ind w:left="0" w:leftChars="0" w:firstLine="422" w:firstLineChars="175"/>
        <w:outlineLvl w:val="1"/>
        <w:rPr>
          <w:rFonts w:hint="eastAsia" w:ascii="宋体" w:hAnsi="宋体" w:eastAsia="宋体" w:cs="宋体"/>
          <w:b/>
          <w:bCs/>
          <w:color w:val="auto"/>
          <w:sz w:val="24"/>
          <w:szCs w:val="24"/>
          <w:highlight w:val="none"/>
        </w:rPr>
      </w:pPr>
    </w:p>
    <w:p w14:paraId="25A5DF45">
      <w:pPr>
        <w:suppressAutoHyphens/>
        <w:snapToGrid w:val="0"/>
        <w:spacing w:after="0" w:line="360" w:lineRule="auto"/>
        <w:ind w:left="0" w:leftChars="0" w:firstLine="422" w:firstLineChars="175"/>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rPr>
        <w:t xml:space="preserve">1、施工内容及要求 </w:t>
      </w:r>
    </w:p>
    <w:p w14:paraId="1DFA52DA">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（1）施工范围：工程量清单的所有内容。 </w:t>
      </w:r>
    </w:p>
    <w:p w14:paraId="011AB24F">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（2）供应商负责办理施工手续。 </w:t>
      </w:r>
    </w:p>
    <w:p w14:paraId="34419174">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（3）供应商需做好施工期间的安全生产保障措施，并为施工人员购买工伤意外保险。 </w:t>
      </w:r>
    </w:p>
    <w:p w14:paraId="376CF4D7">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（4）工程量清单及图纸详见附件。 </w:t>
      </w:r>
    </w:p>
    <w:p w14:paraId="66694AE1">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（5）供应商须配备充足的人力、物力，做好施工方案、施工组织设计、劳动力安排、进度计划、质量保障措施、安全生产保障措施等，保障该工程顺利完工。 </w:t>
      </w:r>
    </w:p>
    <w:p w14:paraId="65684455">
      <w:pPr>
        <w:suppressAutoHyphens/>
        <w:snapToGrid w:val="0"/>
        <w:spacing w:after="0" w:line="360" w:lineRule="auto"/>
        <w:ind w:left="0" w:leftChars="0" w:firstLine="422" w:firstLineChars="175"/>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rPr>
        <w:t xml:space="preserve">2、执行标准 </w:t>
      </w:r>
    </w:p>
    <w:p w14:paraId="28A5D4D9">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（1）按采购文件范围要求执行； </w:t>
      </w:r>
    </w:p>
    <w:p w14:paraId="65F4A262">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（2）按现行的市政工程设计标准和规范、规程执行； </w:t>
      </w:r>
    </w:p>
    <w:p w14:paraId="638269F1">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（3）按现行的市政工程施工操作规范及验收规范执行； </w:t>
      </w:r>
    </w:p>
    <w:p w14:paraId="5346C40C">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（4）按现行的市政工程施工质量验收统一标准执行； </w:t>
      </w:r>
    </w:p>
    <w:p w14:paraId="59459E25">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（5）按省、市建设行政主管部门的相关文件执行。 </w:t>
      </w:r>
    </w:p>
    <w:p w14:paraId="73304F68">
      <w:pPr>
        <w:suppressAutoHyphens/>
        <w:snapToGrid w:val="0"/>
        <w:spacing w:after="0" w:line="360" w:lineRule="auto"/>
        <w:ind w:left="0" w:leftChars="0" w:firstLine="422" w:firstLineChars="175"/>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rPr>
        <w:t xml:space="preserve">3、竣工验收 </w:t>
      </w:r>
    </w:p>
    <w:p w14:paraId="1E02996D">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（1）施工质量应达到磋商文件、响应文件及合同书约定的质量标准，施工验收及质量标准的评定以国家或行业的质量检验评定标准为依据； </w:t>
      </w:r>
    </w:p>
    <w:p w14:paraId="5072D27F">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（2）验收不合格的，成交供应商需进行整改，整改不到位的采购人有权拒绝对成交供应商项目验收，所造成的一切后果由成交供应商自行承担。 </w:t>
      </w:r>
    </w:p>
    <w:p w14:paraId="04748534">
      <w:pPr>
        <w:suppressAutoHyphens/>
        <w:snapToGrid w:val="0"/>
        <w:spacing w:after="0" w:line="360" w:lineRule="auto"/>
        <w:ind w:left="0" w:leftChars="0" w:firstLine="422" w:firstLineChars="175"/>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rPr>
        <w:t xml:space="preserve">4、其他要求 </w:t>
      </w:r>
    </w:p>
    <w:p w14:paraId="49794499">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（1）响应文件中应提供相关的标准、规范； </w:t>
      </w:r>
    </w:p>
    <w:p w14:paraId="72969DF7">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（2）施工工期管理目标：合格； </w:t>
      </w:r>
    </w:p>
    <w:p w14:paraId="5E06498B">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rPr>
        <w:t>（3）施工质量管理目标：合格；</w:t>
      </w:r>
    </w:p>
    <w:p w14:paraId="7476C297">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rPr>
        <w:t xml:space="preserve">（4）安全生产管理目标：合格； </w:t>
      </w:r>
    </w:p>
    <w:p w14:paraId="1810B777">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rPr>
        <w:t>（5）环境保护与安全文明施工管理目标：合格；</w:t>
      </w:r>
    </w:p>
    <w:p w14:paraId="001C66AA">
      <w:pPr>
        <w:suppressAutoHyphens/>
        <w:snapToGrid w:val="0"/>
        <w:spacing w:after="0" w:line="360" w:lineRule="auto"/>
        <w:ind w:left="0" w:leftChars="0" w:firstLine="420" w:firstLineChars="175"/>
        <w:rPr>
          <w:rFonts w:hint="eastAsia" w:ascii="宋体" w:hAnsi="宋体" w:eastAsia="宋体" w:cs="宋体"/>
          <w:b/>
          <w:bCs/>
          <w:color w:val="auto"/>
          <w:sz w:val="24"/>
          <w:szCs w:val="24"/>
          <w:highlight w:val="none"/>
        </w:rPr>
      </w:pPr>
      <w:r>
        <w:rPr>
          <w:rFonts w:hint="eastAsia" w:ascii="宋体" w:hAnsi="宋体" w:eastAsia="宋体" w:cs="宋体"/>
          <w:bCs/>
          <w:color w:val="auto"/>
          <w:kern w:val="2"/>
          <w:sz w:val="24"/>
          <w:szCs w:val="24"/>
          <w:highlight w:val="none"/>
          <w:lang w:val="en-US" w:eastAsia="zh-CN"/>
        </w:rPr>
        <w:t>（6）本采购文件中，所有有关质量要求、技术要标准、规范的表述，若低于国家标准，均以相关国家标准为准，按国家标准执行，若无相应国家标准，则依序按部颁标准、行业标准执行。</w:t>
      </w:r>
    </w:p>
    <w:p w14:paraId="6D06A002">
      <w:pPr>
        <w:pStyle w:val="6"/>
        <w:keepNext w:val="0"/>
        <w:keepLines w:val="0"/>
        <w:widowControl/>
        <w:numPr>
          <w:ilvl w:val="0"/>
          <w:numId w:val="0"/>
        </w:numPr>
        <w:suppressLineNumbers w:val="0"/>
        <w:spacing w:after="0" w:line="360" w:lineRule="auto"/>
        <w:ind w:leftChars="175"/>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二）质量要求</w:t>
      </w:r>
    </w:p>
    <w:p w14:paraId="0B16CCA0">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1、施工质量要求：合格； </w:t>
      </w:r>
    </w:p>
    <w:p w14:paraId="259E21AA">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2、施工建设标准：依据采购文件的要求精心组织施工，本工程项目的施工、材料、设备等，须达到国家和省、市或行业的现行工程建设标准、规范的要求； </w:t>
      </w:r>
    </w:p>
    <w:p w14:paraId="471DFD9A">
      <w:pPr>
        <w:suppressAutoHyphens/>
        <w:snapToGrid w:val="0"/>
        <w:spacing w:after="0" w:line="360" w:lineRule="auto"/>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bCs/>
          <w:color w:val="auto"/>
          <w:kern w:val="2"/>
          <w:sz w:val="24"/>
          <w:szCs w:val="24"/>
          <w:highlight w:val="none"/>
          <w:lang w:val="en-US" w:eastAsia="zh-CN"/>
        </w:rPr>
        <w:t xml:space="preserve">3、施工所用材料，必须符合国家节能环保要求； </w:t>
      </w:r>
    </w:p>
    <w:p w14:paraId="27DB32AC">
      <w:pPr>
        <w:pStyle w:val="6"/>
        <w:keepNext w:val="0"/>
        <w:keepLines w:val="0"/>
        <w:widowControl/>
        <w:numPr>
          <w:ilvl w:val="0"/>
          <w:numId w:val="0"/>
        </w:numPr>
        <w:suppressLineNumbers w:val="0"/>
        <w:spacing w:after="0" w:line="360" w:lineRule="auto"/>
        <w:ind w:leftChars="175"/>
        <w:outlineLvl w:val="1"/>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商务要求</w:t>
      </w:r>
    </w:p>
    <w:p w14:paraId="2AC25E79">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1、采购预算：92.08192万元。</w:t>
      </w:r>
    </w:p>
    <w:p w14:paraId="63FE1CBD">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2、最高限价：92.08万元，供应商报价超过最高限价的作为无效投标处理。 </w:t>
      </w:r>
    </w:p>
    <w:p w14:paraId="1A867869">
      <w:pPr>
        <w:keepNext w:val="0"/>
        <w:keepLines w:val="0"/>
        <w:pageBreakBefore w:val="0"/>
        <w:widowControl/>
        <w:kinsoku w:val="0"/>
        <w:wordWrap w:val="0"/>
        <w:overflowPunct/>
        <w:topLinePunct w:val="0"/>
        <w:autoSpaceDE w:val="0"/>
        <w:autoSpaceDN w:val="0"/>
        <w:bidi w:val="0"/>
        <w:adjustRightInd w:val="0"/>
        <w:snapToGrid w:val="0"/>
        <w:spacing w:line="460" w:lineRule="exact"/>
        <w:ind w:right="0" w:firstLine="480" w:firstLineChars="200"/>
        <w:textAlignment w:val="baseline"/>
        <w:outlineLvl w:val="9"/>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3、施工工期：</w:t>
      </w:r>
      <w:r>
        <w:rPr>
          <w:rFonts w:hint="eastAsia" w:ascii="宋体" w:hAnsi="宋体" w:eastAsia="宋体" w:cs="宋体"/>
          <w:color w:val="auto"/>
          <w:spacing w:val="0"/>
          <w:position w:val="0"/>
          <w:sz w:val="24"/>
          <w:szCs w:val="24"/>
          <w:highlight w:val="none"/>
          <w:lang w:val="en-US" w:eastAsia="zh-CN"/>
        </w:rPr>
        <w:t>255日历天</w:t>
      </w:r>
      <w:r>
        <w:rPr>
          <w:rFonts w:hint="eastAsia" w:ascii="宋体" w:hAnsi="宋体" w:eastAsia="宋体" w:cs="宋体"/>
          <w:color w:val="auto"/>
          <w:spacing w:val="0"/>
          <w:position w:val="0"/>
          <w:sz w:val="24"/>
          <w:szCs w:val="24"/>
          <w:highlight w:val="none"/>
          <w:lang w:val="en-US" w:eastAsia="zh-Hans"/>
        </w:rPr>
        <w:t>（</w:t>
      </w:r>
      <w:r>
        <w:rPr>
          <w:rFonts w:hint="eastAsia" w:ascii="宋体" w:hAnsi="宋体" w:eastAsia="宋体" w:cs="宋体"/>
          <w:color w:val="auto"/>
          <w:spacing w:val="0"/>
          <w:position w:val="0"/>
          <w:sz w:val="24"/>
          <w:szCs w:val="24"/>
          <w:highlight w:val="none"/>
          <w:lang w:val="en-US" w:eastAsia="zh-CN"/>
        </w:rPr>
        <w:t>其中革新大道校园段施工工期30日历天，友谊村闲置空地区域施工工期45日历天，绿化养护期180日历天。</w:t>
      </w:r>
      <w:r>
        <w:rPr>
          <w:rFonts w:hint="eastAsia" w:ascii="宋体" w:hAnsi="宋体" w:eastAsia="宋体" w:cs="宋体"/>
          <w:color w:val="auto"/>
          <w:spacing w:val="0"/>
          <w:position w:val="0"/>
          <w:sz w:val="24"/>
          <w:szCs w:val="24"/>
          <w:highlight w:val="none"/>
          <w:lang w:val="en-US" w:eastAsia="zh-Hans"/>
        </w:rPr>
        <w:t>实际</w:t>
      </w:r>
      <w:r>
        <w:rPr>
          <w:rFonts w:hint="eastAsia" w:ascii="宋体" w:hAnsi="宋体" w:eastAsia="宋体" w:cs="宋体"/>
          <w:color w:val="auto"/>
          <w:spacing w:val="0"/>
          <w:position w:val="0"/>
          <w:sz w:val="24"/>
          <w:szCs w:val="24"/>
          <w:highlight w:val="none"/>
          <w:lang w:val="en-US" w:eastAsia="zh-CN"/>
        </w:rPr>
        <w:t>开工日期</w:t>
      </w:r>
      <w:r>
        <w:rPr>
          <w:rFonts w:hint="eastAsia" w:ascii="宋体" w:hAnsi="宋体" w:eastAsia="宋体" w:cs="宋体"/>
          <w:color w:val="auto"/>
          <w:spacing w:val="0"/>
          <w:position w:val="0"/>
          <w:sz w:val="24"/>
          <w:szCs w:val="24"/>
          <w:highlight w:val="none"/>
          <w:lang w:val="en-US" w:eastAsia="zh-Hans"/>
        </w:rPr>
        <w:t>根据甲方要求执行）</w:t>
      </w:r>
      <w:r>
        <w:rPr>
          <w:rFonts w:hint="eastAsia" w:ascii="宋体" w:hAnsi="宋体" w:eastAsia="宋体" w:cs="宋体"/>
          <w:color w:val="auto"/>
          <w:spacing w:val="0"/>
          <w:position w:val="0"/>
          <w:sz w:val="24"/>
          <w:szCs w:val="24"/>
          <w:highlight w:val="none"/>
          <w:lang w:val="en-US" w:eastAsia="zh-CN"/>
        </w:rPr>
        <w:t>。</w:t>
      </w:r>
    </w:p>
    <w:p w14:paraId="23613C75">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4、资金筹集：财政资金</w:t>
      </w:r>
    </w:p>
    <w:p w14:paraId="56A8BB04">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5、质保期：按国家标准执行。</w:t>
      </w:r>
    </w:p>
    <w:p w14:paraId="53B33D9D">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6、付款方式：合同签订后支付合同签订金额的40%为预付款，项目竣工验收合格后支付至合同金额的97%，质保期结束后支付剩余部分。</w:t>
      </w:r>
    </w:p>
    <w:p w14:paraId="154B1676">
      <w:pPr>
        <w:keepNext w:val="0"/>
        <w:keepLines w:val="0"/>
        <w:pageBreakBefore w:val="0"/>
        <w:widowControl/>
        <w:kinsoku w:val="0"/>
        <w:wordWrap w:val="0"/>
        <w:overflowPunct/>
        <w:topLinePunct w:val="0"/>
        <w:autoSpaceDE w:val="0"/>
        <w:autoSpaceDN w:val="0"/>
        <w:bidi w:val="0"/>
        <w:adjustRightInd w:val="0"/>
        <w:snapToGrid w:val="0"/>
        <w:spacing w:line="460" w:lineRule="exact"/>
        <w:ind w:right="0" w:firstLine="480" w:firstLineChars="200"/>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7、购买方式：按国家规定的政府招投标流程，武汉市东西湖区人民政府长青街道办事处委托专业采购代理公司，择优评选出施工单位进行购买。</w:t>
      </w:r>
    </w:p>
    <w:p w14:paraId="20DEA6FA">
      <w:pPr>
        <w:pStyle w:val="4"/>
        <w:rPr>
          <w:rFonts w:hint="eastAsia" w:ascii="宋体" w:hAnsi="宋体" w:eastAsia="宋体" w:cs="宋体"/>
          <w:color w:val="auto"/>
          <w:sz w:val="24"/>
          <w:szCs w:val="24"/>
          <w:highlight w:val="none"/>
          <w:lang w:val="en-US" w:eastAsia="zh-CN"/>
        </w:rPr>
      </w:pPr>
    </w:p>
    <w:p w14:paraId="24E261EB">
      <w:pPr>
        <w:pStyle w:val="6"/>
        <w:keepNext w:val="0"/>
        <w:keepLines w:val="0"/>
        <w:widowControl/>
        <w:numPr>
          <w:ilvl w:val="0"/>
          <w:numId w:val="0"/>
        </w:numPr>
        <w:suppressLineNumbers w:val="0"/>
        <w:spacing w:after="0" w:line="360" w:lineRule="auto"/>
        <w:ind w:leftChars="175"/>
        <w:outlineLvl w:val="1"/>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其他要求</w:t>
      </w:r>
    </w:p>
    <w:p w14:paraId="6DAB44FD">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1、施工清单中以项为计量单位的项目，报价应包含为完成该项目而必须实施的全部相关施工内容，由供应商综合考虑、自行报价。 </w:t>
      </w:r>
    </w:p>
    <w:p w14:paraId="6AEE7CA1">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 xml:space="preserve">2、安全施工要求：按行业安全施工规范，达到安全施工要求。 </w:t>
      </w:r>
    </w:p>
    <w:p w14:paraId="7BCAF18A">
      <w:pPr>
        <w:suppressAutoHyphens/>
        <w:snapToGrid w:val="0"/>
        <w:spacing w:after="0" w:line="360" w:lineRule="auto"/>
        <w:ind w:left="0" w:leftChars="0" w:firstLine="420" w:firstLineChars="175"/>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3、采购文件描述未尽内容，由双方在签订合同时补充完善，但不得改变采购文件中已确定的事项和成交供应商响应文件中的实质性内容。</w:t>
      </w:r>
    </w:p>
    <w:p w14:paraId="7919AA1C">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460" w:lineRule="exact"/>
        <w:ind w:right="0" w:rightChars="0" w:firstLine="480" w:firstLineChars="200"/>
        <w:textAlignment w:val="baseline"/>
        <w:outlineLvl w:val="9"/>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4、根据《关于扩大政府采购支持绿色建材促进建筑品质提升政策实施范围的通知》（财库〔2022〕35号）的要求，本项目涉及的产品、材料及设备除应当符合《绿色建筑和绿色建材政府采购需求标准》技术指标外，还应当满足相应的法律法规和强制性标准要求。预拌混凝土、预拌砂浆和加气混凝土砌块选用取得绿色建材标识的产品。产品性能指标应同时符合使用地的地方标准要求，不得使用《绿色建筑和绿色建材政府采购需求标准》附录A中规定的禁止使用的产品。</w:t>
      </w:r>
    </w:p>
    <w:bookmarkEnd w:id="5"/>
    <w:p w14:paraId="7BE52496">
      <w:pPr>
        <w:spacing w:before="289" w:line="504" w:lineRule="auto"/>
        <w:ind w:right="827"/>
        <w:rPr>
          <w:rFonts w:hint="eastAsia" w:ascii="宋体" w:hAnsi="宋体" w:eastAsia="宋体" w:cs="宋体"/>
          <w:b/>
          <w:bCs/>
          <w:color w:val="auto"/>
          <w:spacing w:val="-7"/>
          <w:sz w:val="24"/>
          <w:szCs w:val="24"/>
          <w:highlight w:val="none"/>
        </w:rPr>
      </w:pPr>
      <w:r>
        <w:rPr>
          <w:rFonts w:hint="eastAsia" w:ascii="宋体" w:hAnsi="宋体" w:eastAsia="宋体" w:cs="宋体"/>
          <w:b/>
          <w:bCs/>
          <w:color w:val="auto"/>
          <w:spacing w:val="-7"/>
          <w:sz w:val="24"/>
          <w:szCs w:val="24"/>
          <w:highlight w:val="none"/>
        </w:rPr>
        <w:t>附</w:t>
      </w:r>
      <w:r>
        <w:rPr>
          <w:rFonts w:hint="eastAsia" w:ascii="宋体" w:hAnsi="宋体" w:eastAsia="宋体" w:cs="宋体"/>
          <w:b/>
          <w:bCs/>
          <w:color w:val="auto"/>
          <w:spacing w:val="-7"/>
          <w:sz w:val="24"/>
          <w:szCs w:val="24"/>
          <w:highlight w:val="none"/>
          <w:lang w:eastAsia="zh-CN"/>
        </w:rPr>
        <w:t>：</w:t>
      </w:r>
      <w:r>
        <w:rPr>
          <w:rFonts w:hint="eastAsia" w:ascii="宋体" w:hAnsi="宋体" w:eastAsia="宋体" w:cs="宋体"/>
          <w:b/>
          <w:bCs/>
          <w:color w:val="auto"/>
          <w:spacing w:val="-7"/>
          <w:sz w:val="24"/>
          <w:szCs w:val="24"/>
          <w:highlight w:val="none"/>
          <w:lang w:val="en-US" w:eastAsia="zh-CN"/>
        </w:rPr>
        <w:t>采购预算明细</w:t>
      </w:r>
      <w:r>
        <w:rPr>
          <w:rFonts w:hint="eastAsia" w:ascii="宋体" w:hAnsi="宋体" w:eastAsia="宋体" w:cs="宋体"/>
          <w:b/>
          <w:bCs/>
          <w:color w:val="auto"/>
          <w:spacing w:val="-7"/>
          <w:sz w:val="24"/>
          <w:szCs w:val="24"/>
          <w:highlight w:val="none"/>
        </w:rPr>
        <w:t>：</w:t>
      </w:r>
    </w:p>
    <w:tbl>
      <w:tblPr>
        <w:tblStyle w:val="12"/>
        <w:tblW w:w="501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867"/>
        <w:gridCol w:w="5898"/>
        <w:gridCol w:w="2260"/>
      </w:tblGrid>
      <w:tr w14:paraId="637B6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9" w:hRule="atLeast"/>
        </w:trPr>
        <w:tc>
          <w:tcPr>
            <w:tcW w:w="480" w:type="pct"/>
            <w:tcBorders>
              <w:top w:val="single" w:color="000000" w:sz="12" w:space="0"/>
              <w:left w:val="single" w:color="000000" w:sz="12" w:space="0"/>
            </w:tcBorders>
            <w:vAlign w:val="top"/>
          </w:tcPr>
          <w:p w14:paraId="20CA933B">
            <w:pPr>
              <w:spacing w:before="162" w:line="189" w:lineRule="auto"/>
              <w:ind w:left="404"/>
              <w:rPr>
                <w:rFonts w:ascii="微软雅黑" w:hAnsi="微软雅黑" w:eastAsia="微软雅黑" w:cs="微软雅黑"/>
                <w:sz w:val="19"/>
                <w:szCs w:val="19"/>
              </w:rPr>
            </w:pPr>
            <w:r>
              <w:rPr>
                <w:rFonts w:ascii="微软雅黑" w:hAnsi="微软雅黑" w:eastAsia="微软雅黑" w:cs="微软雅黑"/>
                <w:spacing w:val="1"/>
                <w:sz w:val="19"/>
                <w:szCs w:val="19"/>
              </w:rPr>
              <w:t>序号</w:t>
            </w:r>
          </w:p>
        </w:tc>
        <w:tc>
          <w:tcPr>
            <w:tcW w:w="3267" w:type="pct"/>
            <w:tcBorders>
              <w:top w:val="single" w:color="000000" w:sz="12" w:space="0"/>
            </w:tcBorders>
            <w:vAlign w:val="top"/>
          </w:tcPr>
          <w:p w14:paraId="6EE27480">
            <w:pPr>
              <w:spacing w:before="161" w:line="188" w:lineRule="auto"/>
              <w:ind w:left="3119"/>
              <w:rPr>
                <w:rFonts w:ascii="微软雅黑" w:hAnsi="微软雅黑" w:eastAsia="微软雅黑" w:cs="微软雅黑"/>
                <w:sz w:val="19"/>
                <w:szCs w:val="19"/>
              </w:rPr>
            </w:pPr>
            <w:r>
              <w:rPr>
                <w:rFonts w:ascii="微软雅黑" w:hAnsi="微软雅黑" w:eastAsia="微软雅黑" w:cs="微软雅黑"/>
                <w:spacing w:val="-19"/>
                <w:sz w:val="19"/>
                <w:szCs w:val="19"/>
              </w:rPr>
              <w:t>项</w:t>
            </w:r>
            <w:r>
              <w:rPr>
                <w:rFonts w:ascii="微软雅黑" w:hAnsi="微软雅黑" w:eastAsia="微软雅黑" w:cs="微软雅黑"/>
                <w:spacing w:val="19"/>
                <w:w w:val="101"/>
                <w:sz w:val="19"/>
                <w:szCs w:val="19"/>
              </w:rPr>
              <w:t xml:space="preserve">  </w:t>
            </w:r>
            <w:r>
              <w:rPr>
                <w:rFonts w:ascii="微软雅黑" w:hAnsi="微软雅黑" w:eastAsia="微软雅黑" w:cs="微软雅黑"/>
                <w:spacing w:val="-19"/>
                <w:sz w:val="19"/>
                <w:szCs w:val="19"/>
              </w:rPr>
              <w:t>目</w:t>
            </w:r>
            <w:r>
              <w:rPr>
                <w:rFonts w:ascii="微软雅黑" w:hAnsi="微软雅黑" w:eastAsia="微软雅黑" w:cs="微软雅黑"/>
                <w:spacing w:val="12"/>
                <w:sz w:val="19"/>
                <w:szCs w:val="19"/>
              </w:rPr>
              <w:t xml:space="preserve">  </w:t>
            </w:r>
            <w:r>
              <w:rPr>
                <w:rFonts w:ascii="微软雅黑" w:hAnsi="微软雅黑" w:eastAsia="微软雅黑" w:cs="微软雅黑"/>
                <w:spacing w:val="-19"/>
                <w:sz w:val="19"/>
                <w:szCs w:val="19"/>
              </w:rPr>
              <w:t>内</w:t>
            </w:r>
            <w:r>
              <w:rPr>
                <w:rFonts w:ascii="微软雅黑" w:hAnsi="微软雅黑" w:eastAsia="微软雅黑" w:cs="微软雅黑"/>
                <w:spacing w:val="1"/>
                <w:sz w:val="19"/>
                <w:szCs w:val="19"/>
              </w:rPr>
              <w:t xml:space="preserve">  </w:t>
            </w:r>
            <w:r>
              <w:rPr>
                <w:rFonts w:ascii="微软雅黑" w:hAnsi="微软雅黑" w:eastAsia="微软雅黑" w:cs="微软雅黑"/>
                <w:spacing w:val="-19"/>
                <w:sz w:val="19"/>
                <w:szCs w:val="19"/>
              </w:rPr>
              <w:t>容</w:t>
            </w:r>
          </w:p>
        </w:tc>
        <w:tc>
          <w:tcPr>
            <w:tcW w:w="1252" w:type="pct"/>
            <w:tcBorders>
              <w:top w:val="single" w:color="000000" w:sz="12" w:space="0"/>
              <w:right w:val="single" w:color="000000" w:sz="12" w:space="0"/>
            </w:tcBorders>
            <w:vAlign w:val="top"/>
          </w:tcPr>
          <w:p w14:paraId="31BCEB64">
            <w:pPr>
              <w:spacing w:before="26" w:line="196" w:lineRule="auto"/>
              <w:ind w:left="840" w:right="806" w:firstLine="40"/>
              <w:rPr>
                <w:rFonts w:ascii="微软雅黑" w:hAnsi="微软雅黑" w:eastAsia="微软雅黑" w:cs="微软雅黑"/>
                <w:sz w:val="19"/>
                <w:szCs w:val="19"/>
              </w:rPr>
            </w:pPr>
            <w:r>
              <w:rPr>
                <w:rFonts w:ascii="微软雅黑" w:hAnsi="微软雅黑" w:eastAsia="微软雅黑" w:cs="微软雅黑"/>
                <w:spacing w:val="-2"/>
                <w:sz w:val="19"/>
                <w:szCs w:val="19"/>
              </w:rPr>
              <w:t>金  额</w:t>
            </w:r>
            <w:r>
              <w:rPr>
                <w:rFonts w:ascii="微软雅黑" w:hAnsi="微软雅黑" w:eastAsia="微软雅黑" w:cs="微软雅黑"/>
                <w:spacing w:val="-4"/>
                <w:sz w:val="19"/>
                <w:szCs w:val="19"/>
              </w:rPr>
              <w:t>（元）</w:t>
            </w:r>
          </w:p>
        </w:tc>
      </w:tr>
      <w:tr w14:paraId="41679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30F7442A">
            <w:pPr>
              <w:spacing w:before="41" w:line="204" w:lineRule="auto"/>
              <w:ind w:left="567"/>
              <w:rPr>
                <w:rFonts w:ascii="微软雅黑" w:hAnsi="微软雅黑" w:eastAsia="微软雅黑" w:cs="微软雅黑"/>
                <w:sz w:val="18"/>
                <w:szCs w:val="18"/>
              </w:rPr>
            </w:pPr>
            <w:r>
              <w:rPr>
                <w:rFonts w:ascii="微软雅黑" w:hAnsi="微软雅黑" w:eastAsia="微软雅黑" w:cs="微软雅黑"/>
                <w:sz w:val="18"/>
                <w:szCs w:val="18"/>
              </w:rPr>
              <w:t>1</w:t>
            </w:r>
          </w:p>
        </w:tc>
        <w:tc>
          <w:tcPr>
            <w:tcW w:w="3267" w:type="pct"/>
            <w:vAlign w:val="top"/>
          </w:tcPr>
          <w:p w14:paraId="0962AB85">
            <w:pPr>
              <w:spacing w:before="41" w:line="184" w:lineRule="auto"/>
              <w:ind w:left="215"/>
              <w:rPr>
                <w:rFonts w:ascii="微软雅黑" w:hAnsi="微软雅黑" w:eastAsia="微软雅黑" w:cs="微软雅黑"/>
                <w:sz w:val="18"/>
                <w:szCs w:val="18"/>
              </w:rPr>
            </w:pPr>
            <w:r>
              <w:rPr>
                <w:rFonts w:ascii="微软雅黑" w:hAnsi="微软雅黑" w:eastAsia="微软雅黑" w:cs="微软雅黑"/>
                <w:spacing w:val="-2"/>
                <w:sz w:val="18"/>
                <w:szCs w:val="18"/>
              </w:rPr>
              <w:t>分部分项工程项目</w:t>
            </w:r>
          </w:p>
        </w:tc>
        <w:tc>
          <w:tcPr>
            <w:tcW w:w="1252" w:type="pct"/>
            <w:tcBorders>
              <w:right w:val="single" w:color="000000" w:sz="12" w:space="0"/>
            </w:tcBorders>
            <w:vAlign w:val="top"/>
          </w:tcPr>
          <w:p w14:paraId="7A3E383A">
            <w:pPr>
              <w:spacing w:before="41" w:line="202" w:lineRule="auto"/>
              <w:jc w:val="right"/>
              <w:rPr>
                <w:rFonts w:ascii="微软雅黑" w:hAnsi="微软雅黑" w:eastAsia="微软雅黑" w:cs="微软雅黑"/>
                <w:sz w:val="18"/>
                <w:szCs w:val="18"/>
              </w:rPr>
            </w:pPr>
            <w:r>
              <w:rPr>
                <w:rFonts w:ascii="微软雅黑" w:hAnsi="微软雅黑" w:eastAsia="微软雅黑" w:cs="微软雅黑"/>
                <w:spacing w:val="-10"/>
                <w:sz w:val="18"/>
                <w:szCs w:val="18"/>
              </w:rPr>
              <w:t>681198.65</w:t>
            </w:r>
          </w:p>
        </w:tc>
      </w:tr>
      <w:tr w14:paraId="428EB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4FE80216">
            <w:pPr>
              <w:spacing w:before="42" w:line="202" w:lineRule="auto"/>
              <w:ind w:left="477"/>
              <w:rPr>
                <w:rFonts w:ascii="微软雅黑" w:hAnsi="微软雅黑" w:eastAsia="微软雅黑" w:cs="微软雅黑"/>
                <w:sz w:val="18"/>
                <w:szCs w:val="18"/>
              </w:rPr>
            </w:pPr>
            <w:r>
              <w:rPr>
                <w:rFonts w:ascii="微软雅黑" w:hAnsi="微软雅黑" w:eastAsia="微软雅黑" w:cs="微软雅黑"/>
                <w:spacing w:val="3"/>
                <w:sz w:val="18"/>
                <w:szCs w:val="18"/>
              </w:rPr>
              <w:t>1.1</w:t>
            </w:r>
          </w:p>
        </w:tc>
        <w:tc>
          <w:tcPr>
            <w:tcW w:w="3267" w:type="pct"/>
            <w:vAlign w:val="top"/>
          </w:tcPr>
          <w:p w14:paraId="652188F5">
            <w:pPr>
              <w:spacing w:before="41" w:line="185" w:lineRule="auto"/>
              <w:ind w:left="214"/>
              <w:rPr>
                <w:rFonts w:ascii="微软雅黑" w:hAnsi="微软雅黑" w:eastAsia="微软雅黑" w:cs="微软雅黑"/>
                <w:sz w:val="18"/>
                <w:szCs w:val="18"/>
              </w:rPr>
            </w:pPr>
            <w:r>
              <w:rPr>
                <w:rFonts w:ascii="微软雅黑" w:hAnsi="微软雅黑" w:eastAsia="微软雅黑" w:cs="微软雅黑"/>
                <w:spacing w:val="-1"/>
                <w:sz w:val="18"/>
                <w:szCs w:val="18"/>
              </w:rPr>
              <w:t>革新大道校园段交通与绿化综合提升</w:t>
            </w:r>
          </w:p>
        </w:tc>
        <w:tc>
          <w:tcPr>
            <w:tcW w:w="1252" w:type="pct"/>
            <w:tcBorders>
              <w:right w:val="single" w:color="000000" w:sz="12" w:space="0"/>
            </w:tcBorders>
            <w:vAlign w:val="top"/>
          </w:tcPr>
          <w:p w14:paraId="4BC9EC26">
            <w:pPr>
              <w:spacing w:before="42" w:line="202" w:lineRule="auto"/>
              <w:jc w:val="right"/>
              <w:rPr>
                <w:rFonts w:ascii="微软雅黑" w:hAnsi="微软雅黑" w:eastAsia="微软雅黑" w:cs="微软雅黑"/>
                <w:sz w:val="18"/>
                <w:szCs w:val="18"/>
              </w:rPr>
            </w:pPr>
            <w:r>
              <w:rPr>
                <w:rFonts w:ascii="微软雅黑" w:hAnsi="微软雅黑" w:eastAsia="微软雅黑" w:cs="微软雅黑"/>
                <w:spacing w:val="-11"/>
                <w:sz w:val="18"/>
                <w:szCs w:val="18"/>
              </w:rPr>
              <w:t>42</w:t>
            </w:r>
            <w:r>
              <w:rPr>
                <w:rFonts w:ascii="微软雅黑" w:hAnsi="微软雅黑" w:eastAsia="微软雅黑" w:cs="微软雅黑"/>
                <w:spacing w:val="-10"/>
                <w:sz w:val="18"/>
                <w:szCs w:val="18"/>
              </w:rPr>
              <w:t>8677.4</w:t>
            </w:r>
            <w:r>
              <w:rPr>
                <w:rFonts w:ascii="微软雅黑" w:hAnsi="微软雅黑" w:eastAsia="微软雅黑" w:cs="微软雅黑"/>
                <w:spacing w:val="-8"/>
                <w:sz w:val="18"/>
                <w:szCs w:val="18"/>
              </w:rPr>
              <w:t>6</w:t>
            </w:r>
          </w:p>
        </w:tc>
      </w:tr>
      <w:tr w14:paraId="4D9CF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1A91B5CF">
            <w:pPr>
              <w:spacing w:before="43" w:line="202" w:lineRule="auto"/>
              <w:ind w:left="387"/>
              <w:rPr>
                <w:rFonts w:ascii="微软雅黑" w:hAnsi="微软雅黑" w:eastAsia="微软雅黑" w:cs="微软雅黑"/>
                <w:sz w:val="18"/>
                <w:szCs w:val="18"/>
              </w:rPr>
            </w:pPr>
            <w:r>
              <w:rPr>
                <w:rFonts w:ascii="微软雅黑" w:hAnsi="微软雅黑" w:eastAsia="微软雅黑" w:cs="微软雅黑"/>
                <w:spacing w:val="8"/>
                <w:sz w:val="18"/>
                <w:szCs w:val="18"/>
              </w:rPr>
              <w:t>1.1.1</w:t>
            </w:r>
          </w:p>
        </w:tc>
        <w:tc>
          <w:tcPr>
            <w:tcW w:w="3267" w:type="pct"/>
            <w:vAlign w:val="top"/>
          </w:tcPr>
          <w:p w14:paraId="52EBA52F">
            <w:pPr>
              <w:spacing w:before="43" w:line="185" w:lineRule="auto"/>
              <w:ind w:left="218"/>
              <w:rPr>
                <w:rFonts w:ascii="微软雅黑" w:hAnsi="微软雅黑" w:eastAsia="微软雅黑" w:cs="微软雅黑"/>
                <w:sz w:val="18"/>
                <w:szCs w:val="18"/>
              </w:rPr>
            </w:pPr>
            <w:r>
              <w:rPr>
                <w:rFonts w:ascii="微软雅黑" w:hAnsi="微软雅黑" w:eastAsia="微软雅黑" w:cs="微软雅黑"/>
                <w:spacing w:val="-4"/>
                <w:sz w:val="18"/>
                <w:szCs w:val="18"/>
              </w:rPr>
              <w:t>市政工程</w:t>
            </w:r>
          </w:p>
        </w:tc>
        <w:tc>
          <w:tcPr>
            <w:tcW w:w="1252" w:type="pct"/>
            <w:tcBorders>
              <w:right w:val="single" w:color="000000" w:sz="12" w:space="0"/>
            </w:tcBorders>
            <w:vAlign w:val="top"/>
          </w:tcPr>
          <w:p w14:paraId="358F4D11">
            <w:pPr>
              <w:spacing w:before="43" w:line="202" w:lineRule="auto"/>
              <w:jc w:val="right"/>
              <w:rPr>
                <w:rFonts w:ascii="微软雅黑" w:hAnsi="微软雅黑" w:eastAsia="微软雅黑" w:cs="微软雅黑"/>
                <w:sz w:val="18"/>
                <w:szCs w:val="18"/>
              </w:rPr>
            </w:pPr>
            <w:r>
              <w:rPr>
                <w:rFonts w:ascii="微软雅黑" w:hAnsi="微软雅黑" w:eastAsia="微软雅黑" w:cs="微软雅黑"/>
                <w:spacing w:val="-11"/>
                <w:sz w:val="18"/>
                <w:szCs w:val="18"/>
              </w:rPr>
              <w:t>42</w:t>
            </w:r>
            <w:r>
              <w:rPr>
                <w:rFonts w:ascii="微软雅黑" w:hAnsi="微软雅黑" w:eastAsia="微软雅黑" w:cs="微软雅黑"/>
                <w:spacing w:val="-10"/>
                <w:sz w:val="18"/>
                <w:szCs w:val="18"/>
              </w:rPr>
              <w:t>8677.4</w:t>
            </w:r>
            <w:r>
              <w:rPr>
                <w:rFonts w:ascii="微软雅黑" w:hAnsi="微软雅黑" w:eastAsia="微软雅黑" w:cs="微软雅黑"/>
                <w:spacing w:val="-8"/>
                <w:sz w:val="18"/>
                <w:szCs w:val="18"/>
              </w:rPr>
              <w:t>6</w:t>
            </w:r>
          </w:p>
        </w:tc>
      </w:tr>
      <w:tr w14:paraId="7D6F2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3552DDEE">
            <w:pPr>
              <w:spacing w:before="44" w:line="202" w:lineRule="auto"/>
              <w:ind w:left="477"/>
              <w:rPr>
                <w:rFonts w:ascii="微软雅黑" w:hAnsi="微软雅黑" w:eastAsia="微软雅黑" w:cs="微软雅黑"/>
                <w:sz w:val="18"/>
                <w:szCs w:val="18"/>
              </w:rPr>
            </w:pPr>
            <w:r>
              <w:rPr>
                <w:rFonts w:ascii="微软雅黑" w:hAnsi="微软雅黑" w:eastAsia="微软雅黑" w:cs="微软雅黑"/>
                <w:spacing w:val="3"/>
                <w:sz w:val="18"/>
                <w:szCs w:val="18"/>
              </w:rPr>
              <w:t>1.2</w:t>
            </w:r>
          </w:p>
        </w:tc>
        <w:tc>
          <w:tcPr>
            <w:tcW w:w="3267" w:type="pct"/>
            <w:vAlign w:val="top"/>
          </w:tcPr>
          <w:p w14:paraId="2AC43394">
            <w:pPr>
              <w:spacing w:before="44" w:line="185" w:lineRule="auto"/>
              <w:ind w:left="214"/>
              <w:rPr>
                <w:rFonts w:ascii="微软雅黑" w:hAnsi="微软雅黑" w:eastAsia="微软雅黑" w:cs="微软雅黑"/>
                <w:sz w:val="18"/>
                <w:szCs w:val="18"/>
              </w:rPr>
            </w:pPr>
            <w:r>
              <w:rPr>
                <w:rFonts w:ascii="微软雅黑" w:hAnsi="微软雅黑" w:eastAsia="微软雅黑" w:cs="微软雅黑"/>
                <w:spacing w:val="-1"/>
                <w:sz w:val="18"/>
                <w:szCs w:val="18"/>
              </w:rPr>
              <w:t>友谊村闲置空地休闲空间改造</w:t>
            </w:r>
          </w:p>
        </w:tc>
        <w:tc>
          <w:tcPr>
            <w:tcW w:w="1252" w:type="pct"/>
            <w:tcBorders>
              <w:right w:val="single" w:color="000000" w:sz="12" w:space="0"/>
            </w:tcBorders>
            <w:vAlign w:val="top"/>
          </w:tcPr>
          <w:p w14:paraId="62F837F7">
            <w:pPr>
              <w:spacing w:before="44" w:line="202" w:lineRule="auto"/>
              <w:jc w:val="right"/>
              <w:rPr>
                <w:rFonts w:ascii="微软雅黑" w:hAnsi="微软雅黑" w:eastAsia="微软雅黑" w:cs="微软雅黑"/>
                <w:sz w:val="18"/>
                <w:szCs w:val="18"/>
              </w:rPr>
            </w:pPr>
            <w:r>
              <w:rPr>
                <w:rFonts w:ascii="微软雅黑" w:hAnsi="微软雅黑" w:eastAsia="微软雅黑" w:cs="微软雅黑"/>
                <w:spacing w:val="-10"/>
                <w:sz w:val="18"/>
                <w:szCs w:val="18"/>
              </w:rPr>
              <w:t>252521.19</w:t>
            </w:r>
          </w:p>
        </w:tc>
      </w:tr>
      <w:tr w14:paraId="144A8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0A771528">
            <w:pPr>
              <w:spacing w:before="45" w:line="201" w:lineRule="auto"/>
              <w:ind w:left="387"/>
              <w:rPr>
                <w:rFonts w:ascii="微软雅黑" w:hAnsi="微软雅黑" w:eastAsia="微软雅黑" w:cs="微软雅黑"/>
                <w:sz w:val="18"/>
                <w:szCs w:val="18"/>
              </w:rPr>
            </w:pPr>
            <w:r>
              <w:rPr>
                <w:rFonts w:ascii="微软雅黑" w:hAnsi="微软雅黑" w:eastAsia="微软雅黑" w:cs="微软雅黑"/>
                <w:spacing w:val="8"/>
                <w:sz w:val="18"/>
                <w:szCs w:val="18"/>
              </w:rPr>
              <w:t>1.2.1</w:t>
            </w:r>
          </w:p>
        </w:tc>
        <w:tc>
          <w:tcPr>
            <w:tcW w:w="3267" w:type="pct"/>
            <w:vAlign w:val="top"/>
          </w:tcPr>
          <w:p w14:paraId="53BA6A66">
            <w:pPr>
              <w:spacing w:before="45" w:line="185" w:lineRule="auto"/>
              <w:ind w:left="227"/>
              <w:rPr>
                <w:rFonts w:ascii="微软雅黑" w:hAnsi="微软雅黑" w:eastAsia="微软雅黑" w:cs="微软雅黑"/>
                <w:sz w:val="18"/>
                <w:szCs w:val="18"/>
              </w:rPr>
            </w:pPr>
            <w:r>
              <w:rPr>
                <w:rFonts w:ascii="微软雅黑" w:hAnsi="微软雅黑" w:eastAsia="微软雅黑" w:cs="微软雅黑"/>
                <w:spacing w:val="-4"/>
                <w:sz w:val="18"/>
                <w:szCs w:val="18"/>
              </w:rPr>
              <w:t>园林绿化工程</w:t>
            </w:r>
          </w:p>
        </w:tc>
        <w:tc>
          <w:tcPr>
            <w:tcW w:w="1252" w:type="pct"/>
            <w:tcBorders>
              <w:right w:val="single" w:color="000000" w:sz="12" w:space="0"/>
            </w:tcBorders>
            <w:vAlign w:val="top"/>
          </w:tcPr>
          <w:p w14:paraId="73457AD4">
            <w:pPr>
              <w:spacing w:before="45" w:line="201" w:lineRule="auto"/>
              <w:jc w:val="right"/>
              <w:rPr>
                <w:rFonts w:ascii="微软雅黑" w:hAnsi="微软雅黑" w:eastAsia="微软雅黑" w:cs="微软雅黑"/>
                <w:sz w:val="18"/>
                <w:szCs w:val="18"/>
              </w:rPr>
            </w:pPr>
            <w:r>
              <w:rPr>
                <w:rFonts w:ascii="微软雅黑" w:hAnsi="微软雅黑" w:eastAsia="微软雅黑" w:cs="微软雅黑"/>
                <w:spacing w:val="-10"/>
                <w:sz w:val="18"/>
                <w:szCs w:val="18"/>
              </w:rPr>
              <w:t>252521.19</w:t>
            </w:r>
          </w:p>
        </w:tc>
      </w:tr>
      <w:tr w14:paraId="149F4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2DA516E5">
            <w:pPr>
              <w:spacing w:before="46" w:line="200" w:lineRule="auto"/>
              <w:ind w:left="556"/>
              <w:rPr>
                <w:rFonts w:ascii="微软雅黑" w:hAnsi="微软雅黑" w:eastAsia="微软雅黑" w:cs="微软雅黑"/>
                <w:sz w:val="18"/>
                <w:szCs w:val="18"/>
              </w:rPr>
            </w:pPr>
            <w:r>
              <w:rPr>
                <w:rFonts w:ascii="微软雅黑" w:hAnsi="微软雅黑" w:eastAsia="微软雅黑" w:cs="微软雅黑"/>
                <w:sz w:val="18"/>
                <w:szCs w:val="18"/>
              </w:rPr>
              <w:t>2</w:t>
            </w:r>
          </w:p>
        </w:tc>
        <w:tc>
          <w:tcPr>
            <w:tcW w:w="3267" w:type="pct"/>
            <w:vAlign w:val="top"/>
          </w:tcPr>
          <w:p w14:paraId="54A00BB6">
            <w:pPr>
              <w:spacing w:before="46" w:line="184" w:lineRule="auto"/>
              <w:ind w:left="213"/>
              <w:rPr>
                <w:rFonts w:ascii="微软雅黑" w:hAnsi="微软雅黑" w:eastAsia="微软雅黑" w:cs="微软雅黑"/>
                <w:sz w:val="18"/>
                <w:szCs w:val="18"/>
              </w:rPr>
            </w:pPr>
            <w:r>
              <w:rPr>
                <w:rFonts w:ascii="微软雅黑" w:hAnsi="微软雅黑" w:eastAsia="微软雅黑" w:cs="微软雅黑"/>
                <w:spacing w:val="-2"/>
                <w:sz w:val="18"/>
                <w:szCs w:val="18"/>
              </w:rPr>
              <w:t>措施项目</w:t>
            </w:r>
          </w:p>
        </w:tc>
        <w:tc>
          <w:tcPr>
            <w:tcW w:w="1252" w:type="pct"/>
            <w:tcBorders>
              <w:right w:val="single" w:color="000000" w:sz="12" w:space="0"/>
            </w:tcBorders>
            <w:vAlign w:val="top"/>
          </w:tcPr>
          <w:p w14:paraId="6F2428DD">
            <w:pPr>
              <w:spacing w:before="46" w:line="200" w:lineRule="auto"/>
              <w:jc w:val="right"/>
              <w:rPr>
                <w:rFonts w:ascii="微软雅黑" w:hAnsi="微软雅黑" w:eastAsia="微软雅黑" w:cs="微软雅黑"/>
                <w:sz w:val="18"/>
                <w:szCs w:val="18"/>
              </w:rPr>
            </w:pPr>
            <w:r>
              <w:rPr>
                <w:rFonts w:ascii="微软雅黑" w:hAnsi="微软雅黑" w:eastAsia="微软雅黑" w:cs="微软雅黑"/>
                <w:spacing w:val="-12"/>
                <w:sz w:val="18"/>
                <w:szCs w:val="18"/>
              </w:rPr>
              <w:t>1</w:t>
            </w:r>
            <w:r>
              <w:rPr>
                <w:rFonts w:ascii="微软雅黑" w:hAnsi="微软雅黑" w:eastAsia="微软雅黑" w:cs="微软雅黑"/>
                <w:spacing w:val="-11"/>
                <w:sz w:val="18"/>
                <w:szCs w:val="18"/>
              </w:rPr>
              <w:t>6800.6</w:t>
            </w:r>
            <w:r>
              <w:rPr>
                <w:rFonts w:ascii="微软雅黑" w:hAnsi="微软雅黑" w:eastAsia="微软雅黑" w:cs="微软雅黑"/>
                <w:spacing w:val="-10"/>
                <w:sz w:val="18"/>
                <w:szCs w:val="18"/>
              </w:rPr>
              <w:t>2</w:t>
            </w:r>
          </w:p>
        </w:tc>
      </w:tr>
      <w:tr w14:paraId="7AF44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0097A0F2">
            <w:pPr>
              <w:spacing w:before="47" w:line="199" w:lineRule="auto"/>
              <w:ind w:left="466"/>
              <w:rPr>
                <w:rFonts w:ascii="微软雅黑" w:hAnsi="微软雅黑" w:eastAsia="微软雅黑" w:cs="微软雅黑"/>
                <w:sz w:val="18"/>
                <w:szCs w:val="18"/>
              </w:rPr>
            </w:pPr>
            <w:r>
              <w:rPr>
                <w:rFonts w:ascii="微软雅黑" w:hAnsi="微软雅黑" w:eastAsia="微软雅黑" w:cs="微软雅黑"/>
                <w:spacing w:val="7"/>
                <w:sz w:val="18"/>
                <w:szCs w:val="18"/>
              </w:rPr>
              <w:t>2.1</w:t>
            </w:r>
          </w:p>
        </w:tc>
        <w:tc>
          <w:tcPr>
            <w:tcW w:w="3267" w:type="pct"/>
            <w:vAlign w:val="top"/>
          </w:tcPr>
          <w:p w14:paraId="71B5B8E7">
            <w:pPr>
              <w:spacing w:before="47" w:line="184" w:lineRule="auto"/>
              <w:ind w:left="214"/>
              <w:rPr>
                <w:rFonts w:ascii="微软雅黑" w:hAnsi="微软雅黑" w:eastAsia="微软雅黑" w:cs="微软雅黑"/>
                <w:sz w:val="18"/>
                <w:szCs w:val="18"/>
              </w:rPr>
            </w:pPr>
            <w:r>
              <w:rPr>
                <w:rFonts w:ascii="微软雅黑" w:hAnsi="微软雅黑" w:eastAsia="微软雅黑" w:cs="微软雅黑"/>
                <w:spacing w:val="-1"/>
                <w:sz w:val="18"/>
                <w:szCs w:val="18"/>
              </w:rPr>
              <w:t>其中：安全生产措施项目</w:t>
            </w:r>
          </w:p>
        </w:tc>
        <w:tc>
          <w:tcPr>
            <w:tcW w:w="1252" w:type="pct"/>
            <w:tcBorders>
              <w:right w:val="single" w:color="000000" w:sz="12" w:space="0"/>
            </w:tcBorders>
            <w:vAlign w:val="top"/>
          </w:tcPr>
          <w:p w14:paraId="606351F4">
            <w:pPr>
              <w:spacing w:before="47" w:line="199" w:lineRule="auto"/>
              <w:jc w:val="right"/>
              <w:rPr>
                <w:rFonts w:ascii="微软雅黑" w:hAnsi="微软雅黑" w:eastAsia="微软雅黑" w:cs="微软雅黑"/>
                <w:sz w:val="18"/>
                <w:szCs w:val="18"/>
              </w:rPr>
            </w:pPr>
            <w:r>
              <w:rPr>
                <w:rFonts w:ascii="微软雅黑" w:hAnsi="微软雅黑" w:eastAsia="微软雅黑" w:cs="微软雅黑"/>
                <w:spacing w:val="-9"/>
                <w:sz w:val="18"/>
                <w:szCs w:val="18"/>
              </w:rPr>
              <w:t>5986.12</w:t>
            </w:r>
          </w:p>
        </w:tc>
      </w:tr>
      <w:tr w14:paraId="58E74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73172BA5">
            <w:pPr>
              <w:spacing w:before="47" w:line="199" w:lineRule="auto"/>
              <w:ind w:left="558"/>
              <w:rPr>
                <w:rFonts w:ascii="微软雅黑" w:hAnsi="微软雅黑" w:eastAsia="微软雅黑" w:cs="微软雅黑"/>
                <w:sz w:val="18"/>
                <w:szCs w:val="18"/>
              </w:rPr>
            </w:pPr>
            <w:r>
              <w:rPr>
                <w:rFonts w:ascii="微软雅黑" w:hAnsi="微软雅黑" w:eastAsia="微软雅黑" w:cs="微软雅黑"/>
                <w:sz w:val="18"/>
                <w:szCs w:val="18"/>
              </w:rPr>
              <w:t>3</w:t>
            </w:r>
          </w:p>
        </w:tc>
        <w:tc>
          <w:tcPr>
            <w:tcW w:w="3267" w:type="pct"/>
            <w:vAlign w:val="top"/>
          </w:tcPr>
          <w:p w14:paraId="22416BC7">
            <w:pPr>
              <w:spacing w:before="48" w:line="184" w:lineRule="auto"/>
              <w:ind w:left="214"/>
              <w:rPr>
                <w:rFonts w:ascii="微软雅黑" w:hAnsi="微软雅黑" w:eastAsia="微软雅黑" w:cs="微软雅黑"/>
                <w:sz w:val="18"/>
                <w:szCs w:val="18"/>
              </w:rPr>
            </w:pPr>
            <w:r>
              <w:rPr>
                <w:rFonts w:ascii="微软雅黑" w:hAnsi="微软雅黑" w:eastAsia="微软雅黑" w:cs="微软雅黑"/>
                <w:spacing w:val="-3"/>
                <w:sz w:val="18"/>
                <w:szCs w:val="18"/>
              </w:rPr>
              <w:t>其他项目</w:t>
            </w:r>
          </w:p>
        </w:tc>
        <w:tc>
          <w:tcPr>
            <w:tcW w:w="1252" w:type="pct"/>
            <w:tcBorders>
              <w:right w:val="single" w:color="000000" w:sz="12" w:space="0"/>
            </w:tcBorders>
            <w:vAlign w:val="top"/>
          </w:tcPr>
          <w:p w14:paraId="5FC255C9">
            <w:pPr>
              <w:spacing w:before="47" w:line="199" w:lineRule="auto"/>
              <w:jc w:val="right"/>
              <w:rPr>
                <w:rFonts w:ascii="微软雅黑" w:hAnsi="微软雅黑" w:eastAsia="微软雅黑" w:cs="微软雅黑"/>
                <w:sz w:val="18"/>
                <w:szCs w:val="18"/>
              </w:rPr>
            </w:pPr>
            <w:r>
              <w:rPr>
                <w:rFonts w:ascii="微软雅黑" w:hAnsi="微软雅黑" w:eastAsia="微软雅黑" w:cs="微软雅黑"/>
                <w:spacing w:val="-22"/>
                <w:sz w:val="18"/>
                <w:szCs w:val="18"/>
              </w:rPr>
              <w:t>1</w:t>
            </w:r>
            <w:r>
              <w:rPr>
                <w:rFonts w:ascii="微软雅黑" w:hAnsi="微软雅黑" w:eastAsia="微软雅黑" w:cs="微软雅黑"/>
                <w:spacing w:val="-21"/>
                <w:sz w:val="18"/>
                <w:szCs w:val="18"/>
              </w:rPr>
              <w:t>6000</w:t>
            </w:r>
            <w:r>
              <w:rPr>
                <w:rFonts w:ascii="微软雅黑" w:hAnsi="微软雅黑" w:eastAsia="微软雅黑" w:cs="微软雅黑"/>
                <w:spacing w:val="-8"/>
                <w:sz w:val="18"/>
                <w:szCs w:val="18"/>
              </w:rPr>
              <w:t>0</w:t>
            </w:r>
          </w:p>
        </w:tc>
      </w:tr>
      <w:tr w14:paraId="631D5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621AC658">
            <w:pPr>
              <w:spacing w:before="49" w:line="198" w:lineRule="auto"/>
              <w:ind w:left="468"/>
              <w:rPr>
                <w:rFonts w:ascii="微软雅黑" w:hAnsi="微软雅黑" w:eastAsia="微软雅黑" w:cs="微软雅黑"/>
                <w:sz w:val="18"/>
                <w:szCs w:val="18"/>
              </w:rPr>
            </w:pPr>
            <w:r>
              <w:rPr>
                <w:rFonts w:ascii="微软雅黑" w:hAnsi="微软雅黑" w:eastAsia="微软雅黑" w:cs="微软雅黑"/>
                <w:spacing w:val="6"/>
                <w:sz w:val="18"/>
                <w:szCs w:val="18"/>
              </w:rPr>
              <w:t>3.1</w:t>
            </w:r>
          </w:p>
        </w:tc>
        <w:tc>
          <w:tcPr>
            <w:tcW w:w="3267" w:type="pct"/>
            <w:vAlign w:val="top"/>
          </w:tcPr>
          <w:p w14:paraId="32AA1AD6">
            <w:pPr>
              <w:spacing w:before="49" w:line="184" w:lineRule="auto"/>
              <w:ind w:left="214"/>
              <w:rPr>
                <w:rFonts w:ascii="微软雅黑" w:hAnsi="微软雅黑" w:eastAsia="微软雅黑" w:cs="微软雅黑"/>
                <w:sz w:val="18"/>
                <w:szCs w:val="18"/>
              </w:rPr>
            </w:pPr>
            <w:r>
              <w:rPr>
                <w:rFonts w:ascii="微软雅黑" w:hAnsi="微软雅黑" w:eastAsia="微软雅黑" w:cs="微软雅黑"/>
                <w:spacing w:val="-2"/>
                <w:sz w:val="18"/>
                <w:szCs w:val="18"/>
              </w:rPr>
              <w:t>其中：暂列金额</w:t>
            </w:r>
          </w:p>
        </w:tc>
        <w:tc>
          <w:tcPr>
            <w:tcW w:w="1252" w:type="pct"/>
            <w:tcBorders>
              <w:right w:val="single" w:color="000000" w:sz="12" w:space="0"/>
            </w:tcBorders>
            <w:vAlign w:val="top"/>
          </w:tcPr>
          <w:p w14:paraId="409B101E">
            <w:pPr>
              <w:pStyle w:val="13"/>
            </w:pPr>
          </w:p>
        </w:tc>
      </w:tr>
      <w:tr w14:paraId="68E30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654DDE60">
            <w:pPr>
              <w:spacing w:before="50" w:line="197" w:lineRule="auto"/>
              <w:ind w:left="468"/>
              <w:rPr>
                <w:rFonts w:ascii="微软雅黑" w:hAnsi="微软雅黑" w:eastAsia="微软雅黑" w:cs="微软雅黑"/>
                <w:sz w:val="18"/>
                <w:szCs w:val="18"/>
              </w:rPr>
            </w:pPr>
            <w:r>
              <w:rPr>
                <w:rFonts w:ascii="微软雅黑" w:hAnsi="微软雅黑" w:eastAsia="微软雅黑" w:cs="微软雅黑"/>
                <w:spacing w:val="6"/>
                <w:sz w:val="18"/>
                <w:szCs w:val="18"/>
              </w:rPr>
              <w:t>3.2</w:t>
            </w:r>
          </w:p>
        </w:tc>
        <w:tc>
          <w:tcPr>
            <w:tcW w:w="3267" w:type="pct"/>
            <w:vAlign w:val="top"/>
          </w:tcPr>
          <w:p w14:paraId="1DA9255E">
            <w:pPr>
              <w:spacing w:before="49" w:line="185" w:lineRule="auto"/>
              <w:ind w:left="214"/>
              <w:rPr>
                <w:rFonts w:ascii="微软雅黑" w:hAnsi="微软雅黑" w:eastAsia="微软雅黑" w:cs="微软雅黑"/>
                <w:sz w:val="18"/>
                <w:szCs w:val="18"/>
              </w:rPr>
            </w:pPr>
            <w:r>
              <w:rPr>
                <w:rFonts w:ascii="微软雅黑" w:hAnsi="微软雅黑" w:eastAsia="微软雅黑" w:cs="微软雅黑"/>
                <w:spacing w:val="-1"/>
                <w:sz w:val="18"/>
                <w:szCs w:val="18"/>
              </w:rPr>
              <w:t>其中：专业工程暂估价</w:t>
            </w:r>
          </w:p>
        </w:tc>
        <w:tc>
          <w:tcPr>
            <w:tcW w:w="1252" w:type="pct"/>
            <w:tcBorders>
              <w:right w:val="single" w:color="000000" w:sz="12" w:space="0"/>
            </w:tcBorders>
            <w:vAlign w:val="top"/>
          </w:tcPr>
          <w:p w14:paraId="2DB6904C">
            <w:pPr>
              <w:spacing w:before="50" w:line="197" w:lineRule="auto"/>
              <w:jc w:val="right"/>
              <w:rPr>
                <w:rFonts w:ascii="微软雅黑" w:hAnsi="微软雅黑" w:eastAsia="微软雅黑" w:cs="微软雅黑"/>
                <w:sz w:val="18"/>
                <w:szCs w:val="18"/>
              </w:rPr>
            </w:pPr>
            <w:r>
              <w:rPr>
                <w:rFonts w:ascii="微软雅黑" w:hAnsi="微软雅黑" w:eastAsia="微软雅黑" w:cs="微软雅黑"/>
                <w:spacing w:val="-22"/>
                <w:sz w:val="18"/>
                <w:szCs w:val="18"/>
              </w:rPr>
              <w:t>1</w:t>
            </w:r>
            <w:r>
              <w:rPr>
                <w:rFonts w:ascii="微软雅黑" w:hAnsi="微软雅黑" w:eastAsia="微软雅黑" w:cs="微软雅黑"/>
                <w:spacing w:val="-21"/>
                <w:sz w:val="18"/>
                <w:szCs w:val="18"/>
              </w:rPr>
              <w:t>6000</w:t>
            </w:r>
            <w:r>
              <w:rPr>
                <w:rFonts w:ascii="微软雅黑" w:hAnsi="微软雅黑" w:eastAsia="微软雅黑" w:cs="微软雅黑"/>
                <w:spacing w:val="-8"/>
                <w:sz w:val="18"/>
                <w:szCs w:val="18"/>
              </w:rPr>
              <w:t>0</w:t>
            </w:r>
          </w:p>
        </w:tc>
      </w:tr>
      <w:tr w14:paraId="43094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4CF23437">
            <w:pPr>
              <w:spacing w:before="51" w:line="196" w:lineRule="auto"/>
              <w:ind w:left="468"/>
              <w:rPr>
                <w:rFonts w:ascii="微软雅黑" w:hAnsi="微软雅黑" w:eastAsia="微软雅黑" w:cs="微软雅黑"/>
                <w:sz w:val="18"/>
                <w:szCs w:val="18"/>
              </w:rPr>
            </w:pPr>
            <w:r>
              <w:rPr>
                <w:rFonts w:ascii="微软雅黑" w:hAnsi="微软雅黑" w:eastAsia="微软雅黑" w:cs="微软雅黑"/>
                <w:spacing w:val="6"/>
                <w:sz w:val="18"/>
                <w:szCs w:val="18"/>
              </w:rPr>
              <w:t>3.3</w:t>
            </w:r>
          </w:p>
        </w:tc>
        <w:tc>
          <w:tcPr>
            <w:tcW w:w="3267" w:type="pct"/>
            <w:vAlign w:val="top"/>
          </w:tcPr>
          <w:p w14:paraId="01537074">
            <w:pPr>
              <w:spacing w:before="51" w:line="185" w:lineRule="auto"/>
              <w:ind w:left="214"/>
              <w:rPr>
                <w:rFonts w:ascii="微软雅黑" w:hAnsi="微软雅黑" w:eastAsia="微软雅黑" w:cs="微软雅黑"/>
                <w:sz w:val="18"/>
                <w:szCs w:val="18"/>
              </w:rPr>
            </w:pPr>
            <w:r>
              <w:rPr>
                <w:rFonts w:ascii="微软雅黑" w:hAnsi="微软雅黑" w:eastAsia="微软雅黑" w:cs="微软雅黑"/>
                <w:spacing w:val="-2"/>
                <w:sz w:val="18"/>
                <w:szCs w:val="18"/>
              </w:rPr>
              <w:t>其中：计日工</w:t>
            </w:r>
          </w:p>
        </w:tc>
        <w:tc>
          <w:tcPr>
            <w:tcW w:w="1252" w:type="pct"/>
            <w:tcBorders>
              <w:right w:val="single" w:color="000000" w:sz="12" w:space="0"/>
            </w:tcBorders>
            <w:vAlign w:val="top"/>
          </w:tcPr>
          <w:p w14:paraId="0238017F">
            <w:pPr>
              <w:pStyle w:val="13"/>
            </w:pPr>
          </w:p>
        </w:tc>
      </w:tr>
      <w:tr w14:paraId="0D89F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502B938C">
            <w:pPr>
              <w:spacing w:before="51" w:line="196" w:lineRule="auto"/>
              <w:ind w:left="468"/>
              <w:rPr>
                <w:rFonts w:ascii="微软雅黑" w:hAnsi="微软雅黑" w:eastAsia="微软雅黑" w:cs="微软雅黑"/>
                <w:sz w:val="18"/>
                <w:szCs w:val="18"/>
              </w:rPr>
            </w:pPr>
            <w:r>
              <w:rPr>
                <w:rFonts w:ascii="微软雅黑" w:hAnsi="微软雅黑" w:eastAsia="微软雅黑" w:cs="微软雅黑"/>
                <w:spacing w:val="6"/>
                <w:sz w:val="18"/>
                <w:szCs w:val="18"/>
              </w:rPr>
              <w:t>3.4</w:t>
            </w:r>
          </w:p>
        </w:tc>
        <w:tc>
          <w:tcPr>
            <w:tcW w:w="3267" w:type="pct"/>
            <w:vAlign w:val="top"/>
          </w:tcPr>
          <w:p w14:paraId="1F16F460">
            <w:pPr>
              <w:spacing w:before="52" w:line="184" w:lineRule="auto"/>
              <w:ind w:left="214"/>
              <w:rPr>
                <w:rFonts w:ascii="微软雅黑" w:hAnsi="微软雅黑" w:eastAsia="微软雅黑" w:cs="微软雅黑"/>
                <w:sz w:val="18"/>
                <w:szCs w:val="18"/>
              </w:rPr>
            </w:pPr>
            <w:r>
              <w:rPr>
                <w:rFonts w:ascii="微软雅黑" w:hAnsi="微软雅黑" w:eastAsia="微软雅黑" w:cs="微软雅黑"/>
                <w:spacing w:val="-1"/>
                <w:sz w:val="18"/>
                <w:szCs w:val="18"/>
              </w:rPr>
              <w:t>其中：总承包服务费</w:t>
            </w:r>
          </w:p>
        </w:tc>
        <w:tc>
          <w:tcPr>
            <w:tcW w:w="1252" w:type="pct"/>
            <w:tcBorders>
              <w:right w:val="single" w:color="000000" w:sz="12" w:space="0"/>
            </w:tcBorders>
            <w:vAlign w:val="top"/>
          </w:tcPr>
          <w:p w14:paraId="2ED4B06E">
            <w:pPr>
              <w:pStyle w:val="13"/>
            </w:pPr>
          </w:p>
        </w:tc>
      </w:tr>
      <w:tr w14:paraId="30E50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159E7C8E">
            <w:pPr>
              <w:spacing w:before="53" w:line="195" w:lineRule="auto"/>
              <w:ind w:left="468"/>
              <w:rPr>
                <w:rFonts w:ascii="微软雅黑" w:hAnsi="微软雅黑" w:eastAsia="微软雅黑" w:cs="微软雅黑"/>
                <w:sz w:val="18"/>
                <w:szCs w:val="18"/>
              </w:rPr>
            </w:pPr>
            <w:r>
              <w:rPr>
                <w:rFonts w:ascii="微软雅黑" w:hAnsi="微软雅黑" w:eastAsia="微软雅黑" w:cs="微软雅黑"/>
                <w:spacing w:val="6"/>
                <w:sz w:val="18"/>
                <w:szCs w:val="18"/>
              </w:rPr>
              <w:t>3.5</w:t>
            </w:r>
          </w:p>
        </w:tc>
        <w:tc>
          <w:tcPr>
            <w:tcW w:w="3267" w:type="pct"/>
            <w:vAlign w:val="top"/>
          </w:tcPr>
          <w:p w14:paraId="37C62A2A">
            <w:pPr>
              <w:spacing w:before="53" w:line="184" w:lineRule="auto"/>
              <w:ind w:left="214"/>
              <w:rPr>
                <w:rFonts w:ascii="微软雅黑" w:hAnsi="微软雅黑" w:eastAsia="微软雅黑" w:cs="微软雅黑"/>
                <w:sz w:val="18"/>
                <w:szCs w:val="18"/>
              </w:rPr>
            </w:pPr>
            <w:r>
              <w:rPr>
                <w:rFonts w:ascii="微软雅黑" w:hAnsi="微软雅黑" w:eastAsia="微软雅黑" w:cs="微软雅黑"/>
                <w:spacing w:val="-1"/>
                <w:sz w:val="18"/>
                <w:szCs w:val="18"/>
              </w:rPr>
              <w:t>其中：合同中约定的其他项目</w:t>
            </w:r>
          </w:p>
        </w:tc>
        <w:tc>
          <w:tcPr>
            <w:tcW w:w="1252" w:type="pct"/>
            <w:tcBorders>
              <w:right w:val="single" w:color="000000" w:sz="12" w:space="0"/>
            </w:tcBorders>
            <w:vAlign w:val="top"/>
          </w:tcPr>
          <w:p w14:paraId="5A0F0A1D">
            <w:pPr>
              <w:pStyle w:val="13"/>
            </w:pPr>
          </w:p>
        </w:tc>
      </w:tr>
      <w:tr w14:paraId="39369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56852E6A">
            <w:pPr>
              <w:spacing w:before="54" w:line="194" w:lineRule="auto"/>
              <w:ind w:left="553"/>
              <w:rPr>
                <w:rFonts w:ascii="微软雅黑" w:hAnsi="微软雅黑" w:eastAsia="微软雅黑" w:cs="微软雅黑"/>
                <w:sz w:val="18"/>
                <w:szCs w:val="18"/>
              </w:rPr>
            </w:pPr>
            <w:r>
              <w:rPr>
                <w:rFonts w:ascii="微软雅黑" w:hAnsi="微软雅黑" w:eastAsia="微软雅黑" w:cs="微软雅黑"/>
                <w:sz w:val="18"/>
                <w:szCs w:val="18"/>
              </w:rPr>
              <w:t>4</w:t>
            </w:r>
          </w:p>
        </w:tc>
        <w:tc>
          <w:tcPr>
            <w:tcW w:w="3267" w:type="pct"/>
            <w:vAlign w:val="top"/>
          </w:tcPr>
          <w:p w14:paraId="046EE70B">
            <w:pPr>
              <w:spacing w:before="53" w:line="186" w:lineRule="auto"/>
              <w:ind w:left="214"/>
              <w:rPr>
                <w:rFonts w:ascii="微软雅黑" w:hAnsi="微软雅黑" w:eastAsia="微软雅黑" w:cs="微软雅黑"/>
                <w:sz w:val="18"/>
                <w:szCs w:val="18"/>
              </w:rPr>
            </w:pPr>
            <w:r>
              <w:rPr>
                <w:rFonts w:ascii="微软雅黑" w:hAnsi="微软雅黑" w:eastAsia="微软雅黑" w:cs="微软雅黑"/>
                <w:spacing w:val="-3"/>
                <w:sz w:val="18"/>
                <w:szCs w:val="18"/>
              </w:rPr>
              <w:t>增值税</w:t>
            </w:r>
          </w:p>
        </w:tc>
        <w:tc>
          <w:tcPr>
            <w:tcW w:w="1252" w:type="pct"/>
            <w:tcBorders>
              <w:right w:val="single" w:color="000000" w:sz="12" w:space="0"/>
            </w:tcBorders>
            <w:vAlign w:val="top"/>
          </w:tcPr>
          <w:p w14:paraId="165BB268">
            <w:pPr>
              <w:spacing w:before="54" w:line="194" w:lineRule="auto"/>
              <w:jc w:val="right"/>
              <w:rPr>
                <w:rFonts w:ascii="微软雅黑" w:hAnsi="微软雅黑" w:eastAsia="微软雅黑" w:cs="微软雅黑"/>
                <w:sz w:val="18"/>
                <w:szCs w:val="18"/>
              </w:rPr>
            </w:pPr>
            <w:r>
              <w:rPr>
                <w:rFonts w:ascii="微软雅黑" w:hAnsi="微软雅黑" w:eastAsia="微软雅黑" w:cs="微软雅黑"/>
                <w:spacing w:val="-9"/>
                <w:sz w:val="18"/>
                <w:szCs w:val="18"/>
              </w:rPr>
              <w:t>62819.93</w:t>
            </w:r>
          </w:p>
        </w:tc>
      </w:tr>
      <w:tr w14:paraId="70FB5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80" w:type="pct"/>
            <w:tcBorders>
              <w:left w:val="single" w:color="000000" w:sz="12" w:space="0"/>
            </w:tcBorders>
            <w:vAlign w:val="top"/>
          </w:tcPr>
          <w:p w14:paraId="2778D3A1">
            <w:pPr>
              <w:spacing w:before="55" w:line="193" w:lineRule="auto"/>
              <w:ind w:left="558"/>
              <w:rPr>
                <w:rFonts w:ascii="微软雅黑" w:hAnsi="微软雅黑" w:eastAsia="微软雅黑" w:cs="微软雅黑"/>
                <w:sz w:val="18"/>
                <w:szCs w:val="18"/>
              </w:rPr>
            </w:pPr>
            <w:r>
              <w:rPr>
                <w:rFonts w:ascii="微软雅黑" w:hAnsi="微软雅黑" w:eastAsia="微软雅黑" w:cs="微软雅黑"/>
                <w:sz w:val="18"/>
                <w:szCs w:val="18"/>
              </w:rPr>
              <w:t>5</w:t>
            </w:r>
          </w:p>
        </w:tc>
        <w:tc>
          <w:tcPr>
            <w:tcW w:w="3267" w:type="pct"/>
            <w:vAlign w:val="top"/>
          </w:tcPr>
          <w:p w14:paraId="2D7BADC0">
            <w:pPr>
              <w:spacing w:before="55" w:line="185" w:lineRule="auto"/>
              <w:ind w:left="214"/>
              <w:rPr>
                <w:rFonts w:ascii="微软雅黑" w:hAnsi="微软雅黑" w:eastAsia="微软雅黑" w:cs="微软雅黑"/>
                <w:sz w:val="18"/>
                <w:szCs w:val="18"/>
              </w:rPr>
            </w:pPr>
            <w:r>
              <w:rPr>
                <w:rFonts w:ascii="微软雅黑" w:hAnsi="微软雅黑" w:eastAsia="微软雅黑" w:cs="微软雅黑"/>
                <w:spacing w:val="-5"/>
                <w:sz w:val="18"/>
                <w:szCs w:val="18"/>
              </w:rPr>
              <w:t>合</w:t>
            </w:r>
            <w:r>
              <w:rPr>
                <w:rFonts w:ascii="微软雅黑" w:hAnsi="微软雅黑" w:eastAsia="微软雅黑" w:cs="微软雅黑"/>
                <w:spacing w:val="2"/>
                <w:sz w:val="18"/>
                <w:szCs w:val="18"/>
              </w:rPr>
              <w:t xml:space="preserve">     </w:t>
            </w:r>
            <w:r>
              <w:rPr>
                <w:rFonts w:ascii="微软雅黑" w:hAnsi="微软雅黑" w:eastAsia="微软雅黑" w:cs="微软雅黑"/>
                <w:spacing w:val="-5"/>
                <w:sz w:val="18"/>
                <w:szCs w:val="18"/>
              </w:rPr>
              <w:t>计</w:t>
            </w:r>
          </w:p>
        </w:tc>
        <w:tc>
          <w:tcPr>
            <w:tcW w:w="1252" w:type="pct"/>
            <w:tcBorders>
              <w:right w:val="single" w:color="000000" w:sz="12" w:space="0"/>
            </w:tcBorders>
            <w:vAlign w:val="top"/>
          </w:tcPr>
          <w:p w14:paraId="37EB3960">
            <w:pPr>
              <w:spacing w:before="55" w:line="193" w:lineRule="auto"/>
              <w:jc w:val="right"/>
              <w:rPr>
                <w:rFonts w:ascii="微软雅黑" w:hAnsi="微软雅黑" w:eastAsia="微软雅黑" w:cs="微软雅黑"/>
                <w:sz w:val="18"/>
                <w:szCs w:val="18"/>
              </w:rPr>
            </w:pPr>
            <w:r>
              <w:rPr>
                <w:rFonts w:ascii="微软雅黑" w:hAnsi="微软雅黑" w:eastAsia="微软雅黑" w:cs="微软雅黑"/>
                <w:spacing w:val="-9"/>
                <w:sz w:val="18"/>
                <w:szCs w:val="18"/>
              </w:rPr>
              <w:t>920819.2</w:t>
            </w:r>
          </w:p>
        </w:tc>
      </w:tr>
    </w:tbl>
    <w:p w14:paraId="5BB4186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240" w:lineRule="auto"/>
        <w:textAlignment w:val="baseline"/>
        <w:rPr>
          <w:rFonts w:hint="eastAsia" w:ascii="宋体" w:hAnsi="宋体" w:eastAsia="宋体" w:cs="宋体"/>
          <w:color w:val="auto"/>
          <w:spacing w:val="-1"/>
          <w:sz w:val="24"/>
          <w:szCs w:val="24"/>
          <w14:textOutline w14:w="4358" w14:cap="sq" w14:cmpd="sng">
            <w14:solidFill>
              <w14:srgbClr w14:val="000000"/>
            </w14:solidFill>
            <w14:prstDash w14:val="solid"/>
            <w14:bevel/>
          </w14:textOutline>
        </w:rPr>
      </w:pPr>
    </w:p>
    <w:p w14:paraId="05DF6E8E">
      <w:pPr>
        <w:rPr>
          <w:rFonts w:hint="eastAsia" w:ascii="宋体" w:hAnsi="宋体" w:eastAsia="宋体" w:cs="宋体"/>
          <w:color w:val="auto"/>
          <w:sz w:val="24"/>
        </w:rPr>
      </w:pPr>
    </w:p>
    <w:p w14:paraId="4BF76665">
      <w:pPr>
        <w:spacing w:before="330" w:line="229" w:lineRule="auto"/>
        <w:ind w:left="2345"/>
        <w:outlineLvl w:val="0"/>
        <w:rPr>
          <w:rFonts w:hint="eastAsia" w:ascii="宋体" w:hAnsi="宋体" w:eastAsia="宋体" w:cs="宋体"/>
          <w:b/>
          <w:bCs/>
          <w:color w:val="auto"/>
          <w:spacing w:val="7"/>
          <w:sz w:val="43"/>
          <w:szCs w:val="43"/>
        </w:rPr>
      </w:pPr>
    </w:p>
    <w:p w14:paraId="76DF6678">
      <w:pPr>
        <w:pStyle w:val="4"/>
        <w:spacing w:before="37" w:line="219" w:lineRule="auto"/>
        <w:ind w:left="102"/>
        <w:outlineLvl w:val="1"/>
        <w:rPr>
          <w:rFonts w:hint="eastAsia" w:ascii="黑体" w:hAnsi="宋体" w:eastAsia="黑体" w:cs="黑体"/>
          <w:b/>
          <w:bCs/>
          <w:color w:val="auto"/>
          <w:kern w:val="0"/>
          <w:sz w:val="28"/>
          <w:szCs w:val="28"/>
          <w:lang w:val="en-US" w:eastAsia="zh-CN" w:bidi="ar"/>
        </w:rPr>
      </w:pPr>
      <w:r>
        <w:rPr>
          <w:rFonts w:hint="eastAsia" w:ascii="黑体" w:hAnsi="宋体" w:eastAsia="黑体" w:cs="黑体"/>
          <w:b/>
          <w:bCs/>
          <w:color w:val="auto"/>
          <w:kern w:val="0"/>
          <w:sz w:val="28"/>
          <w:szCs w:val="28"/>
          <w:lang w:val="en-US" w:eastAsia="zh-CN" w:bidi="ar"/>
        </w:rPr>
        <w:t>第四部分 评审程序、方法及标准</w:t>
      </w:r>
    </w:p>
    <w:p w14:paraId="227C2055">
      <w:pPr>
        <w:spacing w:line="335" w:lineRule="auto"/>
        <w:rPr>
          <w:rFonts w:hint="eastAsia" w:ascii="宋体" w:hAnsi="宋体" w:eastAsia="宋体" w:cs="宋体"/>
          <w:color w:val="auto"/>
          <w:sz w:val="21"/>
        </w:rPr>
      </w:pPr>
    </w:p>
    <w:p w14:paraId="1A97043A">
      <w:pPr>
        <w:pStyle w:val="4"/>
        <w:spacing w:before="78" w:line="219" w:lineRule="auto"/>
        <w:jc w:val="right"/>
        <w:outlineLvl w:val="1"/>
        <w:rPr>
          <w:rFonts w:hint="eastAsia" w:ascii="宋体" w:hAnsi="宋体" w:eastAsia="宋体" w:cs="宋体"/>
          <w:color w:val="auto"/>
          <w:sz w:val="24"/>
          <w:szCs w:val="24"/>
        </w:rPr>
      </w:pPr>
      <w:r>
        <w:rPr>
          <w:rFonts w:hint="eastAsia" w:ascii="宋体" w:hAnsi="宋体" w:eastAsia="宋体" w:cs="宋体"/>
          <w:color w:val="auto"/>
          <w:spacing w:val="-8"/>
          <w:sz w:val="24"/>
          <w:szCs w:val="24"/>
        </w:rPr>
        <w:t>根据《中华人民共和国政府采购法》、《中华人民共和国政府采购法实施条例》、</w:t>
      </w:r>
    </w:p>
    <w:p w14:paraId="6BA61815">
      <w:pPr>
        <w:pStyle w:val="4"/>
        <w:spacing w:before="182" w:line="345" w:lineRule="auto"/>
        <w:ind w:left="14" w:right="99" w:firstLine="2"/>
        <w:rPr>
          <w:rFonts w:hint="eastAsia" w:ascii="宋体" w:hAnsi="宋体" w:eastAsia="宋体" w:cs="宋体"/>
          <w:color w:val="auto"/>
          <w:sz w:val="24"/>
          <w:szCs w:val="24"/>
        </w:rPr>
      </w:pPr>
      <w:r>
        <w:rPr>
          <w:rFonts w:hint="eastAsia" w:ascii="宋体" w:hAnsi="宋体" w:eastAsia="宋体" w:cs="宋体"/>
          <w:color w:val="auto"/>
          <w:spacing w:val="-4"/>
          <w:sz w:val="24"/>
          <w:szCs w:val="24"/>
        </w:rPr>
        <w:t>《政府采购货物和服务招标投标管理办法》、《政府采购竞争性磋商采购方式管理暂</w:t>
      </w:r>
      <w:r>
        <w:rPr>
          <w:rFonts w:hint="eastAsia" w:ascii="宋体" w:hAnsi="宋体" w:eastAsia="宋体" w:cs="宋体"/>
          <w:color w:val="auto"/>
          <w:sz w:val="24"/>
          <w:szCs w:val="24"/>
        </w:rPr>
        <w:t>行办法》等有关法律、法规和规章的规 定，</w:t>
      </w:r>
      <w:r>
        <w:rPr>
          <w:rFonts w:hint="eastAsia" w:ascii="宋体" w:hAnsi="宋体" w:eastAsia="宋体" w:cs="宋体"/>
          <w:color w:val="auto"/>
          <w:spacing w:val="-1"/>
          <w:sz w:val="24"/>
          <w:szCs w:val="24"/>
        </w:rPr>
        <w:t>确定以下评标方法、步骤及标准。</w:t>
      </w:r>
    </w:p>
    <w:p w14:paraId="0784810C">
      <w:pPr>
        <w:pStyle w:val="4"/>
        <w:spacing w:before="37" w:line="220" w:lineRule="auto"/>
        <w:ind w:left="494"/>
        <w:outlineLvl w:val="1"/>
        <w:rPr>
          <w:rFonts w:hint="eastAsia" w:ascii="宋体" w:hAnsi="宋体" w:eastAsia="宋体" w:cs="宋体"/>
          <w:color w:val="auto"/>
          <w:sz w:val="24"/>
          <w:szCs w:val="24"/>
        </w:rPr>
      </w:pPr>
      <w:bookmarkStart w:id="6" w:name="bookmark139"/>
      <w:bookmarkEnd w:id="6"/>
      <w:r>
        <w:rPr>
          <w:rFonts w:hint="eastAsia" w:ascii="宋体" w:hAnsi="宋体" w:eastAsia="宋体" w:cs="宋体"/>
          <w:b/>
          <w:bCs/>
          <w:color w:val="auto"/>
          <w:spacing w:val="-4"/>
          <w:sz w:val="24"/>
          <w:szCs w:val="24"/>
        </w:rPr>
        <w:t>一、评审方法</w:t>
      </w:r>
    </w:p>
    <w:p w14:paraId="6FDDF909">
      <w:pPr>
        <w:pStyle w:val="4"/>
        <w:spacing w:before="180" w:line="345" w:lineRule="auto"/>
        <w:ind w:left="11" w:right="99" w:firstLine="480"/>
        <w:rPr>
          <w:rFonts w:hint="eastAsia" w:ascii="宋体" w:hAnsi="宋体" w:eastAsia="宋体" w:cs="宋体"/>
          <w:color w:val="auto"/>
          <w:sz w:val="24"/>
          <w:szCs w:val="24"/>
        </w:rPr>
      </w:pPr>
      <w:r>
        <w:rPr>
          <w:rFonts w:hint="eastAsia" w:ascii="宋体" w:hAnsi="宋体" w:eastAsia="宋体" w:cs="宋体"/>
          <w:color w:val="auto"/>
          <w:spacing w:val="-2"/>
          <w:sz w:val="24"/>
          <w:szCs w:val="24"/>
        </w:rPr>
        <w:t>本次评审采用综合评分法（百分制</w:t>
      </w:r>
      <w:r>
        <w:rPr>
          <w:rFonts w:hint="eastAsia" w:ascii="宋体" w:hAnsi="宋体" w:eastAsia="宋体" w:cs="宋体"/>
          <w:color w:val="auto"/>
          <w:spacing w:val="-24"/>
          <w:sz w:val="24"/>
          <w:szCs w:val="24"/>
        </w:rPr>
        <w:t>），</w:t>
      </w:r>
      <w:r>
        <w:rPr>
          <w:rFonts w:hint="eastAsia" w:ascii="宋体" w:hAnsi="宋体" w:eastAsia="宋体" w:cs="宋体"/>
          <w:color w:val="auto"/>
          <w:spacing w:val="-2"/>
          <w:sz w:val="24"/>
          <w:szCs w:val="24"/>
        </w:rPr>
        <w:t>即响应文件满足</w:t>
      </w:r>
      <w:r>
        <w:rPr>
          <w:rFonts w:hint="eastAsia" w:ascii="宋体" w:hAnsi="宋体" w:eastAsia="宋体" w:cs="宋体"/>
          <w:color w:val="auto"/>
          <w:spacing w:val="-3"/>
          <w:sz w:val="24"/>
          <w:szCs w:val="24"/>
        </w:rPr>
        <w:t>磋商文件全部实质性要求</w:t>
      </w:r>
      <w:r>
        <w:rPr>
          <w:rFonts w:hint="eastAsia" w:ascii="宋体" w:hAnsi="宋体" w:eastAsia="宋体" w:cs="宋体"/>
          <w:color w:val="auto"/>
          <w:sz w:val="24"/>
          <w:szCs w:val="24"/>
        </w:rPr>
        <w:t>且按评审因素的量化指标评审得分最高的供应商为成交</w:t>
      </w:r>
      <w:r>
        <w:rPr>
          <w:rFonts w:hint="eastAsia" w:ascii="宋体" w:hAnsi="宋体" w:eastAsia="宋体" w:cs="宋体"/>
          <w:color w:val="auto"/>
          <w:spacing w:val="-1"/>
          <w:sz w:val="24"/>
          <w:szCs w:val="24"/>
        </w:rPr>
        <w:t>候选供应商的评审方法。</w:t>
      </w:r>
    </w:p>
    <w:p w14:paraId="6FA6AEA8">
      <w:pPr>
        <w:pStyle w:val="4"/>
        <w:spacing w:before="39" w:line="349" w:lineRule="auto"/>
        <w:ind w:left="12" w:right="99" w:firstLine="481"/>
        <w:rPr>
          <w:rFonts w:hint="eastAsia" w:ascii="宋体" w:hAnsi="宋体" w:eastAsia="宋体" w:cs="宋体"/>
          <w:color w:val="auto"/>
          <w:sz w:val="24"/>
          <w:szCs w:val="24"/>
        </w:rPr>
      </w:pPr>
      <w:r>
        <w:rPr>
          <w:rFonts w:hint="eastAsia" w:ascii="宋体" w:hAnsi="宋体" w:eastAsia="宋体" w:cs="宋体"/>
          <w:color w:val="auto"/>
          <w:spacing w:val="-4"/>
          <w:sz w:val="24"/>
          <w:szCs w:val="24"/>
        </w:rPr>
        <w:t>综合评分法中的价格分统一采用低价优先法计算，即满足磋商文件要求且最后报</w:t>
      </w:r>
      <w:r>
        <w:rPr>
          <w:rFonts w:hint="eastAsia" w:ascii="宋体" w:hAnsi="宋体" w:eastAsia="宋体" w:cs="宋体"/>
          <w:color w:val="auto"/>
          <w:spacing w:val="13"/>
          <w:sz w:val="24"/>
          <w:szCs w:val="24"/>
        </w:rPr>
        <w:t xml:space="preserve"> </w:t>
      </w:r>
      <w:r>
        <w:rPr>
          <w:rFonts w:hint="eastAsia" w:ascii="宋体" w:hAnsi="宋体" w:eastAsia="宋体" w:cs="宋体"/>
          <w:color w:val="auto"/>
          <w:spacing w:val="-3"/>
          <w:sz w:val="24"/>
          <w:szCs w:val="24"/>
        </w:rPr>
        <w:t>价最低的供应商的价格为磋商基准价，其价格分为满</w:t>
      </w:r>
      <w:r>
        <w:rPr>
          <w:rFonts w:hint="eastAsia" w:ascii="宋体" w:hAnsi="宋体" w:eastAsia="宋体" w:cs="宋体"/>
          <w:color w:val="auto"/>
          <w:spacing w:val="-4"/>
          <w:sz w:val="24"/>
          <w:szCs w:val="24"/>
        </w:rPr>
        <w:t>分。其他供应商的价格分统一按</w:t>
      </w:r>
      <w:r>
        <w:rPr>
          <w:rFonts w:hint="eastAsia" w:ascii="宋体" w:hAnsi="宋体" w:eastAsia="宋体" w:cs="宋体"/>
          <w:color w:val="auto"/>
          <w:sz w:val="24"/>
          <w:szCs w:val="24"/>
        </w:rPr>
        <w:t xml:space="preserve"> </w:t>
      </w:r>
      <w:r>
        <w:rPr>
          <w:rFonts w:hint="eastAsia" w:ascii="宋体" w:hAnsi="宋体" w:eastAsia="宋体" w:cs="宋体"/>
          <w:color w:val="auto"/>
          <w:spacing w:val="-2"/>
          <w:sz w:val="24"/>
          <w:szCs w:val="24"/>
        </w:rPr>
        <w:t>照下列公式计算：</w:t>
      </w:r>
    </w:p>
    <w:p w14:paraId="11B89C30">
      <w:pPr>
        <w:pStyle w:val="4"/>
        <w:spacing w:before="37" w:line="346" w:lineRule="auto"/>
        <w:ind w:left="494" w:right="1706" w:hanging="4"/>
        <w:rPr>
          <w:rFonts w:hint="eastAsia" w:ascii="宋体" w:hAnsi="宋体" w:eastAsia="宋体" w:cs="宋体"/>
          <w:color w:val="auto"/>
          <w:sz w:val="24"/>
          <w:szCs w:val="24"/>
        </w:rPr>
      </w:pPr>
      <w:r>
        <w:rPr>
          <w:rFonts w:hint="eastAsia" w:ascii="宋体" w:hAnsi="宋体" w:eastAsia="宋体" w:cs="宋体"/>
          <w:color w:val="auto"/>
          <w:spacing w:val="-2"/>
          <w:sz w:val="24"/>
          <w:szCs w:val="24"/>
        </w:rPr>
        <w:t>磋商报价得分=（磋商基准价/最后磋商报价）</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2"/>
          <w:sz w:val="24"/>
          <w:szCs w:val="24"/>
        </w:rPr>
        <w:t>×价格权值×100</w:t>
      </w:r>
      <w:r>
        <w:rPr>
          <w:rFonts w:hint="eastAsia" w:ascii="宋体" w:hAnsi="宋体" w:eastAsia="宋体" w:cs="宋体"/>
          <w:color w:val="auto"/>
          <w:sz w:val="24"/>
          <w:szCs w:val="24"/>
        </w:rPr>
        <w:t xml:space="preserve"> </w:t>
      </w:r>
      <w:r>
        <w:rPr>
          <w:rFonts w:hint="eastAsia" w:ascii="宋体" w:hAnsi="宋体" w:eastAsia="宋体" w:cs="宋体"/>
          <w:color w:val="auto"/>
          <w:spacing w:val="-2"/>
          <w:sz w:val="24"/>
          <w:szCs w:val="24"/>
        </w:rPr>
        <w:t>项目评审过程中，不得去掉最后报价中的最高报价和最低报价。</w:t>
      </w:r>
    </w:p>
    <w:p w14:paraId="2BD8E88F">
      <w:pPr>
        <w:pStyle w:val="4"/>
        <w:spacing w:before="36" w:line="350" w:lineRule="auto"/>
        <w:ind w:left="12" w:right="99" w:firstLine="479"/>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推荐成交候选供应商的方法：磋商小组按评审后得分由高到低顺序进行推荐。得</w:t>
      </w:r>
      <w:r>
        <w:rPr>
          <w:rFonts w:hint="eastAsia" w:ascii="宋体" w:hAnsi="宋体" w:eastAsia="宋体" w:cs="宋体"/>
          <w:color w:val="auto"/>
          <w:spacing w:val="16"/>
          <w:sz w:val="24"/>
          <w:szCs w:val="24"/>
        </w:rPr>
        <w:t xml:space="preserve"> </w:t>
      </w:r>
      <w:r>
        <w:rPr>
          <w:rFonts w:hint="eastAsia" w:ascii="宋体" w:hAnsi="宋体" w:eastAsia="宋体" w:cs="宋体"/>
          <w:color w:val="auto"/>
          <w:spacing w:val="-3"/>
          <w:sz w:val="24"/>
          <w:szCs w:val="24"/>
        </w:rPr>
        <w:t>分相同的，按最后报价由低到高顺序排列；得分且最</w:t>
      </w:r>
      <w:r>
        <w:rPr>
          <w:rFonts w:hint="eastAsia" w:ascii="宋体" w:hAnsi="宋体" w:eastAsia="宋体" w:cs="宋体"/>
          <w:color w:val="auto"/>
          <w:spacing w:val="-4"/>
          <w:sz w:val="24"/>
          <w:szCs w:val="24"/>
        </w:rPr>
        <w:t>后报价相同的，按技术指标优劣</w:t>
      </w:r>
      <w:r>
        <w:rPr>
          <w:rFonts w:hint="eastAsia" w:ascii="宋体" w:hAnsi="宋体" w:eastAsia="宋体" w:cs="宋体"/>
          <w:color w:val="auto"/>
          <w:spacing w:val="-3"/>
          <w:sz w:val="24"/>
          <w:szCs w:val="24"/>
        </w:rPr>
        <w:t>顺序排列。</w:t>
      </w:r>
    </w:p>
    <w:p w14:paraId="613D9AE0">
      <w:pPr>
        <w:pStyle w:val="4"/>
        <w:spacing w:before="35" w:line="220" w:lineRule="auto"/>
        <w:ind w:left="494"/>
        <w:outlineLvl w:val="1"/>
        <w:rPr>
          <w:rFonts w:hint="eastAsia" w:ascii="宋体" w:hAnsi="宋体" w:eastAsia="宋体" w:cs="宋体"/>
          <w:color w:val="auto"/>
          <w:sz w:val="24"/>
          <w:szCs w:val="24"/>
        </w:rPr>
      </w:pPr>
      <w:bookmarkStart w:id="7" w:name="bookmark141"/>
      <w:bookmarkEnd w:id="7"/>
      <w:bookmarkStart w:id="8" w:name="bookmark142"/>
      <w:bookmarkEnd w:id="8"/>
      <w:r>
        <w:rPr>
          <w:rFonts w:hint="eastAsia" w:ascii="宋体" w:hAnsi="宋体" w:eastAsia="宋体" w:cs="宋体"/>
          <w:b/>
          <w:bCs/>
          <w:color w:val="auto"/>
          <w:spacing w:val="-4"/>
          <w:sz w:val="24"/>
          <w:szCs w:val="24"/>
        </w:rPr>
        <w:t>二、磋商评审程序</w:t>
      </w:r>
    </w:p>
    <w:p w14:paraId="76C5CC6E">
      <w:pPr>
        <w:pStyle w:val="4"/>
        <w:spacing w:before="182" w:line="219" w:lineRule="auto"/>
        <w:ind w:left="508"/>
        <w:rPr>
          <w:rFonts w:hint="eastAsia" w:ascii="宋体" w:hAnsi="宋体" w:eastAsia="宋体" w:cs="宋体"/>
          <w:color w:val="auto"/>
          <w:sz w:val="24"/>
          <w:szCs w:val="24"/>
        </w:rPr>
      </w:pPr>
      <w:r>
        <w:rPr>
          <w:rFonts w:hint="eastAsia" w:ascii="宋体" w:hAnsi="宋体" w:eastAsia="宋体" w:cs="宋体"/>
          <w:color w:val="auto"/>
          <w:spacing w:val="-3"/>
          <w:sz w:val="24"/>
          <w:szCs w:val="24"/>
        </w:rPr>
        <w:t>1.对磋商文件的审查</w:t>
      </w:r>
    </w:p>
    <w:p w14:paraId="690FABBB">
      <w:pPr>
        <w:pStyle w:val="4"/>
        <w:spacing w:before="181" w:line="350" w:lineRule="auto"/>
        <w:ind w:left="12" w:right="99" w:firstLine="496"/>
        <w:rPr>
          <w:rFonts w:hint="eastAsia" w:ascii="宋体" w:hAnsi="宋体" w:eastAsia="宋体" w:cs="宋体"/>
          <w:color w:val="auto"/>
          <w:sz w:val="24"/>
          <w:szCs w:val="24"/>
        </w:rPr>
      </w:pPr>
      <w:r>
        <w:rPr>
          <w:rFonts w:hint="eastAsia" w:ascii="宋体" w:hAnsi="宋体" w:eastAsia="宋体" w:cs="宋体"/>
          <w:color w:val="auto"/>
          <w:spacing w:val="-3"/>
          <w:sz w:val="24"/>
          <w:szCs w:val="24"/>
        </w:rPr>
        <w:t>1.1</w:t>
      </w:r>
      <w:r>
        <w:rPr>
          <w:rFonts w:hint="eastAsia" w:ascii="宋体" w:hAnsi="宋体" w:eastAsia="宋体" w:cs="宋体"/>
          <w:color w:val="auto"/>
          <w:spacing w:val="-33"/>
          <w:sz w:val="24"/>
          <w:szCs w:val="24"/>
        </w:rPr>
        <w:t xml:space="preserve"> </w:t>
      </w:r>
      <w:r>
        <w:rPr>
          <w:rFonts w:hint="eastAsia" w:ascii="宋体" w:hAnsi="宋体" w:eastAsia="宋体" w:cs="宋体"/>
          <w:color w:val="auto"/>
          <w:spacing w:val="-3"/>
          <w:sz w:val="24"/>
          <w:szCs w:val="24"/>
        </w:rPr>
        <w:t>磋商小组正式评审前，应当对磋商文件进行熟悉和理解，内容主要包括磋商</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文件中供应商资格条件要求、采购项目技术、服务和</w:t>
      </w:r>
      <w:r>
        <w:rPr>
          <w:rFonts w:hint="eastAsia" w:ascii="宋体" w:hAnsi="宋体" w:eastAsia="宋体" w:cs="宋体"/>
          <w:color w:val="auto"/>
          <w:spacing w:val="-4"/>
          <w:sz w:val="24"/>
          <w:szCs w:val="24"/>
        </w:rPr>
        <w:t>商务要求、磋商评审程序、办法</w:t>
      </w:r>
      <w:r>
        <w:rPr>
          <w:rFonts w:hint="eastAsia" w:ascii="宋体" w:hAnsi="宋体" w:eastAsia="宋体" w:cs="宋体"/>
          <w:color w:val="auto"/>
          <w:spacing w:val="-1"/>
          <w:sz w:val="24"/>
          <w:szCs w:val="24"/>
        </w:rPr>
        <w:t>和标准、政府采购政策要求等。</w:t>
      </w:r>
    </w:p>
    <w:p w14:paraId="08AB0585">
      <w:pPr>
        <w:pStyle w:val="4"/>
        <w:spacing w:before="33" w:line="219" w:lineRule="auto"/>
        <w:ind w:left="494"/>
        <w:rPr>
          <w:rFonts w:hint="eastAsia" w:ascii="宋体" w:hAnsi="宋体" w:eastAsia="宋体" w:cs="宋体"/>
          <w:color w:val="auto"/>
          <w:sz w:val="24"/>
          <w:szCs w:val="24"/>
        </w:rPr>
      </w:pPr>
      <w:r>
        <w:rPr>
          <w:rFonts w:hint="eastAsia" w:ascii="宋体" w:hAnsi="宋体" w:eastAsia="宋体" w:cs="宋体"/>
          <w:color w:val="auto"/>
          <w:spacing w:val="-1"/>
          <w:sz w:val="24"/>
          <w:szCs w:val="24"/>
        </w:rPr>
        <w:t>2.对供应商的资格审查和符合性审查</w:t>
      </w:r>
    </w:p>
    <w:p w14:paraId="533D64D5">
      <w:pPr>
        <w:pStyle w:val="4"/>
        <w:spacing w:before="185" w:line="350" w:lineRule="auto"/>
        <w:ind w:left="11" w:right="99" w:firstLine="482"/>
        <w:rPr>
          <w:rFonts w:hint="eastAsia" w:ascii="宋体" w:hAnsi="宋体" w:eastAsia="宋体" w:cs="宋体"/>
          <w:color w:val="auto"/>
          <w:sz w:val="24"/>
          <w:szCs w:val="24"/>
        </w:rPr>
      </w:pPr>
      <w:r>
        <w:rPr>
          <w:rFonts w:hint="eastAsia" w:ascii="宋体" w:hAnsi="宋体" w:eastAsia="宋体" w:cs="宋体"/>
          <w:color w:val="auto"/>
          <w:spacing w:val="-2"/>
          <w:sz w:val="24"/>
          <w:szCs w:val="24"/>
        </w:rPr>
        <w:t>2.1</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2"/>
          <w:sz w:val="24"/>
          <w:szCs w:val="24"/>
        </w:rPr>
        <w:t>磋商小组应依据法律法规和磋商文件的规定，对供应商响应文件是否</w:t>
      </w:r>
      <w:r>
        <w:rPr>
          <w:rFonts w:hint="eastAsia" w:ascii="宋体" w:hAnsi="宋体" w:eastAsia="宋体" w:cs="宋体"/>
          <w:color w:val="auto"/>
          <w:spacing w:val="-3"/>
          <w:sz w:val="24"/>
          <w:szCs w:val="24"/>
        </w:rPr>
        <w:t>按照规</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定要求提供资格性证明材料、是否属于禁止参加磋商的</w:t>
      </w:r>
      <w:r>
        <w:rPr>
          <w:rFonts w:hint="eastAsia" w:ascii="宋体" w:hAnsi="宋体" w:eastAsia="宋体" w:cs="宋体"/>
          <w:color w:val="auto"/>
          <w:spacing w:val="-4"/>
          <w:sz w:val="24"/>
          <w:szCs w:val="24"/>
        </w:rPr>
        <w:t>供应商等进行审查，以确定供</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应商是否具备磋商资格。</w:t>
      </w:r>
    </w:p>
    <w:p w14:paraId="0C5C3687">
      <w:pPr>
        <w:pStyle w:val="4"/>
        <w:spacing w:before="34" w:line="353" w:lineRule="auto"/>
        <w:ind w:left="14" w:firstLine="480"/>
        <w:jc w:val="both"/>
        <w:rPr>
          <w:rFonts w:hint="eastAsia" w:ascii="宋体" w:hAnsi="宋体" w:eastAsia="宋体" w:cs="宋体"/>
          <w:color w:val="auto"/>
          <w:spacing w:val="-7"/>
          <w:sz w:val="24"/>
          <w:szCs w:val="24"/>
          <w:lang w:val="en-US" w:eastAsia="zh-CN"/>
        </w:rPr>
      </w:pPr>
      <w:r>
        <w:rPr>
          <w:rFonts w:hint="eastAsia" w:ascii="宋体" w:hAnsi="宋体" w:eastAsia="宋体" w:cs="宋体"/>
          <w:color w:val="auto"/>
          <w:spacing w:val="-6"/>
          <w:sz w:val="24"/>
          <w:szCs w:val="24"/>
        </w:rPr>
        <w:t>2.2</w:t>
      </w:r>
      <w:r>
        <w:rPr>
          <w:rFonts w:hint="eastAsia" w:ascii="宋体" w:hAnsi="宋体" w:eastAsia="宋体" w:cs="宋体"/>
          <w:color w:val="auto"/>
          <w:spacing w:val="-45"/>
          <w:sz w:val="24"/>
          <w:szCs w:val="24"/>
        </w:rPr>
        <w:t xml:space="preserve"> </w:t>
      </w:r>
      <w:r>
        <w:rPr>
          <w:rFonts w:hint="eastAsia" w:ascii="宋体" w:hAnsi="宋体" w:eastAsia="宋体" w:cs="宋体"/>
          <w:color w:val="auto"/>
          <w:spacing w:val="-6"/>
          <w:sz w:val="24"/>
          <w:szCs w:val="24"/>
        </w:rPr>
        <w:t>磋商小组应对照评审程序、方法及标准（一）《供应商资格审查表》、（二）</w:t>
      </w:r>
      <w:r>
        <w:rPr>
          <w:rFonts w:hint="eastAsia" w:ascii="宋体" w:hAnsi="宋体" w:eastAsia="宋体" w:cs="宋体"/>
          <w:color w:val="auto"/>
          <w:spacing w:val="-3"/>
          <w:sz w:val="24"/>
          <w:szCs w:val="24"/>
        </w:rPr>
        <w:t>《供应商符合性审查表》，对符合资格的响应文</w:t>
      </w:r>
      <w:r>
        <w:rPr>
          <w:rFonts w:hint="eastAsia" w:ascii="宋体" w:hAnsi="宋体" w:eastAsia="宋体" w:cs="宋体"/>
          <w:color w:val="auto"/>
          <w:spacing w:val="-4"/>
          <w:sz w:val="24"/>
          <w:szCs w:val="24"/>
        </w:rPr>
        <w:t>件进行有效性、完整性和响应程度审</w:t>
      </w:r>
      <w:r>
        <w:rPr>
          <w:rFonts w:hint="eastAsia" w:ascii="宋体" w:hAnsi="宋体" w:eastAsia="宋体" w:cs="宋体"/>
          <w:color w:val="auto"/>
          <w:spacing w:val="-7"/>
          <w:sz w:val="24"/>
          <w:szCs w:val="24"/>
        </w:rPr>
        <w:t>查。</w:t>
      </w:r>
      <w:r>
        <w:rPr>
          <w:rFonts w:hint="eastAsia" w:ascii="宋体" w:hAnsi="宋体" w:eastAsia="宋体" w:cs="宋体"/>
          <w:color w:val="auto"/>
          <w:spacing w:val="-7"/>
          <w:sz w:val="24"/>
          <w:szCs w:val="24"/>
          <w:lang w:val="en-US" w:eastAsia="zh-CN"/>
        </w:rPr>
        <w:t xml:space="preserve">  </w:t>
      </w:r>
    </w:p>
    <w:p w14:paraId="5CABAB7A">
      <w:pPr>
        <w:pStyle w:val="4"/>
        <w:spacing w:before="34" w:line="353" w:lineRule="auto"/>
        <w:ind w:left="14" w:firstLine="480"/>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2.3</w:t>
      </w:r>
      <w:r>
        <w:rPr>
          <w:rFonts w:hint="eastAsia" w:ascii="宋体" w:hAnsi="宋体" w:eastAsia="宋体" w:cs="宋体"/>
          <w:color w:val="auto"/>
          <w:spacing w:val="-47"/>
          <w:sz w:val="24"/>
          <w:szCs w:val="24"/>
        </w:rPr>
        <w:t xml:space="preserve"> </w:t>
      </w:r>
      <w:r>
        <w:rPr>
          <w:rFonts w:hint="eastAsia" w:ascii="宋体" w:hAnsi="宋体" w:eastAsia="宋体" w:cs="宋体"/>
          <w:color w:val="auto"/>
          <w:spacing w:val="-2"/>
          <w:sz w:val="24"/>
          <w:szCs w:val="24"/>
        </w:rPr>
        <w:t>未实质性响应磋商文件的响应文件按无效响应处理，磋商</w:t>
      </w:r>
      <w:r>
        <w:rPr>
          <w:rFonts w:hint="eastAsia" w:ascii="宋体" w:hAnsi="宋体" w:eastAsia="宋体" w:cs="宋体"/>
          <w:color w:val="auto"/>
          <w:spacing w:val="-3"/>
          <w:sz w:val="24"/>
          <w:szCs w:val="24"/>
        </w:rPr>
        <w:t>小组应当告知提交</w:t>
      </w:r>
      <w:r>
        <w:rPr>
          <w:rFonts w:hint="eastAsia" w:ascii="宋体" w:hAnsi="宋体" w:eastAsia="宋体" w:cs="宋体"/>
          <w:color w:val="auto"/>
          <w:spacing w:val="-2"/>
          <w:sz w:val="24"/>
          <w:szCs w:val="24"/>
        </w:rPr>
        <w:t>响应文件的供应商未通过审查的原因。</w:t>
      </w:r>
    </w:p>
    <w:p w14:paraId="3B28EA26">
      <w:pPr>
        <w:pStyle w:val="4"/>
        <w:spacing w:before="33" w:line="219" w:lineRule="auto"/>
        <w:ind w:left="495"/>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3.响应文件的澄清、说明或补充</w:t>
      </w:r>
    </w:p>
    <w:p w14:paraId="6A143BCB">
      <w:pPr>
        <w:pStyle w:val="4"/>
        <w:spacing w:before="182" w:line="324" w:lineRule="auto"/>
        <w:ind w:left="11" w:right="80" w:firstLine="484"/>
        <w:rPr>
          <w:rFonts w:hint="eastAsia" w:ascii="宋体" w:hAnsi="宋体" w:eastAsia="宋体" w:cs="宋体"/>
          <w:color w:val="auto"/>
          <w:sz w:val="24"/>
          <w:szCs w:val="24"/>
        </w:rPr>
      </w:pPr>
      <w:r>
        <w:rPr>
          <w:rFonts w:hint="eastAsia" w:ascii="宋体" w:hAnsi="宋体" w:eastAsia="宋体" w:cs="宋体"/>
          <w:color w:val="auto"/>
          <w:spacing w:val="-2"/>
          <w:sz w:val="24"/>
          <w:szCs w:val="24"/>
        </w:rPr>
        <w:t>3.1</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磋商小组在对响应文件的有效性、完整性和响应程度进行审查时</w:t>
      </w:r>
      <w:r>
        <w:rPr>
          <w:rFonts w:hint="eastAsia" w:ascii="宋体" w:hAnsi="宋体" w:eastAsia="宋体" w:cs="宋体"/>
          <w:color w:val="auto"/>
          <w:spacing w:val="-3"/>
          <w:sz w:val="24"/>
          <w:szCs w:val="24"/>
        </w:rPr>
        <w:t>，可以要求</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供应商对响应文件中含义不明确、同类问题表述不一致</w:t>
      </w:r>
      <w:r>
        <w:rPr>
          <w:rFonts w:hint="eastAsia" w:ascii="宋体" w:hAnsi="宋体" w:eastAsia="宋体" w:cs="宋体"/>
          <w:color w:val="auto"/>
          <w:spacing w:val="-4"/>
          <w:sz w:val="24"/>
          <w:szCs w:val="24"/>
        </w:rPr>
        <w:t>或者有明显文字和计算错误的</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内容等作出必要的澄清、说明或者更正。供应商的澄清</w:t>
      </w:r>
      <w:r>
        <w:rPr>
          <w:rFonts w:hint="eastAsia" w:ascii="宋体" w:hAnsi="宋体" w:eastAsia="宋体" w:cs="宋体"/>
          <w:color w:val="auto"/>
          <w:spacing w:val="-4"/>
          <w:sz w:val="24"/>
          <w:szCs w:val="24"/>
        </w:rPr>
        <w:t>、说明或者更正不得超出响应</w:t>
      </w:r>
      <w:r>
        <w:rPr>
          <w:rFonts w:hint="eastAsia" w:ascii="宋体" w:hAnsi="宋体" w:eastAsia="宋体" w:cs="宋体"/>
          <w:color w:val="auto"/>
          <w:spacing w:val="-1"/>
          <w:sz w:val="24"/>
          <w:szCs w:val="24"/>
        </w:rPr>
        <w:t>文件的范围或者改变响应文件的实质性内容。</w:t>
      </w:r>
    </w:p>
    <w:p w14:paraId="009F425F">
      <w:pPr>
        <w:pStyle w:val="4"/>
        <w:spacing w:before="183" w:line="324" w:lineRule="auto"/>
        <w:ind w:left="11" w:right="80" w:firstLine="484"/>
        <w:rPr>
          <w:rFonts w:hint="eastAsia" w:ascii="宋体" w:hAnsi="宋体" w:eastAsia="宋体" w:cs="宋体"/>
          <w:color w:val="auto"/>
          <w:sz w:val="24"/>
          <w:szCs w:val="24"/>
        </w:rPr>
      </w:pPr>
      <w:r>
        <w:rPr>
          <w:rFonts w:hint="eastAsia" w:ascii="宋体" w:hAnsi="宋体" w:eastAsia="宋体" w:cs="宋体"/>
          <w:color w:val="auto"/>
          <w:spacing w:val="-2"/>
          <w:sz w:val="24"/>
          <w:szCs w:val="24"/>
        </w:rPr>
        <w:t>3.2</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磋商小组要求供应商澄清、说明或者更正响应文件应当以电子形</w:t>
      </w:r>
      <w:r>
        <w:rPr>
          <w:rFonts w:hint="eastAsia" w:ascii="宋体" w:hAnsi="宋体" w:eastAsia="宋体" w:cs="宋体"/>
          <w:color w:val="auto"/>
          <w:spacing w:val="-3"/>
          <w:sz w:val="24"/>
          <w:szCs w:val="24"/>
        </w:rPr>
        <w:t>式作出。供</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应商的澄清、说明或者更正应当由供应商盖公章或电子</w:t>
      </w:r>
      <w:r>
        <w:rPr>
          <w:rFonts w:hint="eastAsia" w:ascii="宋体" w:hAnsi="宋体" w:eastAsia="宋体" w:cs="宋体"/>
          <w:color w:val="auto"/>
          <w:spacing w:val="-4"/>
          <w:sz w:val="24"/>
          <w:szCs w:val="24"/>
        </w:rPr>
        <w:t>签章。供应商应根据磋商小组</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的要求，以电子形式在规定时间内做出响应，未做出响</w:t>
      </w:r>
      <w:r>
        <w:rPr>
          <w:rFonts w:hint="eastAsia" w:ascii="宋体" w:hAnsi="宋体" w:eastAsia="宋体" w:cs="宋体"/>
          <w:color w:val="auto"/>
          <w:spacing w:val="-4"/>
          <w:sz w:val="24"/>
          <w:szCs w:val="24"/>
        </w:rPr>
        <w:t>应的响应文件将被视为无效响</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应。</w:t>
      </w:r>
    </w:p>
    <w:p w14:paraId="35B42DCF">
      <w:pPr>
        <w:pStyle w:val="4"/>
        <w:spacing w:before="182" w:line="220" w:lineRule="auto"/>
        <w:ind w:left="490"/>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4.磋商</w:t>
      </w:r>
    </w:p>
    <w:p w14:paraId="79D4E0F2">
      <w:pPr>
        <w:pStyle w:val="4"/>
        <w:spacing w:before="181" w:line="324" w:lineRule="auto"/>
        <w:ind w:left="10" w:right="80" w:firstLine="480"/>
        <w:rPr>
          <w:rFonts w:hint="eastAsia" w:ascii="宋体" w:hAnsi="宋体" w:eastAsia="宋体" w:cs="宋体"/>
          <w:color w:val="auto"/>
          <w:sz w:val="24"/>
          <w:szCs w:val="24"/>
        </w:rPr>
      </w:pPr>
      <w:r>
        <w:rPr>
          <w:rFonts w:hint="eastAsia" w:ascii="宋体" w:hAnsi="宋体" w:eastAsia="宋体" w:cs="宋体"/>
          <w:color w:val="auto"/>
          <w:spacing w:val="-2"/>
          <w:sz w:val="24"/>
          <w:szCs w:val="24"/>
        </w:rPr>
        <w:t>4.1</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磋商小组将集中与单一供应商分别进行磋商。磋商小组对照磋商文件与供应</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商的响应文件分别就采购需求、质量和服务等进行磋商，</w:t>
      </w:r>
      <w:r>
        <w:rPr>
          <w:rFonts w:hint="eastAsia" w:ascii="宋体" w:hAnsi="宋体" w:eastAsia="宋体" w:cs="宋体"/>
          <w:color w:val="auto"/>
          <w:spacing w:val="-4"/>
          <w:sz w:val="24"/>
          <w:szCs w:val="24"/>
        </w:rPr>
        <w:t>并了解其报价组成情况。在</w:t>
      </w:r>
      <w:r>
        <w:rPr>
          <w:rFonts w:hint="eastAsia" w:ascii="宋体" w:hAnsi="宋体" w:eastAsia="宋体" w:cs="宋体"/>
          <w:color w:val="auto"/>
          <w:spacing w:val="-3"/>
          <w:sz w:val="24"/>
          <w:szCs w:val="24"/>
        </w:rPr>
        <w:t>磋商过程中，任何一方不得透露与磋商有关的其他供应商</w:t>
      </w:r>
      <w:r>
        <w:rPr>
          <w:rFonts w:hint="eastAsia" w:ascii="宋体" w:hAnsi="宋体" w:eastAsia="宋体" w:cs="宋体"/>
          <w:color w:val="auto"/>
          <w:spacing w:val="-4"/>
          <w:sz w:val="24"/>
          <w:szCs w:val="24"/>
        </w:rPr>
        <w:t>的技术资料、价格和其他信</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息。磋商过程中，磋商小组可以根据磋商情况调整磋商轮次。</w:t>
      </w:r>
    </w:p>
    <w:p w14:paraId="19C99B0E">
      <w:pPr>
        <w:pStyle w:val="4"/>
        <w:spacing w:before="182" w:line="289" w:lineRule="auto"/>
        <w:ind w:left="16" w:firstLine="473"/>
        <w:rPr>
          <w:rFonts w:hint="eastAsia" w:ascii="宋体" w:hAnsi="宋体" w:eastAsia="宋体" w:cs="宋体"/>
          <w:color w:val="auto"/>
          <w:sz w:val="24"/>
          <w:szCs w:val="24"/>
        </w:rPr>
      </w:pPr>
      <w:r>
        <w:rPr>
          <w:rFonts w:hint="eastAsia" w:ascii="宋体" w:hAnsi="宋体" w:eastAsia="宋体" w:cs="宋体"/>
          <w:color w:val="auto"/>
          <w:spacing w:val="-6"/>
          <w:sz w:val="24"/>
          <w:szCs w:val="24"/>
        </w:rPr>
        <w:t>4.2</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6"/>
          <w:sz w:val="24"/>
          <w:szCs w:val="24"/>
        </w:rPr>
        <w:t>磋商完成后，磋商小组应签署磋商情况记录，磋商情况记</w:t>
      </w:r>
      <w:r>
        <w:rPr>
          <w:rFonts w:hint="eastAsia" w:ascii="宋体" w:hAnsi="宋体" w:eastAsia="宋体" w:cs="宋体"/>
          <w:color w:val="auto"/>
          <w:spacing w:val="-7"/>
          <w:sz w:val="24"/>
          <w:szCs w:val="24"/>
        </w:rPr>
        <w:t>录需包含磋商内容、</w:t>
      </w:r>
      <w:r>
        <w:rPr>
          <w:rFonts w:hint="eastAsia" w:ascii="宋体" w:hAnsi="宋体" w:eastAsia="宋体" w:cs="宋体"/>
          <w:color w:val="auto"/>
          <w:spacing w:val="-2"/>
          <w:sz w:val="24"/>
          <w:szCs w:val="24"/>
        </w:rPr>
        <w:t>实质性变动等内容。</w:t>
      </w:r>
    </w:p>
    <w:p w14:paraId="76E58672">
      <w:pPr>
        <w:pStyle w:val="4"/>
        <w:spacing w:before="183" w:line="218" w:lineRule="auto"/>
        <w:ind w:left="490"/>
        <w:rPr>
          <w:rFonts w:hint="eastAsia" w:ascii="宋体" w:hAnsi="宋体" w:eastAsia="宋体" w:cs="宋体"/>
          <w:color w:val="auto"/>
          <w:sz w:val="24"/>
          <w:szCs w:val="24"/>
        </w:rPr>
      </w:pPr>
      <w:r>
        <w:rPr>
          <w:rFonts w:hint="eastAsia" w:ascii="宋体" w:hAnsi="宋体" w:eastAsia="宋体" w:cs="宋体"/>
          <w:color w:val="auto"/>
          <w:spacing w:val="-1"/>
          <w:sz w:val="24"/>
          <w:szCs w:val="24"/>
        </w:rPr>
        <w:t>4.3 对磋商响应文件中报价的修正</w:t>
      </w:r>
    </w:p>
    <w:p w14:paraId="7EAEAE3E">
      <w:pPr>
        <w:pStyle w:val="4"/>
        <w:spacing w:before="182" w:line="347" w:lineRule="auto"/>
        <w:ind w:left="11" w:right="80" w:firstLine="508"/>
        <w:rPr>
          <w:rFonts w:hint="eastAsia" w:ascii="宋体" w:hAnsi="宋体" w:eastAsia="宋体" w:cs="宋体"/>
          <w:color w:val="auto"/>
          <w:sz w:val="24"/>
          <w:szCs w:val="24"/>
        </w:rPr>
      </w:pPr>
      <w:r>
        <w:rPr>
          <w:rFonts w:hint="eastAsia" w:ascii="宋体" w:hAnsi="宋体" w:eastAsia="宋体" w:cs="宋体"/>
          <w:color w:val="auto"/>
          <w:spacing w:val="-4"/>
          <w:sz w:val="24"/>
          <w:szCs w:val="24"/>
        </w:rPr>
        <w:t>电子响应文件中报价出现前后不一致的，除采购文件</w:t>
      </w:r>
      <w:r>
        <w:rPr>
          <w:rFonts w:hint="eastAsia" w:ascii="宋体" w:hAnsi="宋体" w:eastAsia="宋体" w:cs="宋体"/>
          <w:color w:val="auto"/>
          <w:spacing w:val="-5"/>
          <w:sz w:val="24"/>
          <w:szCs w:val="24"/>
        </w:rPr>
        <w:t>另有规定外，按照下列规定</w:t>
      </w:r>
      <w:r>
        <w:rPr>
          <w:rFonts w:hint="eastAsia" w:ascii="宋体" w:hAnsi="宋体" w:eastAsia="宋体" w:cs="宋体"/>
          <w:color w:val="auto"/>
          <w:spacing w:val="-4"/>
          <w:sz w:val="24"/>
          <w:szCs w:val="24"/>
        </w:rPr>
        <w:t>修正：</w:t>
      </w:r>
    </w:p>
    <w:p w14:paraId="4AF8FCD3">
      <w:pPr>
        <w:pStyle w:val="4"/>
        <w:spacing w:before="32" w:line="289" w:lineRule="auto"/>
        <w:ind w:left="30" w:right="80" w:firstLine="471"/>
        <w:rPr>
          <w:rFonts w:hint="eastAsia" w:ascii="宋体" w:hAnsi="宋体" w:eastAsia="宋体" w:cs="宋体"/>
          <w:color w:val="auto"/>
          <w:sz w:val="24"/>
          <w:szCs w:val="24"/>
        </w:rPr>
      </w:pPr>
      <w:r>
        <w:rPr>
          <w:rFonts w:hint="eastAsia" w:ascii="宋体" w:hAnsi="宋体" w:eastAsia="宋体" w:cs="宋体"/>
          <w:color w:val="auto"/>
          <w:sz w:val="24"/>
          <w:szCs w:val="24"/>
        </w:rPr>
        <w:t>（1）电子响应文件中报价一览表内容与电子</w:t>
      </w:r>
      <w:r>
        <w:rPr>
          <w:rFonts w:hint="eastAsia" w:ascii="宋体" w:hAnsi="宋体" w:eastAsia="宋体" w:cs="宋体"/>
          <w:color w:val="auto"/>
          <w:spacing w:val="-1"/>
          <w:sz w:val="24"/>
          <w:szCs w:val="24"/>
        </w:rPr>
        <w:t>响应文件中磋商书相应内容不一致</w:t>
      </w:r>
      <w:r>
        <w:rPr>
          <w:rFonts w:hint="eastAsia" w:ascii="宋体" w:hAnsi="宋体" w:eastAsia="宋体" w:cs="宋体"/>
          <w:color w:val="auto"/>
          <w:sz w:val="24"/>
          <w:szCs w:val="24"/>
        </w:rPr>
        <w:t xml:space="preserve"> </w:t>
      </w:r>
      <w:r>
        <w:rPr>
          <w:rFonts w:hint="eastAsia" w:ascii="宋体" w:hAnsi="宋体" w:eastAsia="宋体" w:cs="宋体"/>
          <w:color w:val="auto"/>
          <w:spacing w:val="-2"/>
          <w:sz w:val="24"/>
          <w:szCs w:val="24"/>
        </w:rPr>
        <w:t>的，以电子响应文件报价一览表为准；</w:t>
      </w:r>
    </w:p>
    <w:p w14:paraId="5DB06461">
      <w:pPr>
        <w:pStyle w:val="4"/>
        <w:spacing w:before="185" w:line="219" w:lineRule="auto"/>
        <w:ind w:left="502"/>
        <w:rPr>
          <w:rFonts w:hint="eastAsia" w:ascii="宋体" w:hAnsi="宋体" w:eastAsia="宋体" w:cs="宋体"/>
          <w:color w:val="auto"/>
          <w:sz w:val="24"/>
          <w:szCs w:val="24"/>
        </w:rPr>
      </w:pPr>
      <w:r>
        <w:rPr>
          <w:rFonts w:hint="eastAsia" w:ascii="宋体" w:hAnsi="宋体" w:eastAsia="宋体" w:cs="宋体"/>
          <w:color w:val="auto"/>
          <w:spacing w:val="-1"/>
          <w:sz w:val="24"/>
          <w:szCs w:val="24"/>
        </w:rPr>
        <w:t>（2）大写金额和小写金额不一致的，以大写金额为准；</w:t>
      </w:r>
    </w:p>
    <w:p w14:paraId="2D8FDACC">
      <w:pPr>
        <w:pStyle w:val="4"/>
        <w:spacing w:before="180" w:line="288" w:lineRule="auto"/>
        <w:ind w:left="30" w:right="80" w:firstLine="471"/>
        <w:rPr>
          <w:rFonts w:hint="eastAsia" w:ascii="宋体" w:hAnsi="宋体" w:eastAsia="宋体" w:cs="宋体"/>
          <w:color w:val="auto"/>
          <w:sz w:val="24"/>
          <w:szCs w:val="24"/>
        </w:rPr>
      </w:pPr>
      <w:r>
        <w:rPr>
          <w:rFonts w:hint="eastAsia" w:ascii="宋体" w:hAnsi="宋体" w:eastAsia="宋体" w:cs="宋体"/>
          <w:color w:val="auto"/>
          <w:sz w:val="24"/>
          <w:szCs w:val="24"/>
        </w:rPr>
        <w:t>（3）单价金额小数点或者百分比有明显错位</w:t>
      </w:r>
      <w:r>
        <w:rPr>
          <w:rFonts w:hint="eastAsia" w:ascii="宋体" w:hAnsi="宋体" w:eastAsia="宋体" w:cs="宋体"/>
          <w:color w:val="auto"/>
          <w:spacing w:val="-1"/>
          <w:sz w:val="24"/>
          <w:szCs w:val="24"/>
        </w:rPr>
        <w:t>的，以电子响应文件中报价一览表</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的总价为准，并修改单价；</w:t>
      </w:r>
    </w:p>
    <w:p w14:paraId="6B77AFF5">
      <w:pPr>
        <w:pStyle w:val="4"/>
        <w:spacing w:before="185" w:line="218" w:lineRule="auto"/>
        <w:ind w:left="502"/>
        <w:rPr>
          <w:rFonts w:hint="eastAsia" w:ascii="宋体" w:hAnsi="宋体" w:eastAsia="宋体" w:cs="宋体"/>
          <w:color w:val="auto"/>
          <w:sz w:val="24"/>
          <w:szCs w:val="24"/>
        </w:rPr>
      </w:pPr>
      <w:r>
        <w:rPr>
          <w:rFonts w:hint="eastAsia" w:ascii="宋体" w:hAnsi="宋体" w:eastAsia="宋体" w:cs="宋体"/>
          <w:color w:val="auto"/>
          <w:spacing w:val="-1"/>
          <w:sz w:val="24"/>
          <w:szCs w:val="24"/>
        </w:rPr>
        <w:t>（4）总价金额与按单价汇总金额不一致的，以单价金额计算结果为准。</w:t>
      </w:r>
    </w:p>
    <w:p w14:paraId="5D9E71E1">
      <w:pPr>
        <w:pStyle w:val="4"/>
        <w:spacing w:before="32" w:line="289" w:lineRule="auto"/>
        <w:ind w:left="30" w:right="80" w:firstLine="471"/>
        <w:rPr>
          <w:rFonts w:hint="eastAsia" w:ascii="宋体" w:hAnsi="宋体" w:eastAsia="宋体" w:cs="宋体"/>
          <w:color w:val="auto"/>
          <w:sz w:val="24"/>
          <w:szCs w:val="24"/>
        </w:rPr>
      </w:pPr>
      <w:r>
        <w:rPr>
          <w:rFonts w:hint="eastAsia" w:ascii="宋体" w:hAnsi="宋体" w:eastAsia="宋体" w:cs="宋体"/>
          <w:color w:val="auto"/>
          <w:sz w:val="24"/>
          <w:szCs w:val="24"/>
        </w:rPr>
        <w:t>同时出现两种以上不一致的，按照前款规定的顺序修正。修正后的报价按照第3.2 条的规定经供应商确认后产生约束力，供应商不确认的，其响应无效。</w:t>
      </w:r>
    </w:p>
    <w:p w14:paraId="7DCB5A4C">
      <w:pPr>
        <w:pStyle w:val="4"/>
        <w:spacing w:before="278" w:line="220" w:lineRule="auto"/>
        <w:ind w:left="495"/>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5.磋商变动</w:t>
      </w:r>
    </w:p>
    <w:p w14:paraId="4586CADB">
      <w:pPr>
        <w:pStyle w:val="4"/>
        <w:spacing w:before="181" w:line="352" w:lineRule="auto"/>
        <w:ind w:left="11" w:right="54" w:firstLine="484"/>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5.1</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在磋商过程中，磋商小组可以根据磋商文件和磋商情况实质性变</w:t>
      </w:r>
      <w:r>
        <w:rPr>
          <w:rFonts w:hint="eastAsia" w:ascii="宋体" w:hAnsi="宋体" w:eastAsia="宋体" w:cs="宋体"/>
          <w:color w:val="auto"/>
          <w:spacing w:val="-3"/>
          <w:sz w:val="24"/>
          <w:szCs w:val="24"/>
        </w:rPr>
        <w:t>动采购需求</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中的技术、服务要求以及合同草案条款，但不得变动磋</w:t>
      </w:r>
      <w:r>
        <w:rPr>
          <w:rFonts w:hint="eastAsia" w:ascii="宋体" w:hAnsi="宋体" w:eastAsia="宋体" w:cs="宋体"/>
          <w:color w:val="auto"/>
          <w:spacing w:val="-4"/>
          <w:sz w:val="24"/>
          <w:szCs w:val="24"/>
        </w:rPr>
        <w:t>商文件中的其他内容。实质性</w:t>
      </w:r>
      <w:r>
        <w:rPr>
          <w:rFonts w:hint="eastAsia" w:ascii="宋体" w:hAnsi="宋体" w:eastAsia="宋体" w:cs="宋体"/>
          <w:color w:val="auto"/>
          <w:spacing w:val="-3"/>
          <w:sz w:val="24"/>
          <w:szCs w:val="24"/>
        </w:rPr>
        <w:t>变动的内容，须经采购人代表确认。对磋商文件作出实</w:t>
      </w:r>
      <w:r>
        <w:rPr>
          <w:rFonts w:hint="eastAsia" w:ascii="宋体" w:hAnsi="宋体" w:eastAsia="宋体" w:cs="宋体"/>
          <w:color w:val="auto"/>
          <w:spacing w:val="-4"/>
          <w:sz w:val="24"/>
          <w:szCs w:val="24"/>
        </w:rPr>
        <w:t>质性变动是磋商文件的有效组</w:t>
      </w:r>
      <w:r>
        <w:rPr>
          <w:rFonts w:hint="eastAsia" w:ascii="宋体" w:hAnsi="宋体" w:eastAsia="宋体" w:cs="宋体"/>
          <w:color w:val="auto"/>
          <w:sz w:val="24"/>
          <w:szCs w:val="24"/>
        </w:rPr>
        <w:t>成部分，磋商小组应当及时以电子形式同时通知</w:t>
      </w:r>
      <w:r>
        <w:rPr>
          <w:rFonts w:hint="eastAsia" w:ascii="宋体" w:hAnsi="宋体" w:eastAsia="宋体" w:cs="宋体"/>
          <w:color w:val="auto"/>
          <w:spacing w:val="-1"/>
          <w:sz w:val="24"/>
          <w:szCs w:val="24"/>
        </w:rPr>
        <w:t>所有参加磋商的供应商。</w:t>
      </w:r>
    </w:p>
    <w:p w14:paraId="2C263615">
      <w:pPr>
        <w:pStyle w:val="4"/>
        <w:spacing w:before="37" w:line="345" w:lineRule="auto"/>
        <w:ind w:left="10" w:right="54" w:firstLine="485"/>
        <w:rPr>
          <w:rFonts w:hint="eastAsia" w:ascii="宋体" w:hAnsi="宋体" w:eastAsia="宋体" w:cs="宋体"/>
          <w:color w:val="auto"/>
          <w:sz w:val="24"/>
          <w:szCs w:val="24"/>
        </w:rPr>
      </w:pPr>
      <w:r>
        <w:rPr>
          <w:rFonts w:hint="eastAsia" w:ascii="宋体" w:hAnsi="宋体" w:eastAsia="宋体" w:cs="宋体"/>
          <w:color w:val="auto"/>
          <w:spacing w:val="-4"/>
          <w:sz w:val="24"/>
          <w:szCs w:val="24"/>
        </w:rPr>
        <w:t>供应商可以对参加竞争性磋商项目的采购需求提出优化建议，并以电子形式提交</w:t>
      </w:r>
      <w:r>
        <w:rPr>
          <w:rFonts w:hint="eastAsia" w:ascii="宋体" w:hAnsi="宋体" w:eastAsia="宋体" w:cs="宋体"/>
          <w:color w:val="auto"/>
          <w:spacing w:val="-2"/>
          <w:sz w:val="24"/>
          <w:szCs w:val="24"/>
        </w:rPr>
        <w:t>磋商小组。</w:t>
      </w:r>
    </w:p>
    <w:p w14:paraId="36E24BF7">
      <w:pPr>
        <w:pStyle w:val="4"/>
        <w:spacing w:before="36" w:line="219" w:lineRule="auto"/>
        <w:ind w:left="495"/>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5.2</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磋商变动后响应文件的变更</w:t>
      </w:r>
    </w:p>
    <w:p w14:paraId="4BD50F52">
      <w:pPr>
        <w:pStyle w:val="4"/>
        <w:spacing w:before="181" w:line="354" w:lineRule="auto"/>
        <w:ind w:left="13" w:right="54" w:firstLine="478"/>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供应商应当按照磋商文件的变动情况和磋商小组的要求重新提交响应文件件，对</w:t>
      </w:r>
      <w:r>
        <w:rPr>
          <w:rFonts w:hint="eastAsia" w:ascii="宋体" w:hAnsi="宋体" w:eastAsia="宋体" w:cs="宋体"/>
          <w:color w:val="auto"/>
          <w:spacing w:val="16"/>
          <w:sz w:val="24"/>
          <w:szCs w:val="24"/>
        </w:rPr>
        <w:t xml:space="preserve"> </w:t>
      </w:r>
      <w:r>
        <w:rPr>
          <w:rFonts w:hint="eastAsia" w:ascii="宋体" w:hAnsi="宋体" w:eastAsia="宋体" w:cs="宋体"/>
          <w:color w:val="auto"/>
          <w:spacing w:val="-3"/>
          <w:sz w:val="24"/>
          <w:szCs w:val="24"/>
        </w:rPr>
        <w:t>原响应文件进行技术、商务、价格修正，重新提交</w:t>
      </w:r>
      <w:r>
        <w:rPr>
          <w:rFonts w:hint="eastAsia" w:ascii="宋体" w:hAnsi="宋体" w:eastAsia="宋体" w:cs="宋体"/>
          <w:color w:val="auto"/>
          <w:spacing w:val="-4"/>
          <w:sz w:val="24"/>
          <w:szCs w:val="24"/>
        </w:rPr>
        <w:t>的响应文件应当实质性响应本磋商</w:t>
      </w:r>
      <w:r>
        <w:rPr>
          <w:rFonts w:hint="eastAsia" w:ascii="宋体" w:hAnsi="宋体" w:eastAsia="宋体" w:cs="宋体"/>
          <w:color w:val="auto"/>
          <w:spacing w:val="-3"/>
          <w:sz w:val="24"/>
          <w:szCs w:val="24"/>
        </w:rPr>
        <w:t>文件以及对磋商文件作出的实质性变动，并按磋商</w:t>
      </w:r>
      <w:r>
        <w:rPr>
          <w:rFonts w:hint="eastAsia" w:ascii="宋体" w:hAnsi="宋体" w:eastAsia="宋体" w:cs="宋体"/>
          <w:color w:val="auto"/>
          <w:spacing w:val="-4"/>
          <w:sz w:val="24"/>
          <w:szCs w:val="24"/>
        </w:rPr>
        <w:t>文件的规定进行签署。重新提交的</w:t>
      </w:r>
      <w:r>
        <w:rPr>
          <w:rFonts w:hint="eastAsia" w:ascii="宋体" w:hAnsi="宋体" w:eastAsia="宋体" w:cs="宋体"/>
          <w:color w:val="auto"/>
          <w:spacing w:val="-3"/>
          <w:sz w:val="24"/>
          <w:szCs w:val="24"/>
        </w:rPr>
        <w:t>响应文件与原响应文件不一致的，以重新提交的响</w:t>
      </w:r>
      <w:r>
        <w:rPr>
          <w:rFonts w:hint="eastAsia" w:ascii="宋体" w:hAnsi="宋体" w:eastAsia="宋体" w:cs="宋体"/>
          <w:color w:val="auto"/>
          <w:spacing w:val="-4"/>
          <w:sz w:val="24"/>
          <w:szCs w:val="24"/>
        </w:rPr>
        <w:t>应文件为准。不按要求签署或者逾</w:t>
      </w:r>
      <w:r>
        <w:rPr>
          <w:rFonts w:hint="eastAsia" w:ascii="宋体" w:hAnsi="宋体" w:eastAsia="宋体" w:cs="宋体"/>
          <w:color w:val="auto"/>
          <w:spacing w:val="-1"/>
          <w:sz w:val="24"/>
          <w:szCs w:val="24"/>
        </w:rPr>
        <w:t>期未提交响应文件的，视同放弃磋商。</w:t>
      </w:r>
    </w:p>
    <w:p w14:paraId="778DD9FD">
      <w:pPr>
        <w:pStyle w:val="4"/>
        <w:spacing w:before="33" w:line="218" w:lineRule="auto"/>
        <w:ind w:left="493"/>
        <w:rPr>
          <w:rFonts w:hint="eastAsia" w:ascii="宋体" w:hAnsi="宋体" w:eastAsia="宋体" w:cs="宋体"/>
          <w:color w:val="auto"/>
          <w:sz w:val="24"/>
          <w:szCs w:val="24"/>
        </w:rPr>
      </w:pPr>
      <w:r>
        <w:rPr>
          <w:rFonts w:hint="eastAsia" w:ascii="宋体" w:hAnsi="宋体" w:eastAsia="宋体" w:cs="宋体"/>
          <w:b/>
          <w:bCs/>
          <w:color w:val="auto"/>
          <w:spacing w:val="-4"/>
          <w:sz w:val="24"/>
          <w:szCs w:val="24"/>
        </w:rPr>
        <w:t>6.最后报价</w:t>
      </w:r>
    </w:p>
    <w:p w14:paraId="1D64DA83">
      <w:pPr>
        <w:pStyle w:val="4"/>
        <w:spacing w:before="182" w:line="336" w:lineRule="auto"/>
        <w:ind w:left="11" w:right="54" w:firstLine="481"/>
        <w:rPr>
          <w:rFonts w:hint="eastAsia" w:ascii="宋体" w:hAnsi="宋体" w:eastAsia="宋体" w:cs="宋体"/>
          <w:color w:val="auto"/>
          <w:sz w:val="24"/>
          <w:szCs w:val="24"/>
        </w:rPr>
      </w:pPr>
      <w:r>
        <w:rPr>
          <w:rFonts w:hint="eastAsia" w:ascii="宋体" w:hAnsi="宋体" w:eastAsia="宋体" w:cs="宋体"/>
          <w:color w:val="auto"/>
          <w:spacing w:val="-3"/>
          <w:sz w:val="24"/>
          <w:szCs w:val="24"/>
        </w:rPr>
        <w:t>6.1</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3"/>
          <w:sz w:val="24"/>
          <w:szCs w:val="24"/>
        </w:rPr>
        <w:t>磋商小组将对资格及符合性审查合格的供应商在</w:t>
      </w:r>
      <w:r>
        <w:rPr>
          <w:rFonts w:hint="eastAsia" w:ascii="宋体" w:hAnsi="宋体" w:eastAsia="宋体" w:cs="宋体"/>
          <w:b/>
          <w:bCs/>
          <w:color w:val="auto"/>
          <w:spacing w:val="-3"/>
          <w:sz w:val="24"/>
          <w:szCs w:val="24"/>
        </w:rPr>
        <w:t>“东西湖区政府采购电子交</w:t>
      </w:r>
      <w:r>
        <w:rPr>
          <w:rFonts w:hint="eastAsia" w:ascii="宋体" w:hAnsi="宋体" w:eastAsia="宋体" w:cs="宋体"/>
          <w:color w:val="auto"/>
          <w:sz w:val="24"/>
          <w:szCs w:val="24"/>
        </w:rPr>
        <w:t xml:space="preserve"> </w:t>
      </w:r>
      <w:r>
        <w:rPr>
          <w:rFonts w:hint="eastAsia" w:ascii="宋体" w:hAnsi="宋体" w:eastAsia="宋体" w:cs="宋体"/>
          <w:b/>
          <w:bCs/>
          <w:color w:val="auto"/>
          <w:spacing w:val="-4"/>
          <w:sz w:val="24"/>
          <w:szCs w:val="24"/>
        </w:rPr>
        <w:t>易系统</w:t>
      </w:r>
      <w:r>
        <w:rPr>
          <w:rFonts w:hint="eastAsia" w:ascii="宋体" w:hAnsi="宋体" w:eastAsia="宋体" w:cs="宋体"/>
          <w:color w:val="auto"/>
          <w:spacing w:val="-88"/>
          <w:sz w:val="24"/>
          <w:szCs w:val="24"/>
        </w:rPr>
        <w:t xml:space="preserve"> </w:t>
      </w:r>
      <w:r>
        <w:rPr>
          <w:rFonts w:hint="eastAsia" w:ascii="宋体" w:hAnsi="宋体" w:eastAsia="宋体" w:cs="宋体"/>
          <w:b/>
          <w:bCs/>
          <w:color w:val="auto"/>
          <w:spacing w:val="-4"/>
          <w:sz w:val="24"/>
          <w:szCs w:val="24"/>
        </w:rPr>
        <w:t>”</w:t>
      </w:r>
      <w:r>
        <w:rPr>
          <w:rFonts w:hint="eastAsia" w:ascii="宋体" w:hAnsi="宋体" w:eastAsia="宋体" w:cs="宋体"/>
          <w:color w:val="auto"/>
          <w:spacing w:val="-4"/>
          <w:sz w:val="24"/>
          <w:szCs w:val="24"/>
        </w:rPr>
        <w:t>上以数据电文的形式发出最后报价</w:t>
      </w:r>
      <w:r>
        <w:rPr>
          <w:rFonts w:hint="eastAsia" w:ascii="宋体" w:hAnsi="宋体" w:eastAsia="宋体" w:cs="宋体"/>
          <w:color w:val="auto"/>
          <w:spacing w:val="-5"/>
          <w:sz w:val="24"/>
          <w:szCs w:val="24"/>
        </w:rPr>
        <w:t>邀请。要求磋商供应商在指定时间内提交</w:t>
      </w:r>
      <w:r>
        <w:rPr>
          <w:rFonts w:hint="eastAsia" w:ascii="宋体" w:hAnsi="宋体" w:eastAsia="宋体" w:cs="宋体"/>
          <w:color w:val="auto"/>
          <w:spacing w:val="-3"/>
          <w:sz w:val="24"/>
          <w:szCs w:val="24"/>
        </w:rPr>
        <w:t>满足要求的最后报价，供应商进行最后报价的，应当按</w:t>
      </w:r>
      <w:r>
        <w:rPr>
          <w:rFonts w:hint="eastAsia" w:ascii="宋体" w:hAnsi="宋体" w:eastAsia="宋体" w:cs="宋体"/>
          <w:color w:val="auto"/>
          <w:spacing w:val="-4"/>
          <w:sz w:val="24"/>
          <w:szCs w:val="24"/>
        </w:rPr>
        <w:t>照“东西湖区政府采购电子交</w:t>
      </w:r>
      <w:r>
        <w:rPr>
          <w:rFonts w:hint="eastAsia" w:ascii="宋体" w:hAnsi="宋体" w:eastAsia="宋体" w:cs="宋体"/>
          <w:color w:val="auto"/>
          <w:spacing w:val="1"/>
          <w:sz w:val="24"/>
          <w:szCs w:val="24"/>
        </w:rPr>
        <w:t>易系统</w:t>
      </w:r>
      <w:r>
        <w:rPr>
          <w:rFonts w:hint="eastAsia" w:ascii="宋体" w:hAnsi="宋体" w:eastAsia="宋体" w:cs="宋体"/>
          <w:color w:val="auto"/>
          <w:spacing w:val="-86"/>
          <w:sz w:val="24"/>
          <w:szCs w:val="24"/>
        </w:rPr>
        <w:t xml:space="preserve"> </w:t>
      </w:r>
      <w:r>
        <w:rPr>
          <w:rFonts w:hint="eastAsia" w:ascii="宋体" w:hAnsi="宋体" w:eastAsia="宋体" w:cs="宋体"/>
          <w:color w:val="auto"/>
          <w:spacing w:val="1"/>
          <w:sz w:val="24"/>
          <w:szCs w:val="24"/>
        </w:rPr>
        <w:t>”中最后报价的规定格式报出。</w:t>
      </w:r>
      <w:r>
        <w:rPr>
          <w:rFonts w:hint="eastAsia" w:ascii="宋体" w:hAnsi="宋体" w:eastAsia="宋体" w:cs="宋体"/>
          <w:b/>
          <w:bCs/>
          <w:color w:val="auto"/>
          <w:spacing w:val="1"/>
          <w:sz w:val="24"/>
          <w:szCs w:val="24"/>
        </w:rPr>
        <w:t>未在规定的时间内提交最后报价的供应</w:t>
      </w:r>
      <w:r>
        <w:rPr>
          <w:rFonts w:hint="eastAsia" w:ascii="宋体" w:hAnsi="宋体" w:eastAsia="宋体" w:cs="宋体"/>
          <w:b/>
          <w:bCs/>
          <w:color w:val="auto"/>
          <w:sz w:val="24"/>
          <w:szCs w:val="24"/>
        </w:rPr>
        <w:t>商，</w:t>
      </w:r>
      <w:r>
        <w:rPr>
          <w:rFonts w:hint="eastAsia" w:ascii="宋体" w:hAnsi="宋体" w:eastAsia="宋体" w:cs="宋体"/>
          <w:b/>
          <w:bCs/>
          <w:color w:val="auto"/>
          <w:spacing w:val="2"/>
          <w:sz w:val="24"/>
          <w:szCs w:val="24"/>
        </w:rPr>
        <w:t>其响应文件将作无效响应处理</w:t>
      </w:r>
      <w:r>
        <w:rPr>
          <w:rFonts w:hint="eastAsia" w:ascii="宋体" w:hAnsi="宋体" w:eastAsia="宋体" w:cs="宋体"/>
          <w:color w:val="auto"/>
          <w:spacing w:val="2"/>
          <w:sz w:val="24"/>
          <w:szCs w:val="24"/>
        </w:rPr>
        <w:t>。最后报价为本次磋商采购活动中不可变动的最终价</w:t>
      </w:r>
      <w:r>
        <w:rPr>
          <w:rFonts w:hint="eastAsia" w:ascii="宋体" w:hAnsi="宋体" w:eastAsia="宋体" w:cs="宋体"/>
          <w:color w:val="auto"/>
          <w:spacing w:val="-3"/>
          <w:sz w:val="24"/>
          <w:szCs w:val="24"/>
        </w:rPr>
        <w:t>格。</w:t>
      </w:r>
    </w:p>
    <w:p w14:paraId="5BF0BBFB">
      <w:pPr>
        <w:pStyle w:val="4"/>
        <w:spacing w:before="183" w:line="312" w:lineRule="auto"/>
        <w:ind w:left="10" w:right="54" w:firstLine="492"/>
        <w:rPr>
          <w:rFonts w:hint="eastAsia" w:ascii="宋体" w:hAnsi="宋体" w:eastAsia="宋体" w:cs="宋体"/>
          <w:color w:val="auto"/>
          <w:sz w:val="24"/>
          <w:szCs w:val="24"/>
        </w:rPr>
      </w:pPr>
      <w:r>
        <w:rPr>
          <w:rFonts w:hint="eastAsia" w:ascii="宋体" w:hAnsi="宋体" w:eastAsia="宋体" w:cs="宋体"/>
          <w:color w:val="auto"/>
          <w:spacing w:val="-4"/>
          <w:sz w:val="24"/>
          <w:szCs w:val="24"/>
        </w:rPr>
        <w:t>（1） 磋商文件能够详细列明采购标的的技术、服务要求的，磋商结束后，磋商</w:t>
      </w:r>
      <w:r>
        <w:rPr>
          <w:rFonts w:hint="eastAsia" w:ascii="宋体" w:hAnsi="宋体" w:eastAsia="宋体" w:cs="宋体"/>
          <w:color w:val="auto"/>
          <w:spacing w:val="-3"/>
          <w:sz w:val="24"/>
          <w:szCs w:val="24"/>
        </w:rPr>
        <w:t>小组应当要求所有继续参加磋商的供应商在规定时间内提</w:t>
      </w:r>
      <w:r>
        <w:rPr>
          <w:rFonts w:hint="eastAsia" w:ascii="宋体" w:hAnsi="宋体" w:eastAsia="宋体" w:cs="宋体"/>
          <w:color w:val="auto"/>
          <w:spacing w:val="-4"/>
          <w:sz w:val="24"/>
          <w:szCs w:val="24"/>
        </w:rPr>
        <w:t>交最后报价。已提交响应文</w:t>
      </w:r>
      <w:r>
        <w:rPr>
          <w:rFonts w:hint="eastAsia" w:ascii="宋体" w:hAnsi="宋体" w:eastAsia="宋体" w:cs="宋体"/>
          <w:color w:val="auto"/>
          <w:sz w:val="24"/>
          <w:szCs w:val="24"/>
        </w:rPr>
        <w:t>件的供应商，在提交最后报价之前，可以根</w:t>
      </w:r>
      <w:r>
        <w:rPr>
          <w:rFonts w:hint="eastAsia" w:ascii="宋体" w:hAnsi="宋体" w:eastAsia="宋体" w:cs="宋体"/>
          <w:color w:val="auto"/>
          <w:spacing w:val="-1"/>
          <w:sz w:val="24"/>
          <w:szCs w:val="24"/>
        </w:rPr>
        <w:t>据磋商情况退出磋商。</w:t>
      </w:r>
    </w:p>
    <w:p w14:paraId="39D527AB">
      <w:pPr>
        <w:pStyle w:val="4"/>
        <w:spacing w:before="182" w:line="324" w:lineRule="auto"/>
        <w:ind w:left="9" w:right="54" w:firstLine="493"/>
        <w:rPr>
          <w:rFonts w:hint="eastAsia" w:ascii="宋体" w:hAnsi="宋体" w:eastAsia="宋体" w:cs="宋体"/>
          <w:color w:val="auto"/>
          <w:sz w:val="24"/>
          <w:szCs w:val="24"/>
        </w:rPr>
      </w:pPr>
      <w:r>
        <w:rPr>
          <w:rFonts w:hint="eastAsia" w:ascii="宋体" w:hAnsi="宋体" w:eastAsia="宋体" w:cs="宋体"/>
          <w:color w:val="auto"/>
          <w:spacing w:val="-3"/>
          <w:sz w:val="24"/>
          <w:szCs w:val="24"/>
        </w:rPr>
        <w:t>（2）</w:t>
      </w:r>
      <w:r>
        <w:rPr>
          <w:rFonts w:hint="eastAsia" w:ascii="宋体" w:hAnsi="宋体" w:eastAsia="宋体" w:cs="宋体"/>
          <w:color w:val="auto"/>
          <w:spacing w:val="-30"/>
          <w:sz w:val="24"/>
          <w:szCs w:val="24"/>
        </w:rPr>
        <w:t xml:space="preserve"> </w:t>
      </w:r>
      <w:r>
        <w:rPr>
          <w:rFonts w:hint="eastAsia" w:ascii="宋体" w:hAnsi="宋体" w:eastAsia="宋体" w:cs="宋体"/>
          <w:color w:val="auto"/>
          <w:spacing w:val="-3"/>
          <w:sz w:val="24"/>
          <w:szCs w:val="24"/>
        </w:rPr>
        <w:t>磋商文件不能详细列明采购标的的技术、服务要求，需经磋商由供应商提供最终设计方案或解决方案的，磋商结束后，磋商小组应当</w:t>
      </w:r>
      <w:r>
        <w:rPr>
          <w:rFonts w:hint="eastAsia" w:ascii="宋体" w:hAnsi="宋体" w:eastAsia="宋体" w:cs="宋体"/>
          <w:color w:val="auto"/>
          <w:spacing w:val="-4"/>
          <w:sz w:val="24"/>
          <w:szCs w:val="24"/>
        </w:rPr>
        <w:t>按照少数服从多数的原则</w:t>
      </w:r>
      <w:r>
        <w:rPr>
          <w:rFonts w:hint="eastAsia" w:ascii="宋体" w:hAnsi="宋体" w:eastAsia="宋体" w:cs="宋体"/>
          <w:color w:val="auto"/>
          <w:sz w:val="24"/>
          <w:szCs w:val="24"/>
        </w:rPr>
        <w:t>投票推荐3家以上供应商的设计方案或者解决方案，并要求其在规定时间内提交</w:t>
      </w:r>
      <w:r>
        <w:rPr>
          <w:rFonts w:hint="eastAsia" w:ascii="宋体" w:hAnsi="宋体" w:eastAsia="宋体" w:cs="宋体"/>
          <w:color w:val="auto"/>
          <w:spacing w:val="-1"/>
          <w:sz w:val="24"/>
          <w:szCs w:val="24"/>
        </w:rPr>
        <w:t>最后</w:t>
      </w:r>
      <w:r>
        <w:rPr>
          <w:rFonts w:hint="eastAsia" w:ascii="宋体" w:hAnsi="宋体" w:eastAsia="宋体" w:cs="宋体"/>
          <w:color w:val="auto"/>
          <w:spacing w:val="-3"/>
          <w:sz w:val="24"/>
          <w:szCs w:val="24"/>
        </w:rPr>
        <w:t>报价。</w:t>
      </w:r>
    </w:p>
    <w:p w14:paraId="0A89EAC4">
      <w:pPr>
        <w:pStyle w:val="4"/>
        <w:spacing w:before="182" w:line="324" w:lineRule="auto"/>
        <w:ind w:left="9" w:right="54" w:firstLine="493"/>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（3） 磋商小组认为供应商的报价明显低于其他通过符合性审查供应商的报价， 有可能影响产品质量或者不能诚信履约的，应当要求其在评标现场合理的时间内提供 说明，必要时提交相关证明材料；供应商不能证明其报价合理性的，磋商小组应当将其作为无效响应处理。</w:t>
      </w:r>
    </w:p>
    <w:p w14:paraId="28E05262">
      <w:pPr>
        <w:pStyle w:val="4"/>
        <w:spacing w:before="183" w:line="354" w:lineRule="auto"/>
        <w:ind w:left="10" w:firstLine="492"/>
        <w:jc w:val="both"/>
        <w:rPr>
          <w:rFonts w:hint="eastAsia" w:ascii="宋体" w:hAnsi="宋体" w:eastAsia="宋体" w:cs="宋体"/>
          <w:color w:val="auto"/>
          <w:sz w:val="24"/>
          <w:szCs w:val="24"/>
        </w:rPr>
      </w:pPr>
      <w:r>
        <w:rPr>
          <w:rFonts w:hint="eastAsia" w:ascii="宋体" w:hAnsi="宋体" w:eastAsia="宋体" w:cs="宋体"/>
          <w:color w:val="auto"/>
          <w:spacing w:val="-3"/>
          <w:sz w:val="24"/>
          <w:szCs w:val="24"/>
        </w:rPr>
        <w:t>（4）</w:t>
      </w:r>
      <w:r>
        <w:rPr>
          <w:rFonts w:hint="eastAsia" w:ascii="宋体" w:hAnsi="宋体" w:eastAsia="宋体" w:cs="宋体"/>
          <w:color w:val="auto"/>
          <w:spacing w:val="-30"/>
          <w:sz w:val="24"/>
          <w:szCs w:val="24"/>
        </w:rPr>
        <w:t xml:space="preserve"> </w:t>
      </w:r>
      <w:r>
        <w:rPr>
          <w:rFonts w:hint="eastAsia" w:ascii="宋体" w:hAnsi="宋体" w:eastAsia="宋体" w:cs="宋体"/>
          <w:color w:val="auto"/>
          <w:spacing w:val="-3"/>
          <w:sz w:val="24"/>
          <w:szCs w:val="24"/>
        </w:rPr>
        <w:t>根据《财政部关于政府采购竞争性磋商采购方式管理暂行办法有关问题的</w:t>
      </w:r>
      <w:r>
        <w:rPr>
          <w:rFonts w:hint="eastAsia" w:ascii="宋体" w:hAnsi="宋体" w:eastAsia="宋体" w:cs="宋体"/>
          <w:color w:val="auto"/>
          <w:spacing w:val="-2"/>
          <w:sz w:val="24"/>
          <w:szCs w:val="24"/>
        </w:rPr>
        <w:t>补充通知》（财库〔2015〕124</w:t>
      </w:r>
      <w:r>
        <w:rPr>
          <w:rFonts w:hint="eastAsia" w:ascii="宋体" w:hAnsi="宋体" w:eastAsia="宋体" w:cs="宋体"/>
          <w:color w:val="auto"/>
          <w:spacing w:val="-45"/>
          <w:sz w:val="24"/>
          <w:szCs w:val="24"/>
        </w:rPr>
        <w:t xml:space="preserve"> </w:t>
      </w:r>
      <w:r>
        <w:rPr>
          <w:rFonts w:hint="eastAsia" w:ascii="宋体" w:hAnsi="宋体" w:eastAsia="宋体" w:cs="宋体"/>
          <w:color w:val="auto"/>
          <w:spacing w:val="-2"/>
          <w:sz w:val="24"/>
          <w:szCs w:val="24"/>
        </w:rPr>
        <w:t>号</w:t>
      </w:r>
      <w:r>
        <w:rPr>
          <w:rFonts w:hint="eastAsia" w:ascii="宋体" w:hAnsi="宋体" w:eastAsia="宋体" w:cs="宋体"/>
          <w:color w:val="auto"/>
          <w:spacing w:val="-1"/>
          <w:sz w:val="24"/>
          <w:szCs w:val="24"/>
        </w:rPr>
        <w:t>），</w:t>
      </w:r>
      <w:r>
        <w:rPr>
          <w:rFonts w:hint="eastAsia" w:ascii="宋体" w:hAnsi="宋体" w:eastAsia="宋体" w:cs="宋体"/>
          <w:color w:val="auto"/>
          <w:spacing w:val="-2"/>
          <w:sz w:val="24"/>
          <w:szCs w:val="24"/>
        </w:rPr>
        <w:t>采用竞争性磋商采购方式采购的政府购买服务</w:t>
      </w:r>
      <w:r>
        <w:rPr>
          <w:rFonts w:hint="eastAsia" w:ascii="宋体" w:hAnsi="宋体" w:eastAsia="宋体" w:cs="宋体"/>
          <w:color w:val="auto"/>
          <w:spacing w:val="-1"/>
          <w:sz w:val="24"/>
          <w:szCs w:val="24"/>
        </w:rPr>
        <w:t>项目（含政府和社会资本合作项目</w:t>
      </w:r>
      <w:r>
        <w:rPr>
          <w:rFonts w:hint="eastAsia" w:ascii="宋体" w:hAnsi="宋体" w:eastAsia="宋体" w:cs="宋体"/>
          <w:color w:val="auto"/>
          <w:spacing w:val="4"/>
          <w:sz w:val="24"/>
          <w:szCs w:val="24"/>
        </w:rPr>
        <w:t>），</w:t>
      </w:r>
      <w:r>
        <w:rPr>
          <w:rFonts w:hint="eastAsia" w:ascii="宋体" w:hAnsi="宋体" w:eastAsia="宋体" w:cs="宋体"/>
          <w:color w:val="auto"/>
          <w:spacing w:val="-1"/>
          <w:sz w:val="24"/>
          <w:szCs w:val="24"/>
        </w:rPr>
        <w:t>在采购过程中符合要求的供应商（社</w:t>
      </w:r>
      <w:r>
        <w:rPr>
          <w:rFonts w:hint="eastAsia" w:ascii="宋体" w:hAnsi="宋体" w:eastAsia="宋体" w:cs="宋体"/>
          <w:color w:val="auto"/>
          <w:spacing w:val="-2"/>
          <w:sz w:val="24"/>
          <w:szCs w:val="24"/>
        </w:rPr>
        <w:t>会资本）</w:t>
      </w:r>
      <w:r>
        <w:rPr>
          <w:rFonts w:hint="eastAsia" w:ascii="宋体" w:hAnsi="宋体" w:eastAsia="宋体" w:cs="宋体"/>
          <w:color w:val="auto"/>
          <w:spacing w:val="-4"/>
          <w:sz w:val="24"/>
          <w:szCs w:val="24"/>
        </w:rPr>
        <w:t>只有</w:t>
      </w:r>
      <w:r>
        <w:rPr>
          <w:rFonts w:hint="eastAsia" w:ascii="宋体" w:hAnsi="宋体" w:eastAsia="宋体" w:cs="宋体"/>
          <w:color w:val="auto"/>
          <w:spacing w:val="-46"/>
          <w:sz w:val="24"/>
          <w:szCs w:val="24"/>
        </w:rPr>
        <w:t xml:space="preserve"> </w:t>
      </w:r>
      <w:r>
        <w:rPr>
          <w:rFonts w:hint="eastAsia" w:ascii="宋体" w:hAnsi="宋体" w:eastAsia="宋体" w:cs="宋体"/>
          <w:color w:val="auto"/>
          <w:spacing w:val="-4"/>
          <w:sz w:val="24"/>
          <w:szCs w:val="24"/>
        </w:rPr>
        <w:t>2</w:t>
      </w:r>
      <w:r>
        <w:rPr>
          <w:rFonts w:hint="eastAsia" w:ascii="宋体" w:hAnsi="宋体" w:eastAsia="宋体" w:cs="宋体"/>
          <w:color w:val="auto"/>
          <w:spacing w:val="-49"/>
          <w:sz w:val="24"/>
          <w:szCs w:val="24"/>
        </w:rPr>
        <w:t xml:space="preserve"> </w:t>
      </w:r>
      <w:r>
        <w:rPr>
          <w:rFonts w:hint="eastAsia" w:ascii="宋体" w:hAnsi="宋体" w:eastAsia="宋体" w:cs="宋体"/>
          <w:color w:val="auto"/>
          <w:spacing w:val="-4"/>
          <w:sz w:val="24"/>
          <w:szCs w:val="24"/>
        </w:rPr>
        <w:t>家的，竞争性磋商采购活动可以继续进行。采购过程中符合要求的供应商（社会资本）只有</w:t>
      </w:r>
      <w:r>
        <w:rPr>
          <w:rFonts w:hint="eastAsia" w:ascii="宋体" w:hAnsi="宋体" w:eastAsia="宋体" w:cs="宋体"/>
          <w:color w:val="auto"/>
          <w:spacing w:val="-33"/>
          <w:sz w:val="24"/>
          <w:szCs w:val="24"/>
        </w:rPr>
        <w:t xml:space="preserve"> </w:t>
      </w:r>
      <w:r>
        <w:rPr>
          <w:rFonts w:hint="eastAsia" w:ascii="宋体" w:hAnsi="宋体" w:eastAsia="宋体" w:cs="宋体"/>
          <w:color w:val="auto"/>
          <w:spacing w:val="-4"/>
          <w:sz w:val="24"/>
          <w:szCs w:val="24"/>
        </w:rPr>
        <w:t>1</w:t>
      </w:r>
      <w:r>
        <w:rPr>
          <w:rFonts w:hint="eastAsia" w:ascii="宋体" w:hAnsi="宋体" w:eastAsia="宋体" w:cs="宋体"/>
          <w:color w:val="auto"/>
          <w:spacing w:val="-49"/>
          <w:sz w:val="24"/>
          <w:szCs w:val="24"/>
        </w:rPr>
        <w:t xml:space="preserve"> </w:t>
      </w:r>
      <w:r>
        <w:rPr>
          <w:rFonts w:hint="eastAsia" w:ascii="宋体" w:hAnsi="宋体" w:eastAsia="宋体" w:cs="宋体"/>
          <w:color w:val="auto"/>
          <w:spacing w:val="-4"/>
          <w:sz w:val="24"/>
          <w:szCs w:val="24"/>
        </w:rPr>
        <w:t>家的，采购人或者采购代理机构应当终</w:t>
      </w:r>
      <w:r>
        <w:rPr>
          <w:rFonts w:hint="eastAsia" w:ascii="宋体" w:hAnsi="宋体" w:eastAsia="宋体" w:cs="宋体"/>
          <w:color w:val="auto"/>
          <w:spacing w:val="-5"/>
          <w:sz w:val="24"/>
          <w:szCs w:val="24"/>
        </w:rPr>
        <w:t>止竞争性磋商采购活动，发布</w:t>
      </w:r>
      <w:r>
        <w:rPr>
          <w:rFonts w:hint="eastAsia" w:ascii="宋体" w:hAnsi="宋体" w:eastAsia="宋体" w:cs="宋体"/>
          <w:color w:val="auto"/>
          <w:spacing w:val="-1"/>
          <w:sz w:val="24"/>
          <w:szCs w:val="24"/>
        </w:rPr>
        <w:t>项目终止公告并说明原因，重新开展采购活动。</w:t>
      </w:r>
    </w:p>
    <w:p w14:paraId="7A377E40">
      <w:pPr>
        <w:pStyle w:val="4"/>
        <w:spacing w:before="37" w:line="346" w:lineRule="auto"/>
        <w:ind w:left="14" w:right="91" w:firstLine="480"/>
        <w:rPr>
          <w:rFonts w:hint="eastAsia" w:ascii="宋体" w:hAnsi="宋体" w:eastAsia="宋体" w:cs="宋体"/>
          <w:color w:val="auto"/>
          <w:sz w:val="24"/>
          <w:szCs w:val="24"/>
        </w:rPr>
      </w:pPr>
      <w:r>
        <w:rPr>
          <w:rFonts w:hint="eastAsia" w:ascii="宋体" w:hAnsi="宋体" w:eastAsia="宋体" w:cs="宋体"/>
          <w:color w:val="auto"/>
          <w:spacing w:val="-4"/>
          <w:sz w:val="24"/>
          <w:szCs w:val="24"/>
        </w:rPr>
        <w:t>最后报价是供应商响应文件的有效组成部分。已提交响应文件的供应商，在提交</w:t>
      </w:r>
      <w:r>
        <w:rPr>
          <w:rFonts w:hint="eastAsia" w:ascii="宋体" w:hAnsi="宋体" w:eastAsia="宋体" w:cs="宋体"/>
          <w:color w:val="auto"/>
          <w:spacing w:val="-1"/>
          <w:sz w:val="24"/>
          <w:szCs w:val="24"/>
        </w:rPr>
        <w:t>最后报价之前，可以根据磋商情况退出磋商。</w:t>
      </w:r>
    </w:p>
    <w:p w14:paraId="0220AB05">
      <w:pPr>
        <w:pStyle w:val="4"/>
        <w:spacing w:before="33" w:line="218" w:lineRule="auto"/>
        <w:ind w:left="492"/>
        <w:rPr>
          <w:rFonts w:hint="eastAsia" w:ascii="宋体" w:hAnsi="宋体" w:eastAsia="宋体" w:cs="宋体"/>
          <w:color w:val="auto"/>
          <w:sz w:val="24"/>
          <w:szCs w:val="24"/>
        </w:rPr>
      </w:pPr>
      <w:r>
        <w:rPr>
          <w:rFonts w:hint="eastAsia" w:ascii="宋体" w:hAnsi="宋体" w:eastAsia="宋体" w:cs="宋体"/>
          <w:color w:val="auto"/>
          <w:sz w:val="24"/>
          <w:szCs w:val="24"/>
        </w:rPr>
        <w:t>本采购项目提交最后报价供应商的确定方式详</w:t>
      </w:r>
      <w:r>
        <w:rPr>
          <w:rFonts w:hint="eastAsia" w:ascii="宋体" w:hAnsi="宋体" w:eastAsia="宋体" w:cs="宋体"/>
          <w:color w:val="auto"/>
          <w:spacing w:val="-1"/>
          <w:sz w:val="24"/>
          <w:szCs w:val="24"/>
        </w:rPr>
        <w:t>见《供应商须知前附表》。</w:t>
      </w:r>
    </w:p>
    <w:p w14:paraId="4A7566CA">
      <w:pPr>
        <w:pStyle w:val="4"/>
        <w:spacing w:before="181" w:line="313" w:lineRule="auto"/>
        <w:ind w:left="13" w:right="91" w:firstLine="480"/>
        <w:rPr>
          <w:rFonts w:hint="eastAsia" w:ascii="宋体" w:hAnsi="宋体" w:eastAsia="宋体" w:cs="宋体"/>
          <w:color w:val="auto"/>
          <w:sz w:val="24"/>
          <w:szCs w:val="24"/>
        </w:rPr>
      </w:pPr>
      <w:r>
        <w:rPr>
          <w:rFonts w:hint="eastAsia" w:ascii="宋体" w:hAnsi="宋体" w:eastAsia="宋体" w:cs="宋体"/>
          <w:color w:val="auto"/>
          <w:spacing w:val="-2"/>
          <w:sz w:val="24"/>
          <w:szCs w:val="24"/>
        </w:rPr>
        <w:t>6.2</w:t>
      </w:r>
      <w:r>
        <w:rPr>
          <w:rFonts w:hint="eastAsia" w:ascii="宋体" w:hAnsi="宋体" w:eastAsia="宋体" w:cs="宋体"/>
          <w:color w:val="auto"/>
          <w:spacing w:val="-47"/>
          <w:sz w:val="24"/>
          <w:szCs w:val="24"/>
        </w:rPr>
        <w:t xml:space="preserve"> </w:t>
      </w:r>
      <w:r>
        <w:rPr>
          <w:rFonts w:hint="eastAsia" w:ascii="宋体" w:hAnsi="宋体" w:eastAsia="宋体" w:cs="宋体"/>
          <w:color w:val="auto"/>
          <w:spacing w:val="-2"/>
          <w:sz w:val="24"/>
          <w:szCs w:val="24"/>
        </w:rPr>
        <w:t>如有需要，磋商小组可进行多轮磋商，直至最终确定磋商文</w:t>
      </w:r>
      <w:r>
        <w:rPr>
          <w:rFonts w:hint="eastAsia" w:ascii="宋体" w:hAnsi="宋体" w:eastAsia="宋体" w:cs="宋体"/>
          <w:color w:val="auto"/>
          <w:spacing w:val="-3"/>
          <w:sz w:val="24"/>
          <w:szCs w:val="24"/>
        </w:rPr>
        <w:t>件中的技术、服</w:t>
      </w:r>
      <w:r>
        <w:rPr>
          <w:rFonts w:hint="eastAsia" w:ascii="宋体" w:hAnsi="宋体" w:eastAsia="宋体" w:cs="宋体"/>
          <w:color w:val="auto"/>
          <w:sz w:val="24"/>
          <w:szCs w:val="24"/>
        </w:rPr>
        <w:t>务要求以及合同草案条款。如竞争性磋商采购文件无需修改，可直接要</w:t>
      </w:r>
      <w:r>
        <w:rPr>
          <w:rFonts w:hint="eastAsia" w:ascii="宋体" w:hAnsi="宋体" w:eastAsia="宋体" w:cs="宋体"/>
          <w:color w:val="auto"/>
          <w:spacing w:val="-1"/>
          <w:sz w:val="24"/>
          <w:szCs w:val="24"/>
        </w:rPr>
        <w:t>求磋商 供应</w:t>
      </w:r>
      <w:r>
        <w:rPr>
          <w:rFonts w:hint="eastAsia" w:ascii="宋体" w:hAnsi="宋体" w:eastAsia="宋体" w:cs="宋体"/>
          <w:color w:val="auto"/>
          <w:spacing w:val="-2"/>
          <w:sz w:val="24"/>
          <w:szCs w:val="24"/>
        </w:rPr>
        <w:t>商提交最后报价。</w:t>
      </w:r>
    </w:p>
    <w:p w14:paraId="254BFCB2">
      <w:pPr>
        <w:pStyle w:val="4"/>
        <w:spacing w:before="182" w:line="290" w:lineRule="auto"/>
        <w:ind w:left="26" w:right="91" w:firstLine="466"/>
        <w:rPr>
          <w:rFonts w:hint="eastAsia" w:ascii="宋体" w:hAnsi="宋体" w:eastAsia="宋体" w:cs="宋体"/>
          <w:color w:val="auto"/>
          <w:sz w:val="24"/>
          <w:szCs w:val="24"/>
        </w:rPr>
      </w:pPr>
      <w:r>
        <w:rPr>
          <w:rFonts w:hint="eastAsia" w:ascii="宋体" w:hAnsi="宋体" w:eastAsia="宋体" w:cs="宋体"/>
          <w:color w:val="auto"/>
          <w:spacing w:val="-2"/>
          <w:sz w:val="24"/>
          <w:szCs w:val="24"/>
        </w:rPr>
        <w:t>6.3</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2"/>
          <w:sz w:val="24"/>
          <w:szCs w:val="24"/>
        </w:rPr>
        <w:t>磋商小组对磋商过程和重要磋商内容通过“武汉市东西湖区政府采购电</w:t>
      </w:r>
      <w:r>
        <w:rPr>
          <w:rFonts w:hint="eastAsia" w:ascii="宋体" w:hAnsi="宋体" w:eastAsia="宋体" w:cs="宋体"/>
          <w:color w:val="auto"/>
          <w:spacing w:val="-3"/>
          <w:sz w:val="24"/>
          <w:szCs w:val="24"/>
        </w:rPr>
        <w:t>子交</w:t>
      </w:r>
      <w:r>
        <w:rPr>
          <w:rFonts w:hint="eastAsia" w:ascii="宋体" w:hAnsi="宋体" w:eastAsia="宋体" w:cs="宋体"/>
          <w:color w:val="auto"/>
          <w:sz w:val="24"/>
          <w:szCs w:val="24"/>
        </w:rPr>
        <w:t xml:space="preserve"> </w:t>
      </w:r>
      <w:r>
        <w:rPr>
          <w:rFonts w:hint="eastAsia" w:ascii="宋体" w:hAnsi="宋体" w:eastAsia="宋体" w:cs="宋体"/>
          <w:color w:val="auto"/>
          <w:spacing w:val="-7"/>
          <w:sz w:val="24"/>
          <w:szCs w:val="24"/>
        </w:rPr>
        <w:t>易系统</w:t>
      </w:r>
      <w:r>
        <w:rPr>
          <w:rFonts w:hint="eastAsia" w:ascii="宋体" w:hAnsi="宋体" w:eastAsia="宋体" w:cs="宋体"/>
          <w:color w:val="auto"/>
          <w:spacing w:val="-84"/>
          <w:sz w:val="24"/>
          <w:szCs w:val="24"/>
        </w:rPr>
        <w:t xml:space="preserve"> </w:t>
      </w:r>
      <w:r>
        <w:rPr>
          <w:rFonts w:hint="eastAsia" w:ascii="宋体" w:hAnsi="宋体" w:eastAsia="宋体" w:cs="宋体"/>
          <w:color w:val="auto"/>
          <w:spacing w:val="-7"/>
          <w:sz w:val="24"/>
          <w:szCs w:val="24"/>
        </w:rPr>
        <w:t>”进行记录。</w:t>
      </w:r>
    </w:p>
    <w:p w14:paraId="6F56E624">
      <w:pPr>
        <w:pStyle w:val="4"/>
        <w:spacing w:before="180" w:line="220" w:lineRule="auto"/>
        <w:ind w:left="496"/>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7.评分标准</w:t>
      </w:r>
    </w:p>
    <w:p w14:paraId="79596FB5">
      <w:pPr>
        <w:pStyle w:val="4"/>
        <w:spacing w:before="181" w:line="345" w:lineRule="auto"/>
        <w:ind w:left="10" w:right="91" w:firstLine="481"/>
        <w:rPr>
          <w:rFonts w:hint="eastAsia" w:ascii="宋体" w:hAnsi="宋体" w:eastAsia="宋体" w:cs="宋体"/>
          <w:color w:val="auto"/>
          <w:sz w:val="24"/>
          <w:szCs w:val="24"/>
        </w:rPr>
      </w:pPr>
      <w:r>
        <w:rPr>
          <w:rFonts w:hint="eastAsia" w:ascii="宋体" w:hAnsi="宋体" w:eastAsia="宋体" w:cs="宋体"/>
          <w:color w:val="auto"/>
          <w:spacing w:val="-5"/>
          <w:sz w:val="24"/>
          <w:szCs w:val="24"/>
        </w:rPr>
        <w:t>本项目采用合评分法，总分</w:t>
      </w:r>
      <w:r>
        <w:rPr>
          <w:rFonts w:hint="eastAsia" w:ascii="宋体" w:hAnsi="宋体" w:eastAsia="宋体" w:cs="宋体"/>
          <w:color w:val="auto"/>
          <w:spacing w:val="-17"/>
          <w:sz w:val="24"/>
          <w:szCs w:val="24"/>
        </w:rPr>
        <w:t xml:space="preserve"> </w:t>
      </w:r>
      <w:r>
        <w:rPr>
          <w:rFonts w:hint="eastAsia" w:ascii="宋体" w:hAnsi="宋体" w:eastAsia="宋体" w:cs="宋体"/>
          <w:color w:val="auto"/>
          <w:spacing w:val="-5"/>
          <w:sz w:val="24"/>
          <w:szCs w:val="24"/>
        </w:rPr>
        <w:t>100</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5"/>
          <w:sz w:val="24"/>
          <w:szCs w:val="24"/>
        </w:rPr>
        <w:t>分，分为价格部分、技术部分、商务部分。具体</w:t>
      </w:r>
      <w:r>
        <w:rPr>
          <w:rFonts w:hint="eastAsia" w:ascii="宋体" w:hAnsi="宋体" w:eastAsia="宋体" w:cs="宋体"/>
          <w:color w:val="auto"/>
          <w:spacing w:val="-1"/>
          <w:sz w:val="24"/>
          <w:szCs w:val="24"/>
        </w:rPr>
        <w:t>评分标准详见（三）详细评审中评分细则。</w:t>
      </w:r>
    </w:p>
    <w:p w14:paraId="1EA5A13F">
      <w:pPr>
        <w:pStyle w:val="4"/>
        <w:spacing w:before="38" w:line="219" w:lineRule="auto"/>
        <w:ind w:left="492"/>
        <w:rPr>
          <w:rFonts w:hint="eastAsia" w:ascii="宋体" w:hAnsi="宋体" w:eastAsia="宋体" w:cs="宋体"/>
          <w:color w:val="auto"/>
          <w:sz w:val="24"/>
          <w:szCs w:val="24"/>
        </w:rPr>
      </w:pPr>
      <w:r>
        <w:rPr>
          <w:rFonts w:hint="eastAsia" w:ascii="宋体" w:hAnsi="宋体" w:eastAsia="宋体" w:cs="宋体"/>
          <w:b/>
          <w:bCs/>
          <w:color w:val="auto"/>
          <w:spacing w:val="-4"/>
          <w:sz w:val="24"/>
          <w:szCs w:val="24"/>
        </w:rPr>
        <w:t>8.评定办法</w:t>
      </w:r>
    </w:p>
    <w:p w14:paraId="757EC6F6">
      <w:pPr>
        <w:pStyle w:val="4"/>
        <w:spacing w:before="181" w:line="289" w:lineRule="auto"/>
        <w:ind w:left="11" w:right="91" w:firstLine="480"/>
        <w:rPr>
          <w:rFonts w:hint="eastAsia" w:ascii="宋体" w:hAnsi="宋体" w:eastAsia="宋体" w:cs="宋体"/>
          <w:color w:val="auto"/>
          <w:sz w:val="24"/>
          <w:szCs w:val="24"/>
        </w:rPr>
      </w:pPr>
      <w:r>
        <w:rPr>
          <w:rFonts w:hint="eastAsia" w:ascii="宋体" w:hAnsi="宋体" w:eastAsia="宋体" w:cs="宋体"/>
          <w:color w:val="auto"/>
          <w:spacing w:val="-2"/>
          <w:sz w:val="24"/>
          <w:szCs w:val="24"/>
        </w:rPr>
        <w:t>8.1</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2"/>
          <w:sz w:val="24"/>
          <w:szCs w:val="24"/>
        </w:rPr>
        <w:t>各供应商的最终得分为各评委所评定分数的算术平均值。磋商小</w:t>
      </w:r>
      <w:r>
        <w:rPr>
          <w:rFonts w:hint="eastAsia" w:ascii="宋体" w:hAnsi="宋体" w:eastAsia="宋体" w:cs="宋体"/>
          <w:color w:val="auto"/>
          <w:spacing w:val="-3"/>
          <w:sz w:val="24"/>
          <w:szCs w:val="24"/>
        </w:rPr>
        <w:t>组将根据供</w:t>
      </w:r>
      <w:r>
        <w:rPr>
          <w:rFonts w:hint="eastAsia" w:ascii="宋体" w:hAnsi="宋体" w:eastAsia="宋体" w:cs="宋体"/>
          <w:color w:val="auto"/>
          <w:spacing w:val="-1"/>
          <w:sz w:val="24"/>
          <w:szCs w:val="24"/>
        </w:rPr>
        <w:t>应商最后得分由高到低的顺序推荐前三名成交候选供应商。</w:t>
      </w:r>
    </w:p>
    <w:p w14:paraId="2CB46BFA">
      <w:pPr>
        <w:pStyle w:val="4"/>
        <w:spacing w:before="182" w:line="289" w:lineRule="auto"/>
        <w:ind w:left="11" w:right="91" w:firstLine="480"/>
        <w:rPr>
          <w:rFonts w:hint="eastAsia" w:ascii="宋体" w:hAnsi="宋体" w:eastAsia="宋体" w:cs="宋体"/>
          <w:color w:val="auto"/>
          <w:sz w:val="24"/>
          <w:szCs w:val="24"/>
        </w:rPr>
      </w:pPr>
      <w:r>
        <w:rPr>
          <w:rFonts w:hint="eastAsia" w:ascii="宋体" w:hAnsi="宋体" w:eastAsia="宋体" w:cs="宋体"/>
          <w:color w:val="auto"/>
          <w:spacing w:val="-3"/>
          <w:sz w:val="24"/>
          <w:szCs w:val="24"/>
        </w:rPr>
        <w:t>8.2 评审得分相同的，按照最后报价由低到高的</w:t>
      </w:r>
      <w:r>
        <w:rPr>
          <w:rFonts w:hint="eastAsia" w:ascii="宋体" w:hAnsi="宋体" w:eastAsia="宋体" w:cs="宋体"/>
          <w:color w:val="auto"/>
          <w:spacing w:val="-4"/>
          <w:sz w:val="24"/>
          <w:szCs w:val="24"/>
        </w:rPr>
        <w:t>顺序推荐，评审得分且最后报价</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相同的，按照技术指标优劣顺序推荐。</w:t>
      </w:r>
    </w:p>
    <w:p w14:paraId="5D4B061C">
      <w:pPr>
        <w:pStyle w:val="4"/>
        <w:spacing w:before="184" w:line="219" w:lineRule="auto"/>
        <w:ind w:left="492"/>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9.政府采购政策</w:t>
      </w:r>
    </w:p>
    <w:p w14:paraId="4E297A09">
      <w:pPr>
        <w:pStyle w:val="4"/>
        <w:spacing w:before="181" w:line="219" w:lineRule="auto"/>
        <w:ind w:left="492"/>
        <w:outlineLvl w:val="1"/>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9.1.中小企业扶持政策</w:t>
      </w:r>
    </w:p>
    <w:p w14:paraId="3CAD560C">
      <w:pPr>
        <w:pStyle w:val="4"/>
        <w:spacing w:before="181" w:line="354" w:lineRule="auto"/>
        <w:ind w:left="10" w:right="91" w:firstLine="481"/>
        <w:rPr>
          <w:rFonts w:hint="eastAsia" w:ascii="宋体" w:hAnsi="宋体" w:eastAsia="宋体" w:cs="宋体"/>
          <w:color w:val="auto"/>
          <w:sz w:val="24"/>
          <w:szCs w:val="24"/>
        </w:rPr>
      </w:pPr>
      <w:r>
        <w:rPr>
          <w:rFonts w:hint="eastAsia" w:ascii="宋体" w:hAnsi="宋体" w:eastAsia="宋体" w:cs="宋体"/>
          <w:color w:val="auto"/>
          <w:sz w:val="24"/>
          <w:szCs w:val="24"/>
        </w:rPr>
        <w:t>9.1.1本项目非专门面向中小微企业采购，为促进中小企业发展，依</w:t>
      </w:r>
      <w:r>
        <w:rPr>
          <w:rFonts w:hint="eastAsia" w:ascii="宋体" w:hAnsi="宋体" w:eastAsia="宋体" w:cs="宋体"/>
          <w:color w:val="auto"/>
          <w:spacing w:val="-1"/>
          <w:sz w:val="24"/>
          <w:szCs w:val="24"/>
        </w:rPr>
        <w:t>据财政部、</w:t>
      </w:r>
      <w:r>
        <w:rPr>
          <w:rFonts w:hint="eastAsia" w:ascii="宋体" w:hAnsi="宋体" w:eastAsia="宋体" w:cs="宋体"/>
          <w:color w:val="auto"/>
          <w:spacing w:val="3"/>
          <w:sz w:val="24"/>
          <w:szCs w:val="24"/>
        </w:rPr>
        <w:t>工业和信息化部《关于印发&lt;政府采购促进中小企业发展管理办法&gt;的通知》（财库</w:t>
      </w:r>
      <w:r>
        <w:rPr>
          <w:rFonts w:hint="eastAsia" w:ascii="宋体" w:hAnsi="宋体" w:eastAsia="宋体" w:cs="宋体"/>
          <w:color w:val="auto"/>
          <w:spacing w:val="4"/>
          <w:sz w:val="24"/>
          <w:szCs w:val="24"/>
        </w:rPr>
        <w:t xml:space="preserve"> </w:t>
      </w:r>
      <w:r>
        <w:rPr>
          <w:rFonts w:hint="eastAsia" w:ascii="宋体" w:hAnsi="宋体" w:eastAsia="宋体" w:cs="宋体"/>
          <w:color w:val="auto"/>
          <w:sz w:val="24"/>
          <w:szCs w:val="24"/>
        </w:rPr>
        <w:t>[2020]46号）、财政部 司法部《关于政府采购支持监狱</w:t>
      </w:r>
      <w:r>
        <w:rPr>
          <w:rFonts w:hint="eastAsia" w:ascii="宋体" w:hAnsi="宋体" w:eastAsia="宋体" w:cs="宋体"/>
          <w:color w:val="auto"/>
          <w:spacing w:val="-1"/>
          <w:sz w:val="24"/>
          <w:szCs w:val="24"/>
        </w:rPr>
        <w:t>企业发展有关问题的通知》</w:t>
      </w:r>
      <w:r>
        <w:rPr>
          <w:rFonts w:hint="eastAsia" w:ascii="宋体" w:hAnsi="宋体" w:eastAsia="宋体" w:cs="宋体"/>
          <w:color w:val="auto"/>
          <w:spacing w:val="-5"/>
          <w:sz w:val="24"/>
          <w:szCs w:val="24"/>
        </w:rPr>
        <w:t>（财库[2014]68号）、财政部</w:t>
      </w:r>
      <w:r>
        <w:rPr>
          <w:rFonts w:hint="eastAsia" w:ascii="宋体" w:hAnsi="宋体" w:eastAsia="宋体" w:cs="宋体"/>
          <w:color w:val="auto"/>
          <w:spacing w:val="45"/>
          <w:sz w:val="24"/>
          <w:szCs w:val="24"/>
        </w:rPr>
        <w:t xml:space="preserve"> </w:t>
      </w:r>
      <w:r>
        <w:rPr>
          <w:rFonts w:hint="eastAsia" w:ascii="宋体" w:hAnsi="宋体" w:eastAsia="宋体" w:cs="宋体"/>
          <w:color w:val="auto"/>
          <w:spacing w:val="-5"/>
          <w:sz w:val="24"/>
          <w:szCs w:val="24"/>
        </w:rPr>
        <w:t>民政部</w:t>
      </w:r>
      <w:r>
        <w:rPr>
          <w:rFonts w:hint="eastAsia" w:ascii="宋体" w:hAnsi="宋体" w:eastAsia="宋体" w:cs="宋体"/>
          <w:color w:val="auto"/>
          <w:spacing w:val="32"/>
          <w:sz w:val="24"/>
          <w:szCs w:val="24"/>
        </w:rPr>
        <w:t xml:space="preserve"> </w:t>
      </w:r>
      <w:r>
        <w:rPr>
          <w:rFonts w:hint="eastAsia" w:ascii="宋体" w:hAnsi="宋体" w:eastAsia="宋体" w:cs="宋体"/>
          <w:color w:val="auto"/>
          <w:spacing w:val="-5"/>
          <w:sz w:val="24"/>
          <w:szCs w:val="24"/>
        </w:rPr>
        <w:t>中国残疾人联合会《关于促进残疾人就业政府</w:t>
      </w:r>
      <w:r>
        <w:rPr>
          <w:rFonts w:hint="eastAsia" w:ascii="宋体" w:hAnsi="宋体" w:eastAsia="宋体" w:cs="宋体"/>
          <w:color w:val="auto"/>
          <w:sz w:val="24"/>
          <w:szCs w:val="24"/>
        </w:rPr>
        <w:t>采购政策的通知》（财库[2017]141号</w:t>
      </w:r>
      <w:r>
        <w:rPr>
          <w:rFonts w:hint="eastAsia" w:ascii="宋体" w:hAnsi="宋体" w:eastAsia="宋体" w:cs="宋体"/>
          <w:color w:val="auto"/>
          <w:spacing w:val="5"/>
          <w:sz w:val="24"/>
          <w:szCs w:val="24"/>
        </w:rPr>
        <w:t>），</w:t>
      </w:r>
      <w:r>
        <w:rPr>
          <w:rFonts w:hint="eastAsia" w:ascii="宋体" w:hAnsi="宋体" w:eastAsia="宋体" w:cs="宋体"/>
          <w:color w:val="auto"/>
          <w:sz w:val="24"/>
          <w:szCs w:val="24"/>
        </w:rPr>
        <w:t>本项目供应</w:t>
      </w:r>
      <w:r>
        <w:rPr>
          <w:rFonts w:hint="eastAsia" w:ascii="宋体" w:hAnsi="宋体" w:eastAsia="宋体" w:cs="宋体"/>
          <w:color w:val="auto"/>
          <w:spacing w:val="-1"/>
          <w:sz w:val="24"/>
          <w:szCs w:val="24"/>
        </w:rPr>
        <w:t>商如符合上述文件规定的，需</w:t>
      </w:r>
      <w:r>
        <w:rPr>
          <w:rFonts w:hint="eastAsia" w:ascii="宋体" w:hAnsi="宋体" w:eastAsia="宋体" w:cs="宋体"/>
          <w:color w:val="auto"/>
          <w:spacing w:val="-3"/>
          <w:sz w:val="24"/>
          <w:szCs w:val="24"/>
        </w:rPr>
        <w:t>提供《中小企业声明函》、监狱企业证明文件、《残</w:t>
      </w:r>
      <w:r>
        <w:rPr>
          <w:rFonts w:hint="eastAsia" w:ascii="宋体" w:hAnsi="宋体" w:eastAsia="宋体" w:cs="宋体"/>
          <w:color w:val="auto"/>
          <w:spacing w:val="-4"/>
          <w:sz w:val="24"/>
          <w:szCs w:val="24"/>
        </w:rPr>
        <w:t>疾人福利性单位声明函》，评审</w:t>
      </w:r>
      <w:r>
        <w:rPr>
          <w:rFonts w:hint="eastAsia" w:ascii="宋体" w:hAnsi="宋体" w:eastAsia="宋体" w:cs="宋体"/>
          <w:color w:val="auto"/>
          <w:spacing w:val="-3"/>
          <w:sz w:val="24"/>
          <w:szCs w:val="24"/>
        </w:rPr>
        <w:t>时将对供应商报价给予一定比例的扣除，用扣</w:t>
      </w:r>
      <w:r>
        <w:rPr>
          <w:rFonts w:hint="eastAsia" w:ascii="宋体" w:hAnsi="宋体" w:eastAsia="宋体" w:cs="宋体"/>
          <w:color w:val="auto"/>
          <w:spacing w:val="-4"/>
          <w:sz w:val="24"/>
          <w:szCs w:val="24"/>
        </w:rPr>
        <w:t>除后的价格参与评审。具体扣除比例详</w:t>
      </w:r>
      <w:r>
        <w:rPr>
          <w:rFonts w:hint="eastAsia" w:ascii="宋体" w:hAnsi="宋体" w:eastAsia="宋体" w:cs="宋体"/>
          <w:color w:val="auto"/>
          <w:spacing w:val="-2"/>
          <w:sz w:val="24"/>
          <w:szCs w:val="24"/>
        </w:rPr>
        <w:t>见《供应商须知前附表》。</w:t>
      </w:r>
    </w:p>
    <w:p w14:paraId="4A609014">
      <w:pPr>
        <w:pStyle w:val="4"/>
        <w:spacing w:before="31" w:line="344" w:lineRule="auto"/>
        <w:ind w:left="10" w:firstLine="481"/>
        <w:rPr>
          <w:rFonts w:hint="eastAsia" w:ascii="宋体" w:hAnsi="宋体" w:eastAsia="宋体" w:cs="宋体"/>
          <w:color w:val="auto"/>
          <w:sz w:val="24"/>
          <w:szCs w:val="24"/>
        </w:rPr>
      </w:pPr>
      <w:r>
        <w:rPr>
          <w:rFonts w:hint="eastAsia" w:ascii="宋体" w:hAnsi="宋体" w:eastAsia="宋体" w:cs="宋体"/>
          <w:color w:val="auto"/>
          <w:spacing w:val="-3"/>
          <w:sz w:val="24"/>
          <w:szCs w:val="24"/>
        </w:rPr>
        <w:t>9.1.2依据湖北省财政厅 湖北省公共资源交易监督管理</w:t>
      </w:r>
      <w:r>
        <w:rPr>
          <w:rFonts w:hint="eastAsia" w:ascii="宋体" w:hAnsi="宋体" w:eastAsia="宋体" w:cs="宋体"/>
          <w:color w:val="auto"/>
          <w:spacing w:val="-4"/>
          <w:sz w:val="24"/>
          <w:szCs w:val="24"/>
        </w:rPr>
        <w:t>局《关于落实稳住经济一</w:t>
      </w:r>
      <w:r>
        <w:rPr>
          <w:rFonts w:hint="eastAsia" w:ascii="宋体" w:hAnsi="宋体" w:eastAsia="宋体" w:cs="宋体"/>
          <w:color w:val="auto"/>
          <w:sz w:val="24"/>
          <w:szCs w:val="24"/>
        </w:rPr>
        <w:t xml:space="preserve"> 揽子政策进一步加大政府采购支持中小企业力</w:t>
      </w:r>
      <w:r>
        <w:rPr>
          <w:rFonts w:hint="eastAsia" w:ascii="宋体" w:hAnsi="宋体" w:eastAsia="宋体" w:cs="宋体"/>
          <w:color w:val="auto"/>
          <w:spacing w:val="-1"/>
          <w:sz w:val="24"/>
          <w:szCs w:val="24"/>
        </w:rPr>
        <w:t>度的通知》（鄂财采发〔2022〕5号）</w:t>
      </w:r>
      <w:r>
        <w:rPr>
          <w:rFonts w:hint="eastAsia" w:ascii="宋体" w:hAnsi="宋体" w:eastAsia="宋体" w:cs="宋体"/>
          <w:color w:val="auto"/>
          <w:spacing w:val="-3"/>
          <w:sz w:val="24"/>
          <w:szCs w:val="24"/>
        </w:rPr>
        <w:t>的规定，货物服务采购项目给予小微企业的价格扣除优惠，由财库〔2020〕46</w:t>
      </w:r>
      <w:r>
        <w:rPr>
          <w:rFonts w:hint="eastAsia" w:ascii="宋体" w:hAnsi="宋体" w:eastAsia="宋体" w:cs="宋体"/>
          <w:color w:val="auto"/>
          <w:spacing w:val="-4"/>
          <w:sz w:val="24"/>
          <w:szCs w:val="24"/>
        </w:rPr>
        <w:t>号文件</w:t>
      </w:r>
      <w:r>
        <w:rPr>
          <w:rFonts w:hint="eastAsia" w:ascii="宋体" w:hAnsi="宋体" w:eastAsia="宋体" w:cs="宋体"/>
          <w:color w:val="auto"/>
          <w:sz w:val="24"/>
          <w:szCs w:val="24"/>
        </w:rPr>
        <w:t>规定的 6%—10%提高至 10%—20%。大中型企业与小微企业组成联合体或者大</w:t>
      </w:r>
      <w:r>
        <w:rPr>
          <w:rFonts w:hint="eastAsia" w:ascii="宋体" w:hAnsi="宋体" w:eastAsia="宋体" w:cs="宋体"/>
          <w:color w:val="auto"/>
          <w:spacing w:val="-1"/>
          <w:sz w:val="24"/>
          <w:szCs w:val="24"/>
        </w:rPr>
        <w:t>中型企</w:t>
      </w:r>
      <w:r>
        <w:rPr>
          <w:rFonts w:hint="eastAsia" w:ascii="宋体" w:hAnsi="宋体" w:eastAsia="宋体" w:cs="宋体"/>
          <w:color w:val="auto"/>
          <w:spacing w:val="-3"/>
          <w:sz w:val="24"/>
          <w:szCs w:val="24"/>
        </w:rPr>
        <w:t>业向小微企业分包的，评审优惠幅度由 2%—3%提高至 4%—6%。政府采购工程的价格</w:t>
      </w:r>
      <w:r>
        <w:rPr>
          <w:rFonts w:hint="eastAsia" w:ascii="宋体" w:hAnsi="宋体" w:eastAsia="宋体" w:cs="宋体"/>
          <w:color w:val="auto"/>
          <w:sz w:val="24"/>
          <w:szCs w:val="24"/>
        </w:rPr>
        <w:t>评审优惠按照财库〔2020〕46号文件中对应的 3%—5%、1%—2%的规定执行。</w:t>
      </w:r>
      <w:r>
        <w:rPr>
          <w:rFonts w:hint="eastAsia" w:ascii="宋体" w:hAnsi="宋体" w:eastAsia="宋体" w:cs="宋体"/>
          <w:color w:val="auto"/>
          <w:spacing w:val="-1"/>
          <w:sz w:val="24"/>
          <w:szCs w:val="24"/>
        </w:rPr>
        <w:t>对小微企业中的残疾人企业、监狱企业、采购产品纳入创新产</w:t>
      </w:r>
      <w:r>
        <w:rPr>
          <w:rFonts w:hint="eastAsia" w:ascii="宋体" w:hAnsi="宋体" w:eastAsia="宋体" w:cs="宋体"/>
          <w:color w:val="auto"/>
          <w:spacing w:val="-2"/>
          <w:sz w:val="24"/>
          <w:szCs w:val="24"/>
        </w:rPr>
        <w:t>品应用示范推荐目录内企业、</w:t>
      </w:r>
      <w:r>
        <w:rPr>
          <w:rFonts w:hint="eastAsia" w:ascii="宋体" w:hAnsi="宋体" w:eastAsia="宋体" w:cs="宋体"/>
          <w:color w:val="auto"/>
          <w:spacing w:val="-3"/>
          <w:sz w:val="24"/>
          <w:szCs w:val="24"/>
        </w:rPr>
        <w:t>采购产品获得节能产品或环境标志产品认证证书的企业，</w:t>
      </w:r>
      <w:r>
        <w:rPr>
          <w:rFonts w:hint="eastAsia" w:ascii="宋体" w:hAnsi="宋体" w:eastAsia="宋体" w:cs="宋体"/>
          <w:color w:val="auto"/>
          <w:spacing w:val="-4"/>
          <w:sz w:val="24"/>
          <w:szCs w:val="24"/>
        </w:rPr>
        <w:t>以价格评审优惠幅度的上限</w:t>
      </w:r>
      <w:r>
        <w:rPr>
          <w:rFonts w:hint="eastAsia" w:ascii="宋体" w:hAnsi="宋体" w:eastAsia="宋体" w:cs="宋体"/>
          <w:color w:val="auto"/>
          <w:spacing w:val="-2"/>
          <w:sz w:val="24"/>
          <w:szCs w:val="24"/>
        </w:rPr>
        <w:t>给予评审优惠。</w:t>
      </w:r>
    </w:p>
    <w:p w14:paraId="0F56B2F8">
      <w:pPr>
        <w:pStyle w:val="4"/>
        <w:spacing w:before="183" w:line="288" w:lineRule="auto"/>
        <w:ind w:left="12" w:right="75" w:firstLine="480"/>
        <w:rPr>
          <w:rFonts w:hint="eastAsia" w:ascii="宋体" w:hAnsi="宋体" w:eastAsia="宋体" w:cs="宋体"/>
          <w:color w:val="auto"/>
          <w:sz w:val="24"/>
          <w:szCs w:val="24"/>
        </w:rPr>
      </w:pPr>
      <w:r>
        <w:rPr>
          <w:rFonts w:hint="eastAsia" w:ascii="宋体" w:hAnsi="宋体" w:eastAsia="宋体" w:cs="宋体"/>
          <w:color w:val="auto"/>
          <w:spacing w:val="-2"/>
          <w:sz w:val="24"/>
          <w:szCs w:val="24"/>
        </w:rPr>
        <w:t>9.1.3中小企业划型标准详见附件：工业和信息化部</w:t>
      </w:r>
      <w:r>
        <w:rPr>
          <w:rFonts w:hint="eastAsia" w:ascii="宋体" w:hAnsi="宋体" w:eastAsia="宋体" w:cs="宋体"/>
          <w:color w:val="auto"/>
          <w:spacing w:val="32"/>
          <w:sz w:val="24"/>
          <w:szCs w:val="24"/>
        </w:rPr>
        <w:t xml:space="preserve"> </w:t>
      </w:r>
      <w:r>
        <w:rPr>
          <w:rFonts w:hint="eastAsia" w:ascii="宋体" w:hAnsi="宋体" w:eastAsia="宋体" w:cs="宋体"/>
          <w:color w:val="auto"/>
          <w:spacing w:val="-2"/>
          <w:sz w:val="24"/>
          <w:szCs w:val="24"/>
        </w:rPr>
        <w:t>国家统计局国家发展和改</w:t>
      </w:r>
      <w:r>
        <w:rPr>
          <w:rFonts w:hint="eastAsia" w:ascii="宋体" w:hAnsi="宋体" w:eastAsia="宋体" w:cs="宋体"/>
          <w:color w:val="auto"/>
          <w:sz w:val="24"/>
          <w:szCs w:val="24"/>
        </w:rPr>
        <w:t xml:space="preserve"> 革委员会 财政部《中小企业划型标准规定》（工信部联企业</w:t>
      </w:r>
      <w:r>
        <w:rPr>
          <w:rFonts w:hint="eastAsia" w:ascii="宋体" w:hAnsi="宋体" w:eastAsia="宋体" w:cs="宋体"/>
          <w:color w:val="auto"/>
          <w:spacing w:val="-1"/>
          <w:sz w:val="24"/>
          <w:szCs w:val="24"/>
        </w:rPr>
        <w:t>〔2011〕300号）。</w:t>
      </w:r>
    </w:p>
    <w:p w14:paraId="0E7F942C">
      <w:pPr>
        <w:pStyle w:val="4"/>
        <w:spacing w:before="186" w:line="354" w:lineRule="auto"/>
        <w:ind w:left="10" w:right="11" w:firstLine="480"/>
        <w:jc w:val="both"/>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供应商应当对《中小企业声明函》、监狱企业证明文件、《残疾人福</w:t>
      </w:r>
      <w:r>
        <w:rPr>
          <w:rFonts w:hint="eastAsia" w:ascii="宋体" w:hAnsi="宋体" w:eastAsia="宋体" w:cs="宋体"/>
          <w:b/>
          <w:bCs/>
          <w:color w:val="auto"/>
          <w:sz w:val="24"/>
          <w:szCs w:val="24"/>
        </w:rPr>
        <w:t>利性单位</w:t>
      </w:r>
      <w:r>
        <w:rPr>
          <w:rFonts w:hint="eastAsia" w:ascii="宋体" w:hAnsi="宋体" w:eastAsia="宋体" w:cs="宋体"/>
          <w:b/>
          <w:bCs/>
          <w:color w:val="auto"/>
          <w:spacing w:val="-9"/>
          <w:sz w:val="24"/>
          <w:szCs w:val="24"/>
        </w:rPr>
        <w:t>声明函》及其它符合鄂财采发〔2022〕5</w:t>
      </w:r>
      <w:r>
        <w:rPr>
          <w:rFonts w:hint="eastAsia" w:ascii="宋体" w:hAnsi="宋体" w:eastAsia="宋体" w:cs="宋体"/>
          <w:color w:val="auto"/>
          <w:spacing w:val="-42"/>
          <w:sz w:val="24"/>
          <w:szCs w:val="24"/>
        </w:rPr>
        <w:t xml:space="preserve"> </w:t>
      </w:r>
      <w:r>
        <w:rPr>
          <w:rFonts w:hint="eastAsia" w:ascii="宋体" w:hAnsi="宋体" w:eastAsia="宋体" w:cs="宋体"/>
          <w:b/>
          <w:bCs/>
          <w:color w:val="auto"/>
          <w:spacing w:val="-9"/>
          <w:sz w:val="24"/>
          <w:szCs w:val="24"/>
        </w:rPr>
        <w:t>号文件第二条规定的证明材料的真实性负责，</w:t>
      </w:r>
      <w:r>
        <w:rPr>
          <w:rFonts w:hint="eastAsia" w:ascii="宋体" w:hAnsi="宋体" w:eastAsia="宋体" w:cs="宋体"/>
          <w:b/>
          <w:bCs/>
          <w:color w:val="auto"/>
          <w:spacing w:val="1"/>
          <w:sz w:val="24"/>
          <w:szCs w:val="24"/>
        </w:rPr>
        <w:t>述材料与事实不符的，依照《政府采购法》第七十七</w:t>
      </w:r>
      <w:r>
        <w:rPr>
          <w:rFonts w:hint="eastAsia" w:ascii="宋体" w:hAnsi="宋体" w:eastAsia="宋体" w:cs="宋体"/>
          <w:b/>
          <w:bCs/>
          <w:color w:val="auto"/>
          <w:sz w:val="24"/>
          <w:szCs w:val="24"/>
        </w:rPr>
        <w:t>条第一款的规定，处以采购</w:t>
      </w:r>
      <w:r>
        <w:rPr>
          <w:rFonts w:hint="eastAsia" w:ascii="宋体" w:hAnsi="宋体" w:eastAsia="宋体" w:cs="宋体"/>
          <w:b/>
          <w:bCs/>
          <w:color w:val="auto"/>
          <w:spacing w:val="1"/>
          <w:sz w:val="24"/>
          <w:szCs w:val="24"/>
        </w:rPr>
        <w:t>金额千分之五以上千分之十以下的罚款，列入不良行为</w:t>
      </w:r>
      <w:r>
        <w:rPr>
          <w:rFonts w:hint="eastAsia" w:ascii="宋体" w:hAnsi="宋体" w:eastAsia="宋体" w:cs="宋体"/>
          <w:b/>
          <w:bCs/>
          <w:color w:val="auto"/>
          <w:sz w:val="24"/>
          <w:szCs w:val="24"/>
        </w:rPr>
        <w:t>记录名单，在一至三年内禁</w:t>
      </w:r>
      <w:r>
        <w:rPr>
          <w:rFonts w:hint="eastAsia" w:ascii="宋体" w:hAnsi="宋体" w:eastAsia="宋体" w:cs="宋体"/>
          <w:b/>
          <w:bCs/>
          <w:color w:val="auto"/>
          <w:spacing w:val="1"/>
          <w:sz w:val="24"/>
          <w:szCs w:val="24"/>
        </w:rPr>
        <w:t>止参加政府采购活动，有违法所得的，并处没收违法所</w:t>
      </w:r>
      <w:r>
        <w:rPr>
          <w:rFonts w:hint="eastAsia" w:ascii="宋体" w:hAnsi="宋体" w:eastAsia="宋体" w:cs="宋体"/>
          <w:b/>
          <w:bCs/>
          <w:color w:val="auto"/>
          <w:sz w:val="24"/>
          <w:szCs w:val="24"/>
        </w:rPr>
        <w:t>得，情节严重的，由工商行</w:t>
      </w:r>
      <w:r>
        <w:rPr>
          <w:rFonts w:hint="eastAsia" w:ascii="宋体" w:hAnsi="宋体" w:eastAsia="宋体" w:cs="宋体"/>
          <w:b/>
          <w:bCs/>
          <w:color w:val="auto"/>
          <w:spacing w:val="-2"/>
          <w:sz w:val="24"/>
          <w:szCs w:val="24"/>
        </w:rPr>
        <w:t>政管理机关吊销营业执照；构成犯罪的，依法追究刑事责任。</w:t>
      </w:r>
    </w:p>
    <w:p w14:paraId="61EA9B03">
      <w:pPr>
        <w:spacing w:line="258" w:lineRule="auto"/>
        <w:rPr>
          <w:rFonts w:hint="eastAsia" w:ascii="宋体" w:hAnsi="宋体" w:eastAsia="宋体" w:cs="宋体"/>
          <w:color w:val="auto"/>
          <w:sz w:val="21"/>
        </w:rPr>
      </w:pPr>
    </w:p>
    <w:p w14:paraId="140F3A12">
      <w:pPr>
        <w:spacing w:line="258" w:lineRule="auto"/>
        <w:rPr>
          <w:rFonts w:hint="eastAsia" w:ascii="宋体" w:hAnsi="宋体" w:eastAsia="宋体" w:cs="宋体"/>
          <w:color w:val="auto"/>
          <w:sz w:val="21"/>
        </w:rPr>
      </w:pPr>
    </w:p>
    <w:p w14:paraId="6BDE7319">
      <w:pPr>
        <w:spacing w:line="258" w:lineRule="auto"/>
        <w:rPr>
          <w:rFonts w:hint="eastAsia" w:ascii="宋体" w:hAnsi="宋体" w:eastAsia="宋体" w:cs="宋体"/>
          <w:color w:val="auto"/>
          <w:sz w:val="21"/>
        </w:rPr>
      </w:pPr>
    </w:p>
    <w:p w14:paraId="4825FCC4">
      <w:pPr>
        <w:spacing w:line="258" w:lineRule="auto"/>
        <w:rPr>
          <w:rFonts w:hint="eastAsia" w:ascii="宋体" w:hAnsi="宋体" w:eastAsia="宋体" w:cs="宋体"/>
          <w:color w:val="auto"/>
          <w:sz w:val="21"/>
        </w:rPr>
      </w:pPr>
    </w:p>
    <w:p w14:paraId="41059DAE">
      <w:pPr>
        <w:spacing w:line="258" w:lineRule="auto"/>
        <w:rPr>
          <w:rFonts w:hint="eastAsia" w:ascii="宋体" w:hAnsi="宋体" w:eastAsia="宋体" w:cs="宋体"/>
          <w:color w:val="auto"/>
          <w:sz w:val="21"/>
        </w:rPr>
      </w:pPr>
    </w:p>
    <w:p w14:paraId="0EAD3C5D">
      <w:pPr>
        <w:spacing w:line="258" w:lineRule="auto"/>
        <w:rPr>
          <w:rFonts w:hint="eastAsia" w:ascii="宋体" w:hAnsi="宋体" w:eastAsia="宋体" w:cs="宋体"/>
          <w:color w:val="auto"/>
          <w:sz w:val="21"/>
        </w:rPr>
      </w:pPr>
    </w:p>
    <w:p w14:paraId="0BFD1194">
      <w:pPr>
        <w:spacing w:line="258" w:lineRule="auto"/>
        <w:rPr>
          <w:rFonts w:hint="eastAsia" w:ascii="宋体" w:hAnsi="宋体" w:eastAsia="宋体" w:cs="宋体"/>
          <w:color w:val="auto"/>
          <w:sz w:val="21"/>
        </w:rPr>
      </w:pPr>
    </w:p>
    <w:p w14:paraId="1251D3D2">
      <w:pPr>
        <w:spacing w:line="258" w:lineRule="auto"/>
        <w:rPr>
          <w:rFonts w:hint="eastAsia" w:ascii="宋体" w:hAnsi="宋体" w:eastAsia="宋体" w:cs="宋体"/>
          <w:color w:val="auto"/>
          <w:sz w:val="21"/>
        </w:rPr>
      </w:pPr>
    </w:p>
    <w:p w14:paraId="6498E475">
      <w:pPr>
        <w:spacing w:line="258" w:lineRule="auto"/>
        <w:rPr>
          <w:rFonts w:hint="eastAsia" w:ascii="宋体" w:hAnsi="宋体" w:eastAsia="宋体" w:cs="宋体"/>
          <w:color w:val="auto"/>
          <w:sz w:val="21"/>
        </w:rPr>
      </w:pPr>
    </w:p>
    <w:p w14:paraId="49041B38">
      <w:pPr>
        <w:spacing w:line="258" w:lineRule="auto"/>
        <w:rPr>
          <w:rFonts w:hint="eastAsia" w:ascii="宋体" w:hAnsi="宋体" w:eastAsia="宋体" w:cs="宋体"/>
          <w:color w:val="auto"/>
          <w:sz w:val="21"/>
        </w:rPr>
      </w:pPr>
    </w:p>
    <w:p w14:paraId="0831FB1F">
      <w:pPr>
        <w:spacing w:line="258" w:lineRule="auto"/>
        <w:rPr>
          <w:rFonts w:hint="eastAsia" w:ascii="宋体" w:hAnsi="宋体" w:eastAsia="宋体" w:cs="宋体"/>
          <w:color w:val="auto"/>
          <w:sz w:val="21"/>
        </w:rPr>
      </w:pPr>
    </w:p>
    <w:p w14:paraId="136E8740">
      <w:pPr>
        <w:spacing w:line="258" w:lineRule="auto"/>
        <w:rPr>
          <w:rFonts w:hint="eastAsia" w:ascii="宋体" w:hAnsi="宋体" w:eastAsia="宋体" w:cs="宋体"/>
          <w:color w:val="auto"/>
          <w:sz w:val="21"/>
        </w:rPr>
      </w:pPr>
    </w:p>
    <w:p w14:paraId="6D16D447">
      <w:pPr>
        <w:spacing w:before="101" w:line="227" w:lineRule="auto"/>
        <w:ind w:left="39"/>
        <w:outlineLvl w:val="1"/>
        <w:rPr>
          <w:rFonts w:hint="eastAsia" w:ascii="宋体" w:hAnsi="宋体" w:eastAsia="宋体" w:cs="宋体"/>
          <w:color w:val="auto"/>
          <w:sz w:val="31"/>
          <w:szCs w:val="31"/>
        </w:rPr>
      </w:pPr>
      <w:bookmarkStart w:id="9" w:name="bookmark144"/>
      <w:bookmarkEnd w:id="9"/>
      <w:bookmarkStart w:id="10" w:name="bookmark143"/>
      <w:bookmarkEnd w:id="10"/>
      <w:r>
        <w:rPr>
          <w:rFonts w:hint="eastAsia" w:ascii="宋体" w:hAnsi="宋体" w:eastAsia="宋体" w:cs="宋体"/>
          <w:b/>
          <w:bCs/>
          <w:color w:val="auto"/>
          <w:spacing w:val="2"/>
          <w:sz w:val="31"/>
          <w:szCs w:val="31"/>
        </w:rPr>
        <w:t>（一）资格审查表</w:t>
      </w:r>
    </w:p>
    <w:tbl>
      <w:tblPr>
        <w:tblStyle w:val="9"/>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4"/>
        <w:gridCol w:w="5491"/>
        <w:gridCol w:w="3255"/>
      </w:tblGrid>
      <w:tr w14:paraId="365D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242" w:type="pct"/>
            <w:noWrap w:val="0"/>
            <w:vAlign w:val="center"/>
          </w:tcPr>
          <w:p w14:paraId="7381D6B4">
            <w:pPr>
              <w:jc w:val="both"/>
              <w:rPr>
                <w:rFonts w:hint="eastAsia" w:ascii="宋体" w:hAnsi="宋体" w:eastAsia="宋体" w:cs="宋体"/>
                <w:color w:val="auto"/>
                <w:szCs w:val="21"/>
              </w:rPr>
            </w:pPr>
          </w:p>
        </w:tc>
        <w:tc>
          <w:tcPr>
            <w:tcW w:w="2986" w:type="pct"/>
            <w:noWrap w:val="0"/>
            <w:vAlign w:val="center"/>
          </w:tcPr>
          <w:p w14:paraId="4218CE3D">
            <w:pPr>
              <w:jc w:val="both"/>
              <w:rPr>
                <w:rFonts w:hint="eastAsia" w:ascii="宋体" w:hAnsi="宋体" w:eastAsia="宋体" w:cs="宋体"/>
                <w:color w:val="auto"/>
                <w:szCs w:val="21"/>
              </w:rPr>
            </w:pPr>
            <w:r>
              <w:rPr>
                <w:rFonts w:hint="eastAsia" w:ascii="宋体" w:hAnsi="宋体" w:eastAsia="宋体" w:cs="宋体"/>
                <w:color w:val="auto"/>
                <w:szCs w:val="21"/>
              </w:rPr>
              <w:t>审核文件</w:t>
            </w:r>
          </w:p>
        </w:tc>
        <w:tc>
          <w:tcPr>
            <w:tcW w:w="1770" w:type="pct"/>
            <w:noWrap w:val="0"/>
            <w:vAlign w:val="center"/>
          </w:tcPr>
          <w:p w14:paraId="5DF3920E">
            <w:pPr>
              <w:jc w:val="both"/>
              <w:rPr>
                <w:rFonts w:hint="eastAsia" w:ascii="宋体" w:hAnsi="宋体" w:eastAsia="宋体" w:cs="宋体"/>
                <w:color w:val="auto"/>
                <w:szCs w:val="21"/>
              </w:rPr>
            </w:pPr>
            <w:r>
              <w:rPr>
                <w:rFonts w:hint="eastAsia" w:ascii="宋体" w:hAnsi="宋体" w:eastAsia="宋体" w:cs="宋体"/>
                <w:color w:val="auto"/>
                <w:szCs w:val="21"/>
              </w:rPr>
              <w:t>需提供的资料</w:t>
            </w:r>
          </w:p>
        </w:tc>
      </w:tr>
      <w:tr w14:paraId="3558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5" w:hRule="atLeast"/>
        </w:trPr>
        <w:tc>
          <w:tcPr>
            <w:tcW w:w="242" w:type="pct"/>
            <w:noWrap w:val="0"/>
            <w:vAlign w:val="center"/>
          </w:tcPr>
          <w:p w14:paraId="5DFE3FBC">
            <w:pPr>
              <w:numPr>
                <w:ilvl w:val="0"/>
                <w:numId w:val="1"/>
              </w:numPr>
              <w:jc w:val="both"/>
              <w:rPr>
                <w:rFonts w:hint="eastAsia" w:ascii="宋体" w:hAnsi="宋体" w:eastAsia="宋体" w:cs="宋体"/>
                <w:color w:val="auto"/>
                <w:szCs w:val="21"/>
              </w:rPr>
            </w:pPr>
          </w:p>
        </w:tc>
        <w:tc>
          <w:tcPr>
            <w:tcW w:w="2986" w:type="pct"/>
            <w:noWrap w:val="0"/>
            <w:vAlign w:val="center"/>
          </w:tcPr>
          <w:p w14:paraId="7B9E7181">
            <w:pPr>
              <w:jc w:val="both"/>
              <w:rPr>
                <w:rFonts w:hint="eastAsia" w:ascii="宋体" w:hAnsi="宋体" w:eastAsia="宋体" w:cs="宋体"/>
                <w:color w:val="auto"/>
                <w:szCs w:val="21"/>
              </w:rPr>
            </w:pPr>
            <w:r>
              <w:rPr>
                <w:rFonts w:hint="eastAsia" w:ascii="宋体" w:hAnsi="宋体" w:eastAsia="宋体" w:cs="宋体"/>
                <w:color w:val="auto"/>
                <w:szCs w:val="21"/>
              </w:rPr>
              <w:t>满足《中华人民共和国政府采购法》第二十二条规定，提供下列材料：</w:t>
            </w:r>
          </w:p>
          <w:p w14:paraId="636F1627">
            <w:pPr>
              <w:jc w:val="both"/>
              <w:rPr>
                <w:rFonts w:hint="eastAsia" w:ascii="宋体" w:hAnsi="宋体" w:eastAsia="宋体" w:cs="宋体"/>
                <w:color w:val="auto"/>
                <w:szCs w:val="21"/>
              </w:rPr>
            </w:pPr>
            <w:r>
              <w:rPr>
                <w:rFonts w:hint="eastAsia" w:ascii="宋体" w:hAnsi="宋体" w:eastAsia="宋体" w:cs="宋体"/>
                <w:color w:val="auto"/>
                <w:szCs w:val="21"/>
              </w:rPr>
              <w:t>(1)具有独立承担民事责任的能力</w:t>
            </w:r>
          </w:p>
          <w:p w14:paraId="6523BC40">
            <w:pPr>
              <w:jc w:val="both"/>
              <w:rPr>
                <w:rFonts w:hint="eastAsia" w:ascii="宋体" w:hAnsi="宋体" w:eastAsia="宋体" w:cs="宋体"/>
                <w:color w:val="auto"/>
                <w:szCs w:val="21"/>
              </w:rPr>
            </w:pPr>
            <w:r>
              <w:rPr>
                <w:rFonts w:hint="eastAsia" w:ascii="宋体" w:hAnsi="宋体" w:eastAsia="宋体" w:cs="宋体"/>
                <w:color w:val="auto"/>
                <w:szCs w:val="21"/>
              </w:rPr>
              <w:t>(2)具有良好的商业信誉和健全的财务会计制度</w:t>
            </w:r>
          </w:p>
          <w:p w14:paraId="001E8E55">
            <w:pPr>
              <w:jc w:val="both"/>
              <w:rPr>
                <w:rFonts w:hint="eastAsia" w:ascii="宋体" w:hAnsi="宋体" w:eastAsia="宋体" w:cs="宋体"/>
                <w:color w:val="auto"/>
                <w:szCs w:val="21"/>
              </w:rPr>
            </w:pPr>
            <w:r>
              <w:rPr>
                <w:rFonts w:hint="eastAsia" w:ascii="宋体" w:hAnsi="宋体" w:eastAsia="宋体" w:cs="宋体"/>
                <w:color w:val="auto"/>
                <w:szCs w:val="21"/>
              </w:rPr>
              <w:t>(3)具有履行合同所必需的设备和专业技术能力</w:t>
            </w:r>
          </w:p>
          <w:p w14:paraId="2DD58D6A">
            <w:pPr>
              <w:jc w:val="both"/>
              <w:rPr>
                <w:rFonts w:hint="eastAsia" w:ascii="宋体" w:hAnsi="宋体" w:eastAsia="宋体" w:cs="宋体"/>
                <w:color w:val="auto"/>
                <w:szCs w:val="21"/>
              </w:rPr>
            </w:pPr>
            <w:r>
              <w:rPr>
                <w:rFonts w:hint="eastAsia" w:ascii="宋体" w:hAnsi="宋体" w:eastAsia="宋体" w:cs="宋体"/>
                <w:color w:val="auto"/>
                <w:szCs w:val="21"/>
              </w:rPr>
              <w:t>(4)有依法缴纳税收和社会保障资金的良好记录</w:t>
            </w:r>
          </w:p>
          <w:p w14:paraId="2BE48727">
            <w:pPr>
              <w:jc w:val="both"/>
              <w:rPr>
                <w:rFonts w:hint="eastAsia" w:ascii="宋体" w:hAnsi="宋体" w:eastAsia="宋体" w:cs="宋体"/>
                <w:color w:val="auto"/>
                <w:szCs w:val="21"/>
              </w:rPr>
            </w:pPr>
            <w:r>
              <w:rPr>
                <w:rFonts w:hint="eastAsia" w:ascii="宋体" w:hAnsi="宋体" w:eastAsia="宋体" w:cs="宋体"/>
                <w:color w:val="auto"/>
                <w:szCs w:val="21"/>
              </w:rPr>
              <w:t>(5)参加政府采购活动前三年内，在经营活动中没有重大违法记录</w:t>
            </w:r>
          </w:p>
          <w:p w14:paraId="5CEC4677">
            <w:pPr>
              <w:jc w:val="both"/>
              <w:rPr>
                <w:rFonts w:hint="eastAsia" w:ascii="宋体" w:hAnsi="宋体" w:eastAsia="宋体" w:cs="宋体"/>
                <w:color w:val="auto"/>
                <w:szCs w:val="21"/>
              </w:rPr>
            </w:pPr>
            <w:r>
              <w:rPr>
                <w:rFonts w:hint="eastAsia" w:ascii="宋体" w:hAnsi="宋体" w:eastAsia="宋体" w:cs="宋体"/>
                <w:color w:val="auto"/>
                <w:szCs w:val="21"/>
              </w:rPr>
              <w:t>(6)法律、行政法规规定的其他条件</w:t>
            </w:r>
          </w:p>
        </w:tc>
        <w:tc>
          <w:tcPr>
            <w:tcW w:w="1770" w:type="pct"/>
            <w:noWrap w:val="0"/>
            <w:vAlign w:val="center"/>
          </w:tcPr>
          <w:p w14:paraId="160FF5D1">
            <w:pPr>
              <w:jc w:val="both"/>
              <w:rPr>
                <w:rFonts w:hint="eastAsia" w:ascii="宋体" w:hAnsi="宋体" w:eastAsia="宋体" w:cs="宋体"/>
                <w:color w:val="auto"/>
                <w:szCs w:val="21"/>
              </w:rPr>
            </w:pPr>
            <w:r>
              <w:rPr>
                <w:rFonts w:hint="eastAsia" w:ascii="宋体" w:hAnsi="宋体" w:eastAsia="宋体" w:cs="宋体"/>
                <w:color w:val="auto"/>
                <w:szCs w:val="21"/>
              </w:rPr>
              <w:t>供应商提供营业执照及满足《中华人民共和国政府采购法》第二十二条规定</w:t>
            </w:r>
            <w:r>
              <w:rPr>
                <w:rFonts w:hint="eastAsia" w:ascii="宋体" w:hAnsi="宋体" w:eastAsia="宋体" w:cs="宋体"/>
                <w:color w:val="auto"/>
                <w:szCs w:val="21"/>
                <w:lang w:val="en-US" w:eastAsia="zh-CN"/>
              </w:rPr>
              <w:t>的</w:t>
            </w:r>
            <w:r>
              <w:rPr>
                <w:rFonts w:hint="eastAsia" w:ascii="宋体" w:hAnsi="宋体" w:eastAsia="宋体" w:cs="宋体"/>
                <w:color w:val="auto"/>
                <w:szCs w:val="21"/>
              </w:rPr>
              <w:t>书面声明函</w:t>
            </w:r>
          </w:p>
        </w:tc>
      </w:tr>
      <w:tr w14:paraId="2E0D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242" w:type="pct"/>
            <w:noWrap w:val="0"/>
            <w:vAlign w:val="center"/>
          </w:tcPr>
          <w:p w14:paraId="38788836">
            <w:pPr>
              <w:numPr>
                <w:ilvl w:val="0"/>
                <w:numId w:val="1"/>
              </w:numPr>
              <w:jc w:val="both"/>
              <w:rPr>
                <w:rFonts w:hint="eastAsia" w:ascii="宋体" w:hAnsi="宋体" w:eastAsia="宋体" w:cs="宋体"/>
                <w:color w:val="auto"/>
                <w:szCs w:val="21"/>
              </w:rPr>
            </w:pPr>
          </w:p>
        </w:tc>
        <w:tc>
          <w:tcPr>
            <w:tcW w:w="2986" w:type="pct"/>
            <w:noWrap w:val="0"/>
            <w:vAlign w:val="center"/>
          </w:tcPr>
          <w:p w14:paraId="171D6741">
            <w:pPr>
              <w:spacing w:line="360" w:lineRule="auto"/>
              <w:jc w:val="both"/>
              <w:rPr>
                <w:rFonts w:hint="eastAsia" w:ascii="宋体" w:hAnsi="宋体" w:eastAsia="宋体" w:cs="宋体"/>
                <w:color w:val="auto"/>
                <w:szCs w:val="21"/>
              </w:rPr>
            </w:pPr>
            <w:r>
              <w:rPr>
                <w:rFonts w:hint="eastAsia" w:ascii="宋体" w:hAnsi="宋体" w:eastAsia="宋体" w:cs="宋体"/>
                <w:color w:val="auto"/>
                <w:szCs w:val="21"/>
              </w:rPr>
              <w:t>单位负责人为同一人或者存在直接控股、管理关系的不同</w:t>
            </w:r>
            <w:r>
              <w:rPr>
                <w:rFonts w:hint="eastAsia" w:ascii="宋体" w:hAnsi="宋体" w:eastAsia="宋体" w:cs="宋体"/>
                <w:color w:val="auto"/>
                <w:szCs w:val="21"/>
                <w:lang w:eastAsia="zh-CN"/>
              </w:rPr>
              <w:t>供应商</w:t>
            </w:r>
            <w:r>
              <w:rPr>
                <w:rFonts w:hint="eastAsia" w:ascii="宋体" w:hAnsi="宋体" w:eastAsia="宋体" w:cs="宋体"/>
                <w:color w:val="auto"/>
                <w:szCs w:val="21"/>
              </w:rPr>
              <w:t>，不得参加本项目同一合同项下的政府采购活动。</w:t>
            </w:r>
          </w:p>
        </w:tc>
        <w:tc>
          <w:tcPr>
            <w:tcW w:w="1770" w:type="pct"/>
            <w:noWrap w:val="0"/>
            <w:vAlign w:val="center"/>
          </w:tcPr>
          <w:p w14:paraId="05C301C4">
            <w:pPr>
              <w:spacing w:line="360" w:lineRule="auto"/>
              <w:jc w:val="both"/>
              <w:rPr>
                <w:rFonts w:hint="eastAsia" w:ascii="宋体" w:hAnsi="宋体" w:eastAsia="宋体" w:cs="宋体"/>
                <w:color w:val="auto"/>
                <w:szCs w:val="21"/>
              </w:rPr>
            </w:pPr>
            <w:r>
              <w:rPr>
                <w:rFonts w:hint="eastAsia" w:ascii="宋体" w:hAnsi="宋体" w:eastAsia="宋体" w:cs="宋体"/>
                <w:color w:val="auto"/>
                <w:szCs w:val="21"/>
              </w:rPr>
              <w:t>提供声明函</w:t>
            </w:r>
          </w:p>
        </w:tc>
      </w:tr>
      <w:tr w14:paraId="7069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242" w:type="pct"/>
            <w:noWrap w:val="0"/>
            <w:vAlign w:val="center"/>
          </w:tcPr>
          <w:p w14:paraId="6DCFFAE7">
            <w:pPr>
              <w:numPr>
                <w:ilvl w:val="0"/>
                <w:numId w:val="1"/>
              </w:numPr>
              <w:jc w:val="both"/>
              <w:rPr>
                <w:rFonts w:hint="eastAsia" w:ascii="宋体" w:hAnsi="宋体" w:eastAsia="宋体" w:cs="宋体"/>
                <w:color w:val="auto"/>
                <w:szCs w:val="21"/>
              </w:rPr>
            </w:pPr>
          </w:p>
        </w:tc>
        <w:tc>
          <w:tcPr>
            <w:tcW w:w="2986" w:type="pct"/>
            <w:noWrap w:val="0"/>
            <w:vAlign w:val="center"/>
          </w:tcPr>
          <w:p w14:paraId="79F02CD0">
            <w:pPr>
              <w:jc w:val="both"/>
              <w:rPr>
                <w:rFonts w:hint="eastAsia" w:ascii="宋体" w:hAnsi="宋体" w:eastAsia="宋体" w:cs="宋体"/>
                <w:color w:val="auto"/>
                <w:szCs w:val="21"/>
              </w:rPr>
            </w:pPr>
            <w:r>
              <w:rPr>
                <w:rFonts w:hint="eastAsia" w:ascii="宋体" w:hAnsi="宋体" w:eastAsia="宋体" w:cs="宋体"/>
                <w:color w:val="auto"/>
                <w:szCs w:val="21"/>
                <w:lang w:val="en-US" w:eastAsia="zh-CN"/>
              </w:rPr>
              <w:t>为本采购项目提供整体设计、规范编制或者项目管理、监理、检测等服务的，不得再参加本项目的其他招标采购活动。</w:t>
            </w:r>
          </w:p>
        </w:tc>
        <w:tc>
          <w:tcPr>
            <w:tcW w:w="1770" w:type="pct"/>
            <w:noWrap w:val="0"/>
            <w:vAlign w:val="center"/>
          </w:tcPr>
          <w:p w14:paraId="17033211">
            <w:pPr>
              <w:spacing w:line="360" w:lineRule="auto"/>
              <w:jc w:val="both"/>
              <w:rPr>
                <w:rFonts w:hint="eastAsia" w:ascii="宋体" w:hAnsi="宋体" w:eastAsia="宋体" w:cs="宋体"/>
                <w:color w:val="auto"/>
                <w:szCs w:val="21"/>
              </w:rPr>
            </w:pPr>
            <w:r>
              <w:rPr>
                <w:rFonts w:hint="eastAsia" w:ascii="宋体" w:hAnsi="宋体" w:eastAsia="宋体" w:cs="宋体"/>
                <w:color w:val="auto"/>
                <w:szCs w:val="21"/>
              </w:rPr>
              <w:t>提供声明函</w:t>
            </w:r>
          </w:p>
        </w:tc>
      </w:tr>
      <w:tr w14:paraId="03BD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242" w:type="pct"/>
            <w:noWrap w:val="0"/>
            <w:vAlign w:val="center"/>
          </w:tcPr>
          <w:p w14:paraId="702D419F">
            <w:pPr>
              <w:numPr>
                <w:ilvl w:val="0"/>
                <w:numId w:val="1"/>
              </w:numPr>
              <w:jc w:val="both"/>
              <w:rPr>
                <w:rFonts w:hint="eastAsia" w:ascii="宋体" w:hAnsi="宋体" w:eastAsia="宋体" w:cs="宋体"/>
                <w:color w:val="auto"/>
                <w:szCs w:val="21"/>
              </w:rPr>
            </w:pPr>
          </w:p>
        </w:tc>
        <w:tc>
          <w:tcPr>
            <w:tcW w:w="2986" w:type="pct"/>
            <w:noWrap w:val="0"/>
            <w:vAlign w:val="center"/>
          </w:tcPr>
          <w:p w14:paraId="13249D7E">
            <w:pPr>
              <w:jc w:val="both"/>
              <w:rPr>
                <w:rFonts w:hint="eastAsia" w:ascii="宋体" w:hAnsi="宋体" w:eastAsia="宋体" w:cs="宋体"/>
                <w:color w:val="auto"/>
                <w:szCs w:val="21"/>
              </w:rPr>
            </w:pPr>
            <w:r>
              <w:rPr>
                <w:rFonts w:hint="eastAsia" w:ascii="宋体" w:hAnsi="宋体" w:eastAsia="宋体" w:cs="宋体"/>
                <w:color w:val="auto"/>
                <w:szCs w:val="21"/>
                <w:lang w:val="en-US" w:eastAsia="zh-CN"/>
              </w:rPr>
              <w:t>未被列入失信被执行人、重大税收违法案件当事人名单，未被列入政府采购严重违法失信行为记录名单。</w:t>
            </w:r>
          </w:p>
        </w:tc>
        <w:tc>
          <w:tcPr>
            <w:tcW w:w="1770" w:type="pct"/>
            <w:noWrap w:val="0"/>
            <w:vAlign w:val="center"/>
          </w:tcPr>
          <w:p w14:paraId="5AA5C1AC">
            <w:pPr>
              <w:pStyle w:val="14"/>
              <w:pageBreakBefore w:val="0"/>
              <w:kinsoku/>
              <w:overflowPunct/>
              <w:bidi w:val="0"/>
              <w:spacing w:line="400" w:lineRule="exact"/>
              <w:jc w:val="both"/>
              <w:rPr>
                <w:rFonts w:hint="eastAsia" w:ascii="宋体" w:hAnsi="宋体" w:eastAsia="宋体" w:cs="宋体"/>
                <w:bCs/>
                <w:color w:val="auto"/>
                <w:sz w:val="22"/>
                <w:szCs w:val="22"/>
              </w:rPr>
            </w:pPr>
            <w:r>
              <w:rPr>
                <w:rFonts w:hint="eastAsia" w:ascii="宋体" w:hAnsi="宋体" w:eastAsia="宋体" w:cs="宋体"/>
                <w:bCs/>
                <w:color w:val="auto"/>
                <w:sz w:val="22"/>
                <w:szCs w:val="22"/>
              </w:rPr>
              <w:t>提供声明函</w:t>
            </w:r>
            <w:r>
              <w:rPr>
                <w:rFonts w:hint="eastAsia" w:ascii="宋体" w:hAnsi="宋体" w:eastAsia="宋体" w:cs="宋体"/>
                <w:bCs/>
                <w:color w:val="auto"/>
                <w:sz w:val="22"/>
                <w:szCs w:val="22"/>
                <w:lang w:val="en-US" w:eastAsia="zh-CN"/>
              </w:rPr>
              <w:t>或</w:t>
            </w:r>
            <w:r>
              <w:rPr>
                <w:rFonts w:hint="eastAsia" w:ascii="宋体" w:hAnsi="宋体" w:eastAsia="宋体" w:cs="宋体"/>
                <w:bCs/>
                <w:color w:val="auto"/>
                <w:sz w:val="22"/>
                <w:szCs w:val="22"/>
              </w:rPr>
              <w:t>提供查询截图（以采购公告发布之日起截图为准）</w:t>
            </w:r>
          </w:p>
          <w:p w14:paraId="1F25E512">
            <w:pPr>
              <w:spacing w:line="360" w:lineRule="auto"/>
              <w:jc w:val="both"/>
              <w:rPr>
                <w:rFonts w:hint="eastAsia" w:ascii="宋体" w:hAnsi="宋体" w:eastAsia="宋体" w:cs="宋体"/>
                <w:color w:val="auto"/>
                <w:szCs w:val="21"/>
              </w:rPr>
            </w:pPr>
            <w:r>
              <w:rPr>
                <w:rFonts w:hint="eastAsia" w:ascii="宋体" w:hAnsi="宋体" w:eastAsia="宋体" w:cs="宋体"/>
                <w:bCs/>
                <w:color w:val="auto"/>
                <w:sz w:val="22"/>
                <w:szCs w:val="22"/>
              </w:rPr>
              <w:t>以采购人和采购代理机构在投标截止日在“信用中国”网</w:t>
            </w:r>
            <w:r>
              <w:rPr>
                <w:rFonts w:hint="eastAsia" w:ascii="宋体" w:hAnsi="宋体" w:eastAsia="宋体" w:cs="宋体"/>
                <w:color w:val="auto"/>
                <w:sz w:val="21"/>
                <w:szCs w:val="21"/>
                <w:highlight w:val="none"/>
              </w:rPr>
              <w:t>站（www.creditchina.gov.cn）及中国政府采购网（www.ccgp.gov.cn）查询的投标人参加政府采购活动前三年内的结果为准。</w:t>
            </w:r>
          </w:p>
        </w:tc>
      </w:tr>
      <w:tr w14:paraId="6563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242" w:type="pct"/>
            <w:noWrap w:val="0"/>
            <w:vAlign w:val="center"/>
          </w:tcPr>
          <w:p w14:paraId="3BAF4BCE">
            <w:pPr>
              <w:numPr>
                <w:ilvl w:val="0"/>
                <w:numId w:val="1"/>
              </w:numPr>
              <w:jc w:val="both"/>
              <w:rPr>
                <w:rFonts w:hint="eastAsia" w:ascii="宋体" w:hAnsi="宋体" w:eastAsia="宋体" w:cs="宋体"/>
                <w:color w:val="auto"/>
                <w:szCs w:val="21"/>
              </w:rPr>
            </w:pPr>
          </w:p>
        </w:tc>
        <w:tc>
          <w:tcPr>
            <w:tcW w:w="2986" w:type="pct"/>
            <w:noWrap w:val="0"/>
            <w:vAlign w:val="center"/>
          </w:tcPr>
          <w:p w14:paraId="44819B79">
            <w:pPr>
              <w:spacing w:line="360" w:lineRule="auto"/>
              <w:jc w:val="both"/>
              <w:rPr>
                <w:rFonts w:hint="eastAsia" w:ascii="宋体" w:hAnsi="宋体" w:eastAsia="宋体" w:cs="宋体"/>
                <w:color w:val="auto"/>
                <w:szCs w:val="21"/>
                <w:lang w:val="en-US" w:eastAsia="en-US"/>
              </w:rPr>
            </w:pPr>
            <w:r>
              <w:rPr>
                <w:rFonts w:hint="eastAsia" w:ascii="宋体" w:hAnsi="宋体" w:eastAsia="宋体" w:cs="宋体"/>
                <w:color w:val="auto"/>
                <w:szCs w:val="21"/>
              </w:rPr>
              <w:t>本项目专门面向中小微企业采购。</w:t>
            </w:r>
          </w:p>
        </w:tc>
        <w:tc>
          <w:tcPr>
            <w:tcW w:w="1770" w:type="pct"/>
            <w:noWrap w:val="0"/>
            <w:vAlign w:val="center"/>
          </w:tcPr>
          <w:p w14:paraId="33108D3F">
            <w:pPr>
              <w:spacing w:line="360" w:lineRule="auto"/>
              <w:jc w:val="both"/>
              <w:rPr>
                <w:rFonts w:hint="eastAsia" w:ascii="宋体" w:hAnsi="宋体" w:eastAsia="宋体" w:cs="宋体"/>
                <w:color w:val="auto"/>
                <w:szCs w:val="21"/>
                <w:lang w:val="en-US" w:eastAsia="en-US"/>
              </w:rPr>
            </w:pPr>
            <w:r>
              <w:rPr>
                <w:rFonts w:hint="eastAsia" w:ascii="宋体" w:hAnsi="宋体" w:eastAsia="宋体" w:cs="宋体"/>
                <w:color w:val="auto"/>
                <w:szCs w:val="21"/>
              </w:rPr>
              <w:t>投标人提供《中小企业声明函》</w:t>
            </w:r>
          </w:p>
        </w:tc>
      </w:tr>
      <w:tr w14:paraId="3562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242" w:type="pct"/>
            <w:noWrap w:val="0"/>
            <w:vAlign w:val="center"/>
          </w:tcPr>
          <w:p w14:paraId="245DC71B">
            <w:pPr>
              <w:numPr>
                <w:ilvl w:val="0"/>
                <w:numId w:val="1"/>
              </w:numPr>
              <w:jc w:val="both"/>
              <w:rPr>
                <w:rFonts w:hint="eastAsia" w:ascii="宋体" w:hAnsi="宋体" w:eastAsia="宋体" w:cs="宋体"/>
                <w:color w:val="auto"/>
                <w:szCs w:val="21"/>
              </w:rPr>
            </w:pPr>
          </w:p>
        </w:tc>
        <w:tc>
          <w:tcPr>
            <w:tcW w:w="2986" w:type="pct"/>
            <w:noWrap w:val="0"/>
            <w:vAlign w:val="center"/>
          </w:tcPr>
          <w:p w14:paraId="6E49D1E2">
            <w:pPr>
              <w:spacing w:line="360" w:lineRule="auto"/>
              <w:jc w:val="both"/>
              <w:rPr>
                <w:rFonts w:hint="eastAsia" w:ascii="宋体" w:hAnsi="宋体" w:eastAsia="宋体" w:cs="宋体"/>
                <w:color w:val="auto"/>
                <w:szCs w:val="21"/>
                <w:lang w:val="en-US" w:eastAsia="en-US"/>
              </w:rPr>
            </w:pPr>
            <w:r>
              <w:rPr>
                <w:rFonts w:hint="eastAsia" w:ascii="宋体" w:hAnsi="宋体" w:eastAsia="宋体" w:cs="宋体"/>
                <w:color w:val="auto"/>
                <w:szCs w:val="21"/>
                <w:lang w:val="en-US" w:eastAsia="zh-CN"/>
              </w:rPr>
              <w:t>本项目不接受联合体形式的投标；</w:t>
            </w:r>
          </w:p>
        </w:tc>
        <w:tc>
          <w:tcPr>
            <w:tcW w:w="1770" w:type="pct"/>
            <w:noWrap w:val="0"/>
            <w:vAlign w:val="center"/>
          </w:tcPr>
          <w:p w14:paraId="1A43FB6B">
            <w:pPr>
              <w:spacing w:line="360" w:lineRule="auto"/>
              <w:jc w:val="both"/>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提供承诺</w:t>
            </w:r>
          </w:p>
        </w:tc>
      </w:tr>
      <w:tr w14:paraId="6467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242" w:type="pct"/>
            <w:noWrap w:val="0"/>
            <w:vAlign w:val="center"/>
          </w:tcPr>
          <w:p w14:paraId="23B270EA">
            <w:pPr>
              <w:numPr>
                <w:ilvl w:val="0"/>
                <w:numId w:val="1"/>
              </w:numPr>
              <w:jc w:val="both"/>
              <w:rPr>
                <w:rFonts w:hint="eastAsia" w:ascii="宋体" w:hAnsi="宋体" w:eastAsia="宋体" w:cs="宋体"/>
                <w:color w:val="auto"/>
                <w:szCs w:val="21"/>
              </w:rPr>
            </w:pPr>
          </w:p>
        </w:tc>
        <w:tc>
          <w:tcPr>
            <w:tcW w:w="2986" w:type="pct"/>
            <w:noWrap w:val="0"/>
            <w:vAlign w:val="center"/>
          </w:tcPr>
          <w:p w14:paraId="09297DC8">
            <w:pPr>
              <w:jc w:val="both"/>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本项目特定资格要求：</w:t>
            </w:r>
          </w:p>
          <w:p w14:paraId="62C6C696">
            <w:pPr>
              <w:jc w:val="both"/>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①供应商必须具备建设主管部门颁发的有效的市政公用工程施工总承包贰级及以上资质，且具备有效的安全生产许可证；</w:t>
            </w:r>
          </w:p>
          <w:p w14:paraId="7E550B48">
            <w:pPr>
              <w:jc w:val="both"/>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②供应商拟派项目经理须具备市政公用工程专业贰级及以上注册建造师执业资格和有效的安全生产考核合格证书（B证），且未担任其他在实施建设工程项目的项目经理（提供承诺书）</w:t>
            </w:r>
          </w:p>
          <w:p w14:paraId="2559C14C">
            <w:pPr>
              <w:jc w:val="both"/>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③投标人、本项目授权委托人及其法定代表人在近3年内（以裁判日期为准）没有行贿犯罪记录，行贿犯罪档案查询媒介为中国裁判文书网（</w:t>
            </w:r>
            <w:r>
              <w:rPr>
                <w:rFonts w:hint="eastAsia" w:ascii="宋体" w:hAnsi="宋体" w:eastAsia="宋体" w:cs="宋体"/>
                <w:color w:val="auto"/>
                <w:szCs w:val="21"/>
                <w:lang w:val="en-US" w:eastAsia="zh-CN"/>
              </w:rPr>
              <w:fldChar w:fldCharType="begin"/>
            </w:r>
            <w:r>
              <w:rPr>
                <w:rFonts w:hint="eastAsia" w:ascii="宋体" w:hAnsi="宋体" w:eastAsia="宋体" w:cs="宋体"/>
                <w:color w:val="auto"/>
                <w:szCs w:val="21"/>
                <w:lang w:val="en-US" w:eastAsia="zh-CN"/>
              </w:rPr>
              <w:instrText xml:space="preserve"> HYPERLINK "http://wenshu.court.gov.cn/" \h </w:instrText>
            </w:r>
            <w:r>
              <w:rPr>
                <w:rFonts w:hint="eastAsia" w:ascii="宋体" w:hAnsi="宋体" w:eastAsia="宋体" w:cs="宋体"/>
                <w:color w:val="auto"/>
                <w:szCs w:val="21"/>
                <w:lang w:val="en-US" w:eastAsia="zh-CN"/>
              </w:rPr>
              <w:fldChar w:fldCharType="separate"/>
            </w:r>
            <w:r>
              <w:rPr>
                <w:rFonts w:hint="eastAsia" w:ascii="宋体" w:hAnsi="宋体" w:eastAsia="宋体" w:cs="宋体"/>
                <w:color w:val="auto"/>
                <w:szCs w:val="21"/>
                <w:lang w:val="en-US" w:eastAsia="zh-CN"/>
              </w:rPr>
              <w:t>http://wenshu.court.gov.cn</w:t>
            </w:r>
            <w:r>
              <w:rPr>
                <w:rFonts w:hint="eastAsia" w:ascii="宋体" w:hAnsi="宋体" w:eastAsia="宋体" w:cs="宋体"/>
                <w:color w:val="auto"/>
                <w:szCs w:val="21"/>
                <w:lang w:val="en-US" w:eastAsia="zh-CN"/>
              </w:rPr>
              <w:fldChar w:fldCharType="end"/>
            </w:r>
            <w:r>
              <w:rPr>
                <w:rFonts w:hint="eastAsia" w:ascii="宋体" w:hAnsi="宋体" w:eastAsia="宋体" w:cs="宋体"/>
                <w:color w:val="auto"/>
                <w:szCs w:val="21"/>
                <w:lang w:val="en-US" w:eastAsia="zh-CN"/>
              </w:rPr>
              <w:t>）（提供网页查询截图并加盖单位公章）</w:t>
            </w:r>
          </w:p>
          <w:p w14:paraId="26F0475A">
            <w:pPr>
              <w:spacing w:line="360" w:lineRule="auto"/>
              <w:jc w:val="both"/>
              <w:rPr>
                <w:rFonts w:hint="eastAsia" w:ascii="宋体" w:hAnsi="宋体" w:eastAsia="宋体" w:cs="宋体"/>
                <w:color w:val="auto"/>
                <w:szCs w:val="21"/>
                <w:lang w:val="en-US" w:eastAsia="zh-CN"/>
              </w:rPr>
            </w:pPr>
          </w:p>
        </w:tc>
        <w:tc>
          <w:tcPr>
            <w:tcW w:w="1770" w:type="pct"/>
            <w:noWrap w:val="0"/>
            <w:vAlign w:val="center"/>
          </w:tcPr>
          <w:p w14:paraId="4E85EC6E">
            <w:pPr>
              <w:spacing w:line="360" w:lineRule="auto"/>
              <w:jc w:val="both"/>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按相关要求提供证明材料</w:t>
            </w:r>
          </w:p>
        </w:tc>
      </w:tr>
    </w:tbl>
    <w:p w14:paraId="0A928D5F">
      <w:pPr>
        <w:pStyle w:val="4"/>
        <w:spacing w:before="110" w:line="301" w:lineRule="auto"/>
        <w:ind w:left="11" w:firstLine="497"/>
        <w:rPr>
          <w:rFonts w:hint="eastAsia" w:ascii="宋体" w:hAnsi="宋体" w:eastAsia="宋体" w:cs="宋体"/>
          <w:color w:val="auto"/>
          <w:sz w:val="24"/>
          <w:szCs w:val="24"/>
        </w:rPr>
      </w:pPr>
      <w:r>
        <w:rPr>
          <w:rFonts w:hint="eastAsia" w:ascii="宋体" w:hAnsi="宋体" w:eastAsia="宋体" w:cs="宋体"/>
          <w:color w:val="auto"/>
          <w:spacing w:val="-6"/>
          <w:sz w:val="24"/>
          <w:szCs w:val="24"/>
        </w:rPr>
        <w:t>1.所有证书、证明文件包括按要求提供的官网截图必须是真</w:t>
      </w:r>
      <w:r>
        <w:rPr>
          <w:rFonts w:hint="eastAsia" w:ascii="宋体" w:hAnsi="宋体" w:eastAsia="宋体" w:cs="宋体"/>
          <w:color w:val="auto"/>
          <w:spacing w:val="-7"/>
          <w:sz w:val="24"/>
          <w:szCs w:val="24"/>
        </w:rPr>
        <w:t>实、有效、可查证的，</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须注明资料来源。资格证明文件应为原件的扫描件，响</w:t>
      </w:r>
      <w:r>
        <w:rPr>
          <w:rFonts w:hint="eastAsia" w:ascii="宋体" w:hAnsi="宋体" w:eastAsia="宋体" w:cs="宋体"/>
          <w:color w:val="auto"/>
          <w:spacing w:val="-4"/>
          <w:sz w:val="24"/>
          <w:szCs w:val="24"/>
        </w:rPr>
        <w:t>应文件中须编入清晰的扫描件</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或复印件。所有证明材料须清晰可辨认，如因证明材料</w:t>
      </w:r>
      <w:r>
        <w:rPr>
          <w:rFonts w:hint="eastAsia" w:ascii="宋体" w:hAnsi="宋体" w:eastAsia="宋体" w:cs="宋体"/>
          <w:color w:val="auto"/>
          <w:spacing w:val="-4"/>
          <w:sz w:val="24"/>
          <w:szCs w:val="24"/>
        </w:rPr>
        <w:t>模糊无法辨认，缺页、漏页导</w:t>
      </w:r>
      <w:r>
        <w:rPr>
          <w:rFonts w:hint="eastAsia" w:ascii="宋体" w:hAnsi="宋体" w:eastAsia="宋体" w:cs="宋体"/>
          <w:color w:val="auto"/>
          <w:sz w:val="24"/>
          <w:szCs w:val="24"/>
        </w:rPr>
        <w:t xml:space="preserve">  </w:t>
      </w:r>
      <w:r>
        <w:rPr>
          <w:rFonts w:hint="eastAsia" w:ascii="宋体" w:hAnsi="宋体" w:eastAsia="宋体" w:cs="宋体"/>
          <w:color w:val="auto"/>
          <w:spacing w:val="-4"/>
          <w:sz w:val="24"/>
          <w:szCs w:val="24"/>
        </w:rPr>
        <w:t>致无法进行评审认定的责任由供应商自负。如发现弄虚作假将</w:t>
      </w:r>
      <w:r>
        <w:rPr>
          <w:rFonts w:hint="eastAsia" w:ascii="宋体" w:hAnsi="宋体" w:eastAsia="宋体" w:cs="宋体"/>
          <w:color w:val="auto"/>
          <w:spacing w:val="-5"/>
          <w:sz w:val="24"/>
          <w:szCs w:val="24"/>
        </w:rPr>
        <w:t>按照有关规定严肃处理。</w:t>
      </w:r>
    </w:p>
    <w:p w14:paraId="5976F62D">
      <w:pPr>
        <w:pStyle w:val="4"/>
        <w:spacing w:before="35" w:line="295" w:lineRule="auto"/>
        <w:ind w:left="12" w:right="200" w:firstLine="479"/>
        <w:rPr>
          <w:rFonts w:hint="eastAsia" w:ascii="宋体" w:hAnsi="宋体" w:eastAsia="宋体" w:cs="宋体"/>
          <w:color w:val="auto"/>
          <w:sz w:val="24"/>
          <w:szCs w:val="24"/>
        </w:rPr>
      </w:pPr>
      <w:r>
        <w:rPr>
          <w:rFonts w:hint="eastAsia" w:ascii="宋体" w:hAnsi="宋体" w:eastAsia="宋体" w:cs="宋体"/>
          <w:color w:val="auto"/>
          <w:spacing w:val="-4"/>
          <w:sz w:val="24"/>
          <w:szCs w:val="24"/>
        </w:rPr>
        <w:t>证明材料仅限于供应商单位本身，参股或控股单位及独立法人子公司的材料不能</w:t>
      </w:r>
      <w:r>
        <w:rPr>
          <w:rFonts w:hint="eastAsia" w:ascii="宋体" w:hAnsi="宋体" w:eastAsia="宋体" w:cs="宋体"/>
          <w:color w:val="auto"/>
          <w:spacing w:val="16"/>
          <w:sz w:val="24"/>
          <w:szCs w:val="24"/>
        </w:rPr>
        <w:t xml:space="preserve"> </w:t>
      </w:r>
      <w:r>
        <w:rPr>
          <w:rFonts w:hint="eastAsia" w:ascii="宋体" w:hAnsi="宋体" w:eastAsia="宋体" w:cs="宋体"/>
          <w:color w:val="auto"/>
          <w:spacing w:val="-1"/>
          <w:sz w:val="24"/>
          <w:szCs w:val="24"/>
        </w:rPr>
        <w:t>作为证明材料，但供应商单位兼并的企业的材料可作为证明材料。</w:t>
      </w:r>
    </w:p>
    <w:p w14:paraId="15E36895">
      <w:pPr>
        <w:pStyle w:val="4"/>
        <w:spacing w:before="34" w:line="295" w:lineRule="auto"/>
        <w:ind w:left="14" w:right="200" w:firstLine="479"/>
        <w:rPr>
          <w:rFonts w:hint="eastAsia" w:ascii="宋体" w:hAnsi="宋体" w:eastAsia="宋体" w:cs="宋体"/>
          <w:color w:val="auto"/>
          <w:sz w:val="24"/>
          <w:szCs w:val="24"/>
        </w:rPr>
      </w:pPr>
      <w:r>
        <w:rPr>
          <w:rFonts w:hint="eastAsia" w:ascii="宋体" w:hAnsi="宋体" w:eastAsia="宋体" w:cs="宋体"/>
          <w:color w:val="auto"/>
          <w:spacing w:val="-4"/>
          <w:sz w:val="24"/>
          <w:szCs w:val="24"/>
        </w:rPr>
        <w:t>2.对于响应文件中有任意一条不满足上表要求的将导致其投标无效，不进入下一</w:t>
      </w:r>
      <w:r>
        <w:rPr>
          <w:rFonts w:hint="eastAsia" w:ascii="宋体" w:hAnsi="宋体" w:eastAsia="宋体" w:cs="宋体"/>
          <w:color w:val="auto"/>
          <w:spacing w:val="17"/>
          <w:sz w:val="24"/>
          <w:szCs w:val="24"/>
        </w:rPr>
        <w:t xml:space="preserve"> </w:t>
      </w:r>
      <w:r>
        <w:rPr>
          <w:rFonts w:hint="eastAsia" w:ascii="宋体" w:hAnsi="宋体" w:eastAsia="宋体" w:cs="宋体"/>
          <w:color w:val="auto"/>
          <w:spacing w:val="-4"/>
          <w:sz w:val="24"/>
          <w:szCs w:val="24"/>
        </w:rPr>
        <w:t>项评审。</w:t>
      </w:r>
    </w:p>
    <w:p w14:paraId="656784BB">
      <w:pPr>
        <w:spacing w:line="295" w:lineRule="auto"/>
        <w:rPr>
          <w:rFonts w:hint="eastAsia" w:ascii="宋体" w:hAnsi="宋体" w:eastAsia="宋体" w:cs="宋体"/>
          <w:color w:val="auto"/>
          <w:sz w:val="24"/>
          <w:szCs w:val="24"/>
        </w:rPr>
        <w:sectPr>
          <w:headerReference r:id="rId5" w:type="default"/>
          <w:footerReference r:id="rId6" w:type="default"/>
          <w:pgSz w:w="11907" w:h="16840"/>
          <w:pgMar w:top="1196" w:right="1370" w:bottom="1171" w:left="1567" w:header="911" w:footer="898" w:gutter="0"/>
          <w:pgNumType w:fmt="decimal"/>
          <w:cols w:space="720" w:num="1"/>
        </w:sectPr>
      </w:pPr>
    </w:p>
    <w:p w14:paraId="65339DD5">
      <w:pPr>
        <w:numPr>
          <w:ilvl w:val="0"/>
          <w:numId w:val="2"/>
        </w:numPr>
        <w:spacing w:before="291" w:line="227" w:lineRule="auto"/>
        <w:ind w:left="39"/>
        <w:outlineLvl w:val="1"/>
        <w:rPr>
          <w:rFonts w:hint="eastAsia" w:ascii="宋体" w:hAnsi="宋体" w:eastAsia="宋体" w:cs="宋体"/>
          <w:b/>
          <w:bCs/>
          <w:color w:val="auto"/>
          <w:spacing w:val="3"/>
          <w:sz w:val="31"/>
          <w:szCs w:val="31"/>
        </w:rPr>
      </w:pPr>
      <w:bookmarkStart w:id="11" w:name="bookmark145"/>
      <w:bookmarkEnd w:id="11"/>
      <w:bookmarkStart w:id="12" w:name="bookmark146"/>
      <w:bookmarkEnd w:id="12"/>
      <w:r>
        <w:rPr>
          <w:rFonts w:hint="eastAsia" w:ascii="宋体" w:hAnsi="宋体" w:eastAsia="宋体" w:cs="宋体"/>
          <w:b/>
          <w:bCs/>
          <w:color w:val="auto"/>
          <w:spacing w:val="3"/>
          <w:sz w:val="31"/>
          <w:szCs w:val="31"/>
        </w:rPr>
        <w:t>符合性检查表</w:t>
      </w:r>
    </w:p>
    <w:p w14:paraId="288489C9">
      <w:pPr>
        <w:spacing w:line="107" w:lineRule="auto"/>
        <w:rPr>
          <w:rFonts w:hint="eastAsia" w:ascii="宋体" w:hAnsi="宋体" w:eastAsia="宋体" w:cs="宋体"/>
          <w:color w:val="auto"/>
          <w:sz w:val="2"/>
        </w:rPr>
      </w:pPr>
    </w:p>
    <w:tbl>
      <w:tblPr>
        <w:tblStyle w:val="12"/>
        <w:tblW w:w="8526" w:type="dxa"/>
        <w:tblInd w:w="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3066"/>
        <w:gridCol w:w="4642"/>
      </w:tblGrid>
      <w:tr w14:paraId="6D7DF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18" w:type="dxa"/>
            <w:shd w:val="clear" w:color="auto" w:fill="D8D8D8"/>
            <w:vAlign w:val="top"/>
          </w:tcPr>
          <w:p w14:paraId="26BBB9C2">
            <w:pPr>
              <w:pStyle w:val="13"/>
              <w:spacing w:before="162" w:line="229" w:lineRule="auto"/>
              <w:ind w:left="203"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b/>
                <w:bCs/>
                <w:color w:val="auto"/>
                <w:spacing w:val="4"/>
                <w:sz w:val="20"/>
                <w:szCs w:val="20"/>
              </w:rPr>
              <w:t>序号</w:t>
            </w:r>
          </w:p>
        </w:tc>
        <w:tc>
          <w:tcPr>
            <w:tcW w:w="3066" w:type="dxa"/>
            <w:shd w:val="clear" w:color="auto" w:fill="D8D8D8"/>
            <w:vAlign w:val="top"/>
          </w:tcPr>
          <w:p w14:paraId="55840ED7">
            <w:pPr>
              <w:pStyle w:val="13"/>
              <w:spacing w:before="163" w:line="228" w:lineRule="auto"/>
              <w:ind w:left="456"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b/>
                <w:bCs/>
                <w:color w:val="auto"/>
                <w:spacing w:val="5"/>
                <w:sz w:val="20"/>
                <w:szCs w:val="20"/>
              </w:rPr>
              <w:t>审查项名称</w:t>
            </w:r>
          </w:p>
        </w:tc>
        <w:tc>
          <w:tcPr>
            <w:tcW w:w="4642" w:type="dxa"/>
            <w:shd w:val="clear" w:color="auto" w:fill="D8D8D8"/>
            <w:vAlign w:val="top"/>
          </w:tcPr>
          <w:p w14:paraId="77F4DE21">
            <w:pPr>
              <w:pStyle w:val="13"/>
              <w:spacing w:before="162" w:line="228" w:lineRule="auto"/>
              <w:ind w:left="2472"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b/>
                <w:bCs/>
                <w:color w:val="auto"/>
                <w:spacing w:val="4"/>
                <w:sz w:val="20"/>
                <w:szCs w:val="20"/>
              </w:rPr>
              <w:t>审查内容</w:t>
            </w:r>
          </w:p>
        </w:tc>
      </w:tr>
      <w:tr w14:paraId="776C4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18" w:type="dxa"/>
            <w:shd w:val="clear" w:color="auto" w:fill="auto"/>
            <w:vAlign w:val="center"/>
          </w:tcPr>
          <w:p w14:paraId="50335D31">
            <w:pPr>
              <w:pStyle w:val="13"/>
              <w:spacing w:before="65" w:line="228" w:lineRule="auto"/>
              <w:ind w:left="122"/>
              <w:jc w:val="center"/>
              <w:rPr>
                <w:rFonts w:hint="eastAsia" w:ascii="宋体" w:hAnsi="宋体" w:eastAsia="宋体" w:cs="宋体"/>
                <w:color w:val="auto"/>
                <w:spacing w:val="6"/>
                <w:sz w:val="20"/>
                <w:szCs w:val="20"/>
                <w:lang w:val="en-US" w:eastAsia="en-US"/>
              </w:rPr>
            </w:pPr>
            <w:r>
              <w:rPr>
                <w:rFonts w:hint="eastAsia" w:ascii="宋体" w:hAnsi="宋体" w:eastAsia="宋体" w:cs="宋体"/>
                <w:color w:val="auto"/>
                <w:spacing w:val="6"/>
                <w:sz w:val="20"/>
                <w:szCs w:val="20"/>
              </w:rPr>
              <w:t>1</w:t>
            </w:r>
          </w:p>
        </w:tc>
        <w:tc>
          <w:tcPr>
            <w:tcW w:w="3066" w:type="dxa"/>
            <w:shd w:val="clear" w:color="auto" w:fill="auto"/>
            <w:vAlign w:val="top"/>
          </w:tcPr>
          <w:p w14:paraId="2FA090AF">
            <w:pPr>
              <w:pStyle w:val="13"/>
              <w:spacing w:before="50" w:line="219" w:lineRule="auto"/>
              <w:ind w:left="108"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1"/>
                <w:sz w:val="20"/>
                <w:szCs w:val="20"/>
              </w:rPr>
              <w:t>按采购文件要求签署、盖章；</w:t>
            </w:r>
          </w:p>
        </w:tc>
        <w:tc>
          <w:tcPr>
            <w:tcW w:w="4642" w:type="dxa"/>
            <w:shd w:val="clear" w:color="auto" w:fill="auto"/>
            <w:vAlign w:val="top"/>
          </w:tcPr>
          <w:p w14:paraId="36B77958">
            <w:pPr>
              <w:pStyle w:val="13"/>
              <w:spacing w:before="48" w:line="219" w:lineRule="auto"/>
              <w:ind w:left="112"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1"/>
                <w:sz w:val="20"/>
                <w:szCs w:val="20"/>
              </w:rPr>
              <w:t>按采购文件要求签署、盖章；</w:t>
            </w:r>
          </w:p>
        </w:tc>
      </w:tr>
      <w:tr w14:paraId="3937A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18" w:type="dxa"/>
            <w:vAlign w:val="center"/>
          </w:tcPr>
          <w:p w14:paraId="0269CDB5">
            <w:pPr>
              <w:pStyle w:val="13"/>
              <w:spacing w:before="65" w:line="228" w:lineRule="auto"/>
              <w:ind w:left="122"/>
              <w:jc w:val="center"/>
              <w:rPr>
                <w:rFonts w:hint="eastAsia" w:ascii="宋体" w:hAnsi="宋体" w:eastAsia="宋体" w:cs="宋体"/>
                <w:color w:val="auto"/>
                <w:spacing w:val="6"/>
                <w:sz w:val="20"/>
                <w:szCs w:val="20"/>
                <w:lang w:val="en-US" w:eastAsia="zh-CN"/>
              </w:rPr>
            </w:pPr>
            <w:r>
              <w:rPr>
                <w:rFonts w:hint="eastAsia" w:ascii="宋体" w:hAnsi="宋体" w:eastAsia="宋体" w:cs="宋体"/>
                <w:color w:val="auto"/>
                <w:spacing w:val="6"/>
                <w:sz w:val="20"/>
                <w:szCs w:val="20"/>
                <w:lang w:val="en-US" w:eastAsia="zh-CN"/>
              </w:rPr>
              <w:t>2</w:t>
            </w:r>
          </w:p>
        </w:tc>
        <w:tc>
          <w:tcPr>
            <w:tcW w:w="3066" w:type="dxa"/>
            <w:shd w:val="clear" w:color="auto" w:fill="auto"/>
            <w:vAlign w:val="top"/>
          </w:tcPr>
          <w:p w14:paraId="04EE4EC7">
            <w:pPr>
              <w:pStyle w:val="13"/>
              <w:spacing w:before="152" w:line="218" w:lineRule="auto"/>
              <w:ind w:left="108"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1"/>
                <w:sz w:val="20"/>
                <w:szCs w:val="20"/>
              </w:rPr>
              <w:t>按采购文件要求报价；</w:t>
            </w:r>
          </w:p>
        </w:tc>
        <w:tc>
          <w:tcPr>
            <w:tcW w:w="4642" w:type="dxa"/>
            <w:shd w:val="clear" w:color="auto" w:fill="auto"/>
            <w:vAlign w:val="top"/>
          </w:tcPr>
          <w:p w14:paraId="05ED0482">
            <w:pPr>
              <w:pStyle w:val="13"/>
              <w:spacing w:before="51" w:line="211" w:lineRule="auto"/>
              <w:ind w:left="109" w:leftChars="0" w:right="102" w:righ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4"/>
                <w:sz w:val="20"/>
                <w:szCs w:val="20"/>
              </w:rPr>
              <w:t>报价未超限价，不存在缺项、漏项；没有出现两个</w:t>
            </w:r>
            <w:r>
              <w:rPr>
                <w:rFonts w:hint="eastAsia" w:ascii="宋体" w:hAnsi="宋体" w:eastAsia="宋体" w:cs="宋体"/>
                <w:color w:val="auto"/>
                <w:sz w:val="20"/>
                <w:szCs w:val="20"/>
              </w:rPr>
              <w:t xml:space="preserve"> </w:t>
            </w:r>
            <w:r>
              <w:rPr>
                <w:rFonts w:hint="eastAsia" w:ascii="宋体" w:hAnsi="宋体" w:eastAsia="宋体" w:cs="宋体"/>
                <w:color w:val="auto"/>
                <w:spacing w:val="-1"/>
                <w:sz w:val="20"/>
                <w:szCs w:val="20"/>
              </w:rPr>
              <w:t>及以上不同报价或响应方案；</w:t>
            </w:r>
          </w:p>
        </w:tc>
      </w:tr>
      <w:tr w14:paraId="70CA0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18" w:type="dxa"/>
            <w:vAlign w:val="center"/>
          </w:tcPr>
          <w:p w14:paraId="310F3826">
            <w:pPr>
              <w:pStyle w:val="13"/>
              <w:spacing w:before="65" w:line="228" w:lineRule="auto"/>
              <w:jc w:val="center"/>
              <w:rPr>
                <w:rFonts w:hint="eastAsia" w:ascii="宋体" w:hAnsi="宋体" w:eastAsia="宋体" w:cs="宋体"/>
                <w:color w:val="auto"/>
                <w:spacing w:val="6"/>
                <w:sz w:val="20"/>
                <w:szCs w:val="20"/>
              </w:rPr>
            </w:pPr>
            <w:r>
              <w:rPr>
                <w:rFonts w:hint="eastAsia" w:ascii="宋体" w:hAnsi="宋体" w:eastAsia="宋体" w:cs="宋体"/>
                <w:color w:val="auto"/>
                <w:spacing w:val="6"/>
                <w:sz w:val="20"/>
                <w:szCs w:val="20"/>
              </w:rPr>
              <w:t>3</w:t>
            </w:r>
          </w:p>
        </w:tc>
        <w:tc>
          <w:tcPr>
            <w:tcW w:w="3066" w:type="dxa"/>
            <w:shd w:val="clear" w:color="auto" w:fill="auto"/>
            <w:vAlign w:val="top"/>
          </w:tcPr>
          <w:p w14:paraId="0A5EC64F">
            <w:pPr>
              <w:pStyle w:val="13"/>
              <w:spacing w:before="52" w:line="219" w:lineRule="auto"/>
              <w:ind w:left="108"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1"/>
                <w:sz w:val="20"/>
                <w:szCs w:val="20"/>
                <w:lang w:val="en-US" w:eastAsia="zh-CN"/>
              </w:rPr>
              <w:t>服务期</w:t>
            </w:r>
            <w:r>
              <w:rPr>
                <w:rFonts w:hint="eastAsia" w:ascii="宋体" w:hAnsi="宋体" w:eastAsia="宋体" w:cs="宋体"/>
                <w:color w:val="auto"/>
                <w:spacing w:val="-1"/>
                <w:sz w:val="20"/>
                <w:szCs w:val="20"/>
              </w:rPr>
              <w:t>满足采购文件规定；</w:t>
            </w:r>
          </w:p>
        </w:tc>
        <w:tc>
          <w:tcPr>
            <w:tcW w:w="4642" w:type="dxa"/>
            <w:shd w:val="clear" w:color="auto" w:fill="auto"/>
            <w:vAlign w:val="top"/>
          </w:tcPr>
          <w:p w14:paraId="56F346C0">
            <w:pPr>
              <w:pStyle w:val="13"/>
              <w:spacing w:before="50" w:line="219" w:lineRule="auto"/>
              <w:ind w:left="113"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1"/>
                <w:sz w:val="20"/>
                <w:szCs w:val="20"/>
                <w:lang w:val="en-US" w:eastAsia="zh-CN"/>
              </w:rPr>
              <w:t>服务期</w:t>
            </w:r>
            <w:r>
              <w:rPr>
                <w:rFonts w:hint="eastAsia" w:ascii="宋体" w:hAnsi="宋体" w:eastAsia="宋体" w:cs="宋体"/>
                <w:color w:val="auto"/>
                <w:spacing w:val="-1"/>
                <w:sz w:val="20"/>
                <w:szCs w:val="20"/>
              </w:rPr>
              <w:t>满足采购文件规定；</w:t>
            </w:r>
          </w:p>
        </w:tc>
      </w:tr>
      <w:tr w14:paraId="2ADF0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818" w:type="dxa"/>
            <w:vAlign w:val="center"/>
          </w:tcPr>
          <w:p w14:paraId="7BD2B957">
            <w:pPr>
              <w:pStyle w:val="13"/>
              <w:spacing w:before="62" w:line="189" w:lineRule="auto"/>
              <w:jc w:val="center"/>
              <w:rPr>
                <w:rFonts w:hint="eastAsia" w:ascii="宋体" w:hAnsi="宋体" w:eastAsia="宋体" w:cs="宋体"/>
                <w:color w:val="auto"/>
                <w:sz w:val="19"/>
                <w:szCs w:val="19"/>
              </w:rPr>
            </w:pPr>
            <w:r>
              <w:rPr>
                <w:rFonts w:hint="eastAsia" w:ascii="宋体" w:hAnsi="宋体" w:eastAsia="宋体" w:cs="宋体"/>
                <w:color w:val="auto"/>
                <w:sz w:val="19"/>
                <w:szCs w:val="19"/>
              </w:rPr>
              <w:t>4</w:t>
            </w:r>
          </w:p>
        </w:tc>
        <w:tc>
          <w:tcPr>
            <w:tcW w:w="3066" w:type="dxa"/>
            <w:shd w:val="clear" w:color="auto" w:fill="auto"/>
            <w:vAlign w:val="top"/>
          </w:tcPr>
          <w:p w14:paraId="53EAC06B">
            <w:pPr>
              <w:pStyle w:val="13"/>
              <w:spacing w:before="49" w:line="219" w:lineRule="auto"/>
              <w:ind w:left="116"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2"/>
                <w:sz w:val="20"/>
                <w:szCs w:val="20"/>
              </w:rPr>
              <w:t>响应有效期满足采购文件规定；</w:t>
            </w:r>
          </w:p>
        </w:tc>
        <w:tc>
          <w:tcPr>
            <w:tcW w:w="4642" w:type="dxa"/>
            <w:shd w:val="clear" w:color="auto" w:fill="auto"/>
            <w:vAlign w:val="top"/>
          </w:tcPr>
          <w:p w14:paraId="674D6697">
            <w:pPr>
              <w:pStyle w:val="13"/>
              <w:spacing w:before="46" w:line="219" w:lineRule="auto"/>
              <w:ind w:left="121"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2"/>
                <w:sz w:val="20"/>
                <w:szCs w:val="20"/>
              </w:rPr>
              <w:t>响应有效期满足采购文件规定；</w:t>
            </w:r>
          </w:p>
        </w:tc>
      </w:tr>
      <w:tr w14:paraId="63D24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818" w:type="dxa"/>
            <w:vAlign w:val="center"/>
          </w:tcPr>
          <w:p w14:paraId="5E4AE441">
            <w:pPr>
              <w:spacing w:line="284" w:lineRule="auto"/>
              <w:jc w:val="center"/>
              <w:rPr>
                <w:rFonts w:hint="eastAsia" w:ascii="宋体" w:hAnsi="宋体" w:eastAsia="宋体" w:cs="宋体"/>
                <w:color w:val="auto"/>
                <w:sz w:val="21"/>
              </w:rPr>
            </w:pPr>
          </w:p>
          <w:p w14:paraId="765CB1D1">
            <w:pPr>
              <w:pStyle w:val="13"/>
              <w:spacing w:before="62" w:line="188" w:lineRule="auto"/>
              <w:jc w:val="center"/>
              <w:rPr>
                <w:rFonts w:hint="eastAsia" w:ascii="宋体" w:hAnsi="宋体" w:eastAsia="宋体" w:cs="宋体"/>
                <w:color w:val="auto"/>
                <w:sz w:val="19"/>
                <w:szCs w:val="19"/>
              </w:rPr>
            </w:pPr>
            <w:r>
              <w:rPr>
                <w:rFonts w:hint="eastAsia" w:ascii="宋体" w:hAnsi="宋体" w:eastAsia="宋体" w:cs="宋体"/>
                <w:color w:val="auto"/>
                <w:sz w:val="19"/>
                <w:szCs w:val="19"/>
              </w:rPr>
              <w:t>5</w:t>
            </w:r>
          </w:p>
        </w:tc>
        <w:tc>
          <w:tcPr>
            <w:tcW w:w="3066" w:type="dxa"/>
            <w:shd w:val="clear" w:color="auto" w:fill="auto"/>
            <w:vAlign w:val="top"/>
          </w:tcPr>
          <w:p w14:paraId="46F0FD8F">
            <w:pPr>
              <w:pStyle w:val="13"/>
              <w:spacing w:before="45" w:line="262" w:lineRule="auto"/>
              <w:ind w:left="105" w:leftChars="0" w:right="294" w:rightChars="0" w:firstLine="10" w:firstLine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2"/>
                <w:sz w:val="20"/>
                <w:szCs w:val="20"/>
              </w:rPr>
              <w:t>响应文件中未附有采购人不能接受条件；</w:t>
            </w:r>
          </w:p>
        </w:tc>
        <w:tc>
          <w:tcPr>
            <w:tcW w:w="4642" w:type="dxa"/>
            <w:shd w:val="clear" w:color="auto" w:fill="auto"/>
            <w:vAlign w:val="top"/>
          </w:tcPr>
          <w:p w14:paraId="107FC9A0">
            <w:pPr>
              <w:pStyle w:val="13"/>
              <w:spacing w:before="47" w:line="219" w:lineRule="auto"/>
              <w:ind w:left="121"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2"/>
                <w:sz w:val="20"/>
                <w:szCs w:val="20"/>
              </w:rPr>
              <w:t>响应文件中未附有采购人不能接受条件；</w:t>
            </w:r>
          </w:p>
        </w:tc>
      </w:tr>
      <w:tr w14:paraId="27C8C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18" w:type="dxa"/>
            <w:vAlign w:val="center"/>
          </w:tcPr>
          <w:p w14:paraId="06C0D3D8">
            <w:pPr>
              <w:pStyle w:val="13"/>
              <w:spacing w:before="92" w:line="189" w:lineRule="auto"/>
              <w:jc w:val="center"/>
              <w:rPr>
                <w:rFonts w:hint="eastAsia" w:ascii="宋体" w:hAnsi="宋体" w:eastAsia="宋体" w:cs="宋体"/>
                <w:color w:val="auto"/>
                <w:sz w:val="19"/>
                <w:szCs w:val="19"/>
              </w:rPr>
            </w:pPr>
            <w:r>
              <w:rPr>
                <w:rFonts w:hint="eastAsia" w:ascii="宋体" w:hAnsi="宋体" w:eastAsia="宋体" w:cs="宋体"/>
                <w:color w:val="auto"/>
                <w:sz w:val="19"/>
                <w:szCs w:val="19"/>
              </w:rPr>
              <w:t>6</w:t>
            </w:r>
          </w:p>
        </w:tc>
        <w:tc>
          <w:tcPr>
            <w:tcW w:w="3066" w:type="dxa"/>
            <w:shd w:val="clear" w:color="auto" w:fill="auto"/>
            <w:vAlign w:val="top"/>
          </w:tcPr>
          <w:p w14:paraId="798E73F2">
            <w:pPr>
              <w:pStyle w:val="13"/>
              <w:spacing w:before="45" w:line="262" w:lineRule="auto"/>
              <w:ind w:left="108" w:leftChars="0" w:right="102" w:rightChars="0" w:firstLine="8" w:firstLine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2"/>
                <w:sz w:val="20"/>
                <w:szCs w:val="20"/>
              </w:rPr>
              <w:t>响应文件满足采购文件技术、服</w:t>
            </w:r>
            <w:r>
              <w:rPr>
                <w:rFonts w:hint="eastAsia" w:ascii="宋体" w:hAnsi="宋体" w:eastAsia="宋体" w:cs="宋体"/>
                <w:color w:val="auto"/>
                <w:sz w:val="20"/>
                <w:szCs w:val="20"/>
              </w:rPr>
              <w:t xml:space="preserve"> </w:t>
            </w:r>
            <w:r>
              <w:rPr>
                <w:rFonts w:hint="eastAsia" w:ascii="宋体" w:hAnsi="宋体" w:eastAsia="宋体" w:cs="宋体"/>
                <w:color w:val="auto"/>
                <w:spacing w:val="-1"/>
                <w:sz w:val="20"/>
                <w:szCs w:val="20"/>
              </w:rPr>
              <w:t>务及商务等实质性要求；</w:t>
            </w:r>
          </w:p>
        </w:tc>
        <w:tc>
          <w:tcPr>
            <w:tcW w:w="4642" w:type="dxa"/>
            <w:shd w:val="clear" w:color="auto" w:fill="auto"/>
            <w:vAlign w:val="top"/>
          </w:tcPr>
          <w:p w14:paraId="3EFC7FDF">
            <w:pPr>
              <w:pStyle w:val="13"/>
              <w:spacing w:before="201" w:line="219" w:lineRule="auto"/>
              <w:ind w:left="110"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1"/>
                <w:sz w:val="20"/>
                <w:szCs w:val="20"/>
              </w:rPr>
              <w:t>满足采购文件技术、服务及商务等实质性要求；</w:t>
            </w:r>
          </w:p>
        </w:tc>
      </w:tr>
      <w:tr w14:paraId="60040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18" w:type="dxa"/>
            <w:vAlign w:val="center"/>
          </w:tcPr>
          <w:p w14:paraId="6699DCE4">
            <w:pPr>
              <w:pStyle w:val="13"/>
              <w:spacing w:before="92" w:line="189" w:lineRule="auto"/>
              <w:jc w:val="center"/>
              <w:rPr>
                <w:rFonts w:hint="eastAsia" w:ascii="宋体" w:hAnsi="宋体" w:eastAsia="宋体" w:cs="宋体"/>
                <w:color w:val="auto"/>
                <w:sz w:val="19"/>
                <w:szCs w:val="19"/>
                <w:lang w:val="en-US" w:eastAsia="zh-CN"/>
              </w:rPr>
            </w:pPr>
            <w:r>
              <w:rPr>
                <w:rFonts w:hint="eastAsia" w:ascii="宋体" w:hAnsi="宋体" w:eastAsia="宋体" w:cs="宋体"/>
                <w:color w:val="auto"/>
                <w:sz w:val="19"/>
                <w:szCs w:val="19"/>
                <w:lang w:val="en-US" w:eastAsia="zh-CN"/>
              </w:rPr>
              <w:t>7</w:t>
            </w:r>
          </w:p>
        </w:tc>
        <w:tc>
          <w:tcPr>
            <w:tcW w:w="3066" w:type="dxa"/>
            <w:shd w:val="clear" w:color="auto" w:fill="auto"/>
            <w:vAlign w:val="top"/>
          </w:tcPr>
          <w:p w14:paraId="66DDE52B">
            <w:pPr>
              <w:spacing w:line="279" w:lineRule="auto"/>
              <w:rPr>
                <w:rFonts w:hint="eastAsia" w:ascii="宋体" w:hAnsi="宋体" w:eastAsia="宋体" w:cs="宋体"/>
                <w:color w:val="auto"/>
                <w:sz w:val="21"/>
              </w:rPr>
            </w:pPr>
          </w:p>
          <w:p w14:paraId="20206371">
            <w:pPr>
              <w:spacing w:line="279" w:lineRule="auto"/>
              <w:rPr>
                <w:rFonts w:hint="eastAsia" w:ascii="宋体" w:hAnsi="宋体" w:eastAsia="宋体" w:cs="宋体"/>
                <w:color w:val="auto"/>
                <w:sz w:val="21"/>
              </w:rPr>
            </w:pPr>
          </w:p>
          <w:p w14:paraId="176A32E9">
            <w:pPr>
              <w:spacing w:line="279" w:lineRule="auto"/>
              <w:rPr>
                <w:rFonts w:hint="eastAsia" w:ascii="宋体" w:hAnsi="宋体" w:eastAsia="宋体" w:cs="宋体"/>
                <w:color w:val="auto"/>
                <w:sz w:val="21"/>
              </w:rPr>
            </w:pPr>
          </w:p>
          <w:p w14:paraId="66AEE781">
            <w:pPr>
              <w:spacing w:line="279" w:lineRule="auto"/>
              <w:rPr>
                <w:rFonts w:hint="eastAsia" w:ascii="宋体" w:hAnsi="宋体" w:eastAsia="宋体" w:cs="宋体"/>
                <w:color w:val="auto"/>
                <w:sz w:val="21"/>
              </w:rPr>
            </w:pPr>
          </w:p>
          <w:p w14:paraId="74F0A3F9">
            <w:pPr>
              <w:pStyle w:val="13"/>
              <w:spacing w:before="65" w:line="220" w:lineRule="auto"/>
              <w:ind w:left="108"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2"/>
                <w:sz w:val="20"/>
                <w:szCs w:val="20"/>
              </w:rPr>
              <w:t>无围标串标情况；</w:t>
            </w:r>
          </w:p>
        </w:tc>
        <w:tc>
          <w:tcPr>
            <w:tcW w:w="4642" w:type="dxa"/>
            <w:shd w:val="clear" w:color="auto" w:fill="auto"/>
            <w:vAlign w:val="top"/>
          </w:tcPr>
          <w:p w14:paraId="0076011E">
            <w:pPr>
              <w:pStyle w:val="13"/>
              <w:spacing w:before="49" w:line="219" w:lineRule="auto"/>
              <w:ind w:left="110"/>
              <w:rPr>
                <w:rFonts w:hint="eastAsia" w:ascii="宋体" w:hAnsi="宋体" w:eastAsia="宋体" w:cs="宋体"/>
                <w:color w:val="auto"/>
                <w:sz w:val="20"/>
                <w:szCs w:val="20"/>
              </w:rPr>
            </w:pPr>
            <w:r>
              <w:rPr>
                <w:rFonts w:hint="eastAsia" w:ascii="宋体" w:hAnsi="宋体" w:eastAsia="宋体" w:cs="宋体"/>
                <w:color w:val="auto"/>
                <w:spacing w:val="-1"/>
                <w:sz w:val="20"/>
                <w:szCs w:val="20"/>
              </w:rPr>
              <w:t>供应商没有下列任一情形：</w:t>
            </w:r>
          </w:p>
          <w:p w14:paraId="6E8E5D62">
            <w:pPr>
              <w:pStyle w:val="13"/>
              <w:spacing w:before="23" w:line="229" w:lineRule="auto"/>
              <w:ind w:left="112" w:right="102" w:firstLine="3"/>
              <w:rPr>
                <w:rFonts w:hint="eastAsia" w:ascii="宋体" w:hAnsi="宋体" w:eastAsia="宋体" w:cs="宋体"/>
                <w:color w:val="auto"/>
                <w:sz w:val="20"/>
                <w:szCs w:val="20"/>
              </w:rPr>
            </w:pPr>
            <w:r>
              <w:rPr>
                <w:rFonts w:hint="eastAsia" w:ascii="宋体" w:hAnsi="宋体" w:eastAsia="宋体" w:cs="宋体"/>
                <w:color w:val="auto"/>
                <w:sz w:val="20"/>
                <w:szCs w:val="20"/>
              </w:rPr>
              <w:t>（1）不同供应商的响应文件由同一单位或者个人</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4"/>
                <w:sz w:val="20"/>
                <w:szCs w:val="20"/>
              </w:rPr>
              <w:t>编制；</w:t>
            </w:r>
          </w:p>
          <w:p w14:paraId="00726B75">
            <w:pPr>
              <w:pStyle w:val="13"/>
              <w:spacing w:before="21" w:line="230" w:lineRule="auto"/>
              <w:ind w:left="110" w:right="102" w:firstLine="5"/>
              <w:rPr>
                <w:rFonts w:hint="eastAsia" w:ascii="宋体" w:hAnsi="宋体" w:eastAsia="宋体" w:cs="宋体"/>
                <w:color w:val="auto"/>
                <w:sz w:val="20"/>
                <w:szCs w:val="20"/>
              </w:rPr>
            </w:pPr>
            <w:r>
              <w:rPr>
                <w:rFonts w:hint="eastAsia" w:ascii="宋体" w:hAnsi="宋体" w:eastAsia="宋体" w:cs="宋体"/>
                <w:color w:val="auto"/>
                <w:sz w:val="20"/>
                <w:szCs w:val="20"/>
              </w:rPr>
              <w:t>（2）不同供应商委托同一单位或者个人办理洽谈</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3"/>
                <w:sz w:val="20"/>
                <w:szCs w:val="20"/>
              </w:rPr>
              <w:t>事宜；</w:t>
            </w:r>
          </w:p>
          <w:p w14:paraId="58309A49">
            <w:pPr>
              <w:pStyle w:val="13"/>
              <w:spacing w:before="21" w:line="230" w:lineRule="auto"/>
              <w:ind w:left="113" w:right="102" w:firstLine="2"/>
              <w:rPr>
                <w:rFonts w:hint="eastAsia" w:ascii="宋体" w:hAnsi="宋体" w:eastAsia="宋体" w:cs="宋体"/>
                <w:color w:val="auto"/>
                <w:sz w:val="20"/>
                <w:szCs w:val="20"/>
              </w:rPr>
            </w:pPr>
            <w:r>
              <w:rPr>
                <w:rFonts w:hint="eastAsia" w:ascii="宋体" w:hAnsi="宋体" w:eastAsia="宋体" w:cs="宋体"/>
                <w:color w:val="auto"/>
                <w:sz w:val="20"/>
                <w:szCs w:val="20"/>
              </w:rPr>
              <w:t>（3）不同供应商的响应文件载明的项目管理成员</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1"/>
                <w:sz w:val="20"/>
                <w:szCs w:val="20"/>
              </w:rPr>
              <w:t>或者联系人员为同一人；</w:t>
            </w:r>
          </w:p>
          <w:p w14:paraId="19CBCD5F">
            <w:pPr>
              <w:pStyle w:val="13"/>
              <w:spacing w:before="21" w:line="229" w:lineRule="auto"/>
              <w:ind w:left="111" w:right="102" w:firstLine="4"/>
              <w:rPr>
                <w:rFonts w:hint="eastAsia" w:ascii="宋体" w:hAnsi="宋体" w:eastAsia="宋体" w:cs="宋体"/>
                <w:color w:val="auto"/>
                <w:sz w:val="20"/>
                <w:szCs w:val="20"/>
              </w:rPr>
            </w:pPr>
            <w:r>
              <w:rPr>
                <w:rFonts w:hint="eastAsia" w:ascii="宋体" w:hAnsi="宋体" w:eastAsia="宋体" w:cs="宋体"/>
                <w:color w:val="auto"/>
                <w:sz w:val="20"/>
                <w:szCs w:val="20"/>
              </w:rPr>
              <w:t>（4）不同供应商的响应文件异常一致或者报价呈</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2"/>
                <w:sz w:val="20"/>
                <w:szCs w:val="20"/>
              </w:rPr>
              <w:t>规律性差异；</w:t>
            </w:r>
          </w:p>
          <w:p w14:paraId="113DD39B">
            <w:pPr>
              <w:pStyle w:val="13"/>
              <w:spacing w:before="22" w:line="179" w:lineRule="auto"/>
              <w:ind w:left="116" w:left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1"/>
                <w:sz w:val="20"/>
                <w:szCs w:val="20"/>
              </w:rPr>
              <w:t>（5）不同供应商的响应文件相互混装；</w:t>
            </w:r>
          </w:p>
        </w:tc>
      </w:tr>
      <w:tr w14:paraId="2911B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18" w:type="dxa"/>
            <w:shd w:val="clear" w:color="auto" w:fill="auto"/>
            <w:vAlign w:val="center"/>
          </w:tcPr>
          <w:p w14:paraId="2FDD959F">
            <w:pPr>
              <w:pStyle w:val="13"/>
              <w:spacing w:before="155"/>
              <w:ind w:right="9" w:rightChars="0"/>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rPr>
              <w:t>8</w:t>
            </w:r>
          </w:p>
        </w:tc>
        <w:tc>
          <w:tcPr>
            <w:tcW w:w="3066" w:type="dxa"/>
            <w:shd w:val="clear" w:color="auto" w:fill="auto"/>
            <w:vAlign w:val="top"/>
          </w:tcPr>
          <w:p w14:paraId="01DF8FB7">
            <w:pPr>
              <w:pStyle w:val="13"/>
              <w:spacing w:before="52" w:line="261" w:lineRule="auto"/>
              <w:ind w:left="110" w:leftChars="0" w:right="103" w:rightChars="0" w:hanging="1" w:firstLine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2"/>
                <w:sz w:val="20"/>
                <w:szCs w:val="20"/>
              </w:rPr>
              <w:t>不存在法律、法规和采购文件规</w:t>
            </w:r>
            <w:r>
              <w:rPr>
                <w:rFonts w:hint="eastAsia" w:ascii="宋体" w:hAnsi="宋体" w:eastAsia="宋体" w:cs="宋体"/>
                <w:color w:val="auto"/>
                <w:spacing w:val="7"/>
                <w:sz w:val="20"/>
                <w:szCs w:val="20"/>
              </w:rPr>
              <w:t xml:space="preserve"> </w:t>
            </w:r>
            <w:r>
              <w:rPr>
                <w:rFonts w:hint="eastAsia" w:ascii="宋体" w:hAnsi="宋体" w:eastAsia="宋体" w:cs="宋体"/>
                <w:color w:val="auto"/>
                <w:spacing w:val="-2"/>
                <w:sz w:val="20"/>
                <w:szCs w:val="20"/>
              </w:rPr>
              <w:t>定的其他无效响应情形。</w:t>
            </w:r>
          </w:p>
        </w:tc>
        <w:tc>
          <w:tcPr>
            <w:tcW w:w="4642" w:type="dxa"/>
            <w:shd w:val="clear" w:color="auto" w:fill="auto"/>
            <w:vAlign w:val="top"/>
          </w:tcPr>
          <w:p w14:paraId="1D2DA86F">
            <w:pPr>
              <w:pStyle w:val="13"/>
              <w:spacing w:before="106" w:line="236" w:lineRule="auto"/>
              <w:ind w:left="111" w:leftChars="0" w:right="102" w:rightChars="0" w:firstLine="2" w:firstLineChars="0"/>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pacing w:val="-5"/>
                <w:sz w:val="20"/>
                <w:szCs w:val="20"/>
              </w:rPr>
              <w:t>不存在法律、法规和采购文件规定的其他无效响应</w:t>
            </w:r>
            <w:r>
              <w:rPr>
                <w:rFonts w:hint="eastAsia" w:ascii="宋体" w:hAnsi="宋体" w:eastAsia="宋体" w:cs="宋体"/>
                <w:color w:val="auto"/>
                <w:spacing w:val="16"/>
                <w:sz w:val="20"/>
                <w:szCs w:val="20"/>
              </w:rPr>
              <w:t xml:space="preserve"> </w:t>
            </w:r>
            <w:r>
              <w:rPr>
                <w:rFonts w:hint="eastAsia" w:ascii="宋体" w:hAnsi="宋体" w:eastAsia="宋体" w:cs="宋体"/>
                <w:color w:val="auto"/>
                <w:spacing w:val="-3"/>
                <w:sz w:val="20"/>
                <w:szCs w:val="20"/>
              </w:rPr>
              <w:t>情形。</w:t>
            </w:r>
          </w:p>
        </w:tc>
      </w:tr>
    </w:tbl>
    <w:p w14:paraId="0BB6BF1C">
      <w:pPr>
        <w:spacing w:before="31"/>
        <w:rPr>
          <w:rFonts w:hint="eastAsia" w:ascii="宋体" w:hAnsi="宋体" w:eastAsia="宋体" w:cs="宋体"/>
          <w:color w:val="auto"/>
        </w:rPr>
      </w:pPr>
    </w:p>
    <w:p w14:paraId="45ACB924">
      <w:pPr>
        <w:spacing w:before="30"/>
        <w:rPr>
          <w:rFonts w:hint="eastAsia" w:ascii="宋体" w:hAnsi="宋体" w:eastAsia="宋体" w:cs="宋体"/>
          <w:color w:val="auto"/>
        </w:rPr>
      </w:pPr>
    </w:p>
    <w:p w14:paraId="11505594">
      <w:pPr>
        <w:pStyle w:val="4"/>
        <w:spacing w:before="35" w:line="221" w:lineRule="auto"/>
        <w:ind w:left="14"/>
        <w:rPr>
          <w:rFonts w:hint="eastAsia" w:ascii="宋体" w:hAnsi="宋体" w:eastAsia="宋体" w:cs="宋体"/>
          <w:color w:val="auto"/>
          <w:sz w:val="24"/>
          <w:szCs w:val="24"/>
        </w:rPr>
      </w:pPr>
      <w:r>
        <w:rPr>
          <w:rFonts w:hint="eastAsia" w:ascii="宋体" w:hAnsi="宋体" w:eastAsia="宋体" w:cs="宋体"/>
          <w:color w:val="auto"/>
          <w:spacing w:val="-5"/>
          <w:sz w:val="24"/>
          <w:szCs w:val="24"/>
        </w:rPr>
        <w:t>备注：</w:t>
      </w:r>
    </w:p>
    <w:p w14:paraId="768BB1A0">
      <w:pPr>
        <w:pStyle w:val="4"/>
        <w:spacing w:before="178" w:line="219" w:lineRule="auto"/>
        <w:ind w:left="508"/>
        <w:rPr>
          <w:rFonts w:hint="eastAsia" w:ascii="宋体" w:hAnsi="宋体" w:eastAsia="宋体" w:cs="宋体"/>
          <w:color w:val="auto"/>
          <w:sz w:val="24"/>
          <w:szCs w:val="24"/>
        </w:rPr>
      </w:pPr>
      <w:r>
        <w:rPr>
          <w:rFonts w:hint="eastAsia" w:ascii="宋体" w:hAnsi="宋体" w:eastAsia="宋体" w:cs="宋体"/>
          <w:color w:val="auto"/>
          <w:spacing w:val="-1"/>
          <w:sz w:val="24"/>
          <w:szCs w:val="24"/>
        </w:rPr>
        <w:t>1.磋商小组分别对每一响应文件依据上表</w:t>
      </w:r>
      <w:r>
        <w:rPr>
          <w:rFonts w:hint="eastAsia" w:ascii="宋体" w:hAnsi="宋体" w:eastAsia="宋体" w:cs="宋体"/>
          <w:color w:val="auto"/>
          <w:spacing w:val="-2"/>
          <w:sz w:val="24"/>
          <w:szCs w:val="24"/>
        </w:rPr>
        <w:t>进行检查。</w:t>
      </w:r>
    </w:p>
    <w:p w14:paraId="2A9B7B60">
      <w:pPr>
        <w:pStyle w:val="4"/>
        <w:spacing w:before="183" w:line="345" w:lineRule="auto"/>
        <w:ind w:left="15" w:right="200" w:firstLine="478"/>
        <w:rPr>
          <w:rFonts w:hint="eastAsia" w:ascii="宋体" w:hAnsi="宋体" w:eastAsia="宋体" w:cs="宋体"/>
          <w:color w:val="auto"/>
          <w:sz w:val="24"/>
          <w:szCs w:val="24"/>
        </w:rPr>
      </w:pPr>
      <w:r>
        <w:rPr>
          <w:rFonts w:hint="eastAsia" w:ascii="宋体" w:hAnsi="宋体" w:eastAsia="宋体" w:cs="宋体"/>
          <w:color w:val="auto"/>
          <w:spacing w:val="-4"/>
          <w:sz w:val="24"/>
          <w:szCs w:val="24"/>
        </w:rPr>
        <w:t>2.磋商小组决定投标的响应性只根据响应文件本身的真实无误的内容，而不依据</w:t>
      </w:r>
      <w:r>
        <w:rPr>
          <w:rFonts w:hint="eastAsia" w:ascii="宋体" w:hAnsi="宋体" w:eastAsia="宋体" w:cs="宋体"/>
          <w:color w:val="auto"/>
          <w:spacing w:val="17"/>
          <w:sz w:val="24"/>
          <w:szCs w:val="24"/>
        </w:rPr>
        <w:t xml:space="preserve"> </w:t>
      </w:r>
      <w:r>
        <w:rPr>
          <w:rFonts w:hint="eastAsia" w:ascii="宋体" w:hAnsi="宋体" w:eastAsia="宋体" w:cs="宋体"/>
          <w:color w:val="auto"/>
          <w:spacing w:val="-1"/>
          <w:sz w:val="24"/>
          <w:szCs w:val="24"/>
        </w:rPr>
        <w:t>外部的证据，但响应文件有不真实不正确的内容时除外。</w:t>
      </w:r>
    </w:p>
    <w:p w14:paraId="5DDA6360">
      <w:pPr>
        <w:pStyle w:val="4"/>
        <w:spacing w:before="37" w:line="216" w:lineRule="auto"/>
        <w:ind w:left="495"/>
        <w:rPr>
          <w:rFonts w:hint="eastAsia" w:ascii="宋体" w:hAnsi="宋体" w:eastAsia="宋体" w:cs="宋体"/>
          <w:color w:val="auto"/>
          <w:sz w:val="24"/>
          <w:szCs w:val="24"/>
        </w:rPr>
      </w:pPr>
      <w:r>
        <w:rPr>
          <w:rFonts w:hint="eastAsia" w:ascii="宋体" w:hAnsi="宋体" w:eastAsia="宋体" w:cs="宋体"/>
          <w:color w:val="auto"/>
          <w:spacing w:val="-11"/>
          <w:sz w:val="24"/>
          <w:szCs w:val="24"/>
        </w:rPr>
        <w:t>3.满足要求的条款打“</w:t>
      </w:r>
      <w:r>
        <w:rPr>
          <w:rFonts w:hint="eastAsia" w:ascii="宋体" w:hAnsi="宋体" w:eastAsia="宋体" w:cs="宋体"/>
          <w:color w:val="auto"/>
          <w:spacing w:val="-49"/>
          <w:sz w:val="24"/>
          <w:szCs w:val="24"/>
        </w:rPr>
        <w:t xml:space="preserve"> </w:t>
      </w:r>
      <w:r>
        <w:rPr>
          <w:rFonts w:hint="eastAsia" w:ascii="宋体" w:hAnsi="宋体" w:eastAsia="宋体" w:cs="宋体"/>
          <w:color w:val="auto"/>
          <w:spacing w:val="-11"/>
          <w:sz w:val="24"/>
          <w:szCs w:val="24"/>
        </w:rPr>
        <w:t>√</w:t>
      </w:r>
      <w:r>
        <w:rPr>
          <w:rFonts w:hint="eastAsia" w:ascii="宋体" w:hAnsi="宋体" w:eastAsia="宋体" w:cs="宋体"/>
          <w:color w:val="auto"/>
          <w:spacing w:val="-88"/>
          <w:sz w:val="24"/>
          <w:szCs w:val="24"/>
        </w:rPr>
        <w:t xml:space="preserve"> </w:t>
      </w:r>
      <w:r>
        <w:rPr>
          <w:rFonts w:hint="eastAsia" w:ascii="宋体" w:hAnsi="宋体" w:eastAsia="宋体" w:cs="宋体"/>
          <w:color w:val="auto"/>
          <w:spacing w:val="-11"/>
          <w:sz w:val="24"/>
          <w:szCs w:val="24"/>
        </w:rPr>
        <w:t>”,</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11"/>
          <w:sz w:val="24"/>
          <w:szCs w:val="24"/>
        </w:rPr>
        <w:t>否则为“</w:t>
      </w:r>
      <w:r>
        <w:rPr>
          <w:rFonts w:hint="eastAsia" w:ascii="宋体" w:hAnsi="宋体" w:eastAsia="宋体" w:cs="宋体"/>
          <w:color w:val="auto"/>
          <w:spacing w:val="-77"/>
          <w:sz w:val="24"/>
          <w:szCs w:val="24"/>
        </w:rPr>
        <w:t xml:space="preserve"> </w:t>
      </w:r>
      <w:r>
        <w:rPr>
          <w:rFonts w:hint="eastAsia" w:ascii="宋体" w:hAnsi="宋体" w:eastAsia="宋体" w:cs="宋体"/>
          <w:color w:val="auto"/>
          <w:spacing w:val="-11"/>
          <w:sz w:val="24"/>
          <w:szCs w:val="24"/>
        </w:rPr>
        <w:t>×</w:t>
      </w:r>
      <w:r>
        <w:rPr>
          <w:rFonts w:hint="eastAsia" w:ascii="宋体" w:hAnsi="宋体" w:eastAsia="宋体" w:cs="宋体"/>
          <w:color w:val="auto"/>
          <w:spacing w:val="-88"/>
          <w:sz w:val="24"/>
          <w:szCs w:val="24"/>
        </w:rPr>
        <w:t xml:space="preserve"> </w:t>
      </w:r>
      <w:r>
        <w:rPr>
          <w:rFonts w:hint="eastAsia" w:ascii="宋体" w:hAnsi="宋体" w:eastAsia="宋体" w:cs="宋体"/>
          <w:color w:val="auto"/>
          <w:spacing w:val="-11"/>
          <w:sz w:val="24"/>
          <w:szCs w:val="24"/>
        </w:rPr>
        <w:t>”。</w:t>
      </w:r>
    </w:p>
    <w:p w14:paraId="35ABD1FB">
      <w:pPr>
        <w:pStyle w:val="4"/>
        <w:spacing w:before="185" w:line="219" w:lineRule="auto"/>
        <w:jc w:val="right"/>
        <w:rPr>
          <w:rFonts w:hint="eastAsia" w:ascii="宋体" w:hAnsi="宋体" w:eastAsia="宋体" w:cs="宋体"/>
          <w:color w:val="auto"/>
          <w:sz w:val="24"/>
          <w:szCs w:val="24"/>
        </w:rPr>
      </w:pPr>
      <w:r>
        <w:rPr>
          <w:rFonts w:hint="eastAsia" w:ascii="宋体" w:hAnsi="宋体" w:eastAsia="宋体" w:cs="宋体"/>
          <w:color w:val="auto"/>
          <w:spacing w:val="-4"/>
          <w:sz w:val="24"/>
          <w:szCs w:val="24"/>
        </w:rPr>
        <w:t>4.对于响应文件中有任意一条不满足要求将导致</w:t>
      </w:r>
      <w:r>
        <w:rPr>
          <w:rFonts w:hint="eastAsia" w:ascii="宋体" w:hAnsi="宋体" w:eastAsia="宋体" w:cs="宋体"/>
          <w:color w:val="auto"/>
          <w:spacing w:val="-5"/>
          <w:sz w:val="24"/>
          <w:szCs w:val="24"/>
        </w:rPr>
        <w:t>其投标无效，不进入下一项评审。</w:t>
      </w:r>
    </w:p>
    <w:p w14:paraId="58CA3329">
      <w:pPr>
        <w:spacing w:line="219" w:lineRule="auto"/>
        <w:rPr>
          <w:rFonts w:hint="eastAsia" w:ascii="宋体" w:hAnsi="宋体" w:eastAsia="宋体" w:cs="宋体"/>
          <w:color w:val="auto"/>
          <w:sz w:val="24"/>
          <w:szCs w:val="24"/>
        </w:rPr>
        <w:sectPr>
          <w:footerReference r:id="rId7" w:type="default"/>
          <w:pgSz w:w="11907" w:h="16840"/>
          <w:pgMar w:top="1196" w:right="1370" w:bottom="1171" w:left="1567" w:header="911" w:footer="898" w:gutter="0"/>
          <w:pgNumType w:fmt="decimal"/>
          <w:cols w:space="720" w:num="1"/>
        </w:sectPr>
      </w:pPr>
    </w:p>
    <w:p w14:paraId="6FB9BA03">
      <w:pPr>
        <w:spacing w:before="291" w:line="227" w:lineRule="auto"/>
        <w:ind w:left="504"/>
        <w:outlineLvl w:val="1"/>
        <w:rPr>
          <w:rFonts w:hint="eastAsia" w:ascii="宋体" w:hAnsi="宋体" w:eastAsia="宋体" w:cs="宋体"/>
          <w:color w:val="auto"/>
          <w:sz w:val="31"/>
          <w:szCs w:val="31"/>
        </w:rPr>
      </w:pPr>
      <w:bookmarkStart w:id="13" w:name="bookmark147"/>
      <w:bookmarkEnd w:id="13"/>
      <w:bookmarkStart w:id="14" w:name="bookmark148"/>
      <w:bookmarkEnd w:id="14"/>
      <w:r>
        <w:rPr>
          <w:rFonts w:hint="eastAsia" w:ascii="宋体" w:hAnsi="宋体" w:eastAsia="宋体" w:cs="宋体"/>
          <w:b/>
          <w:bCs/>
          <w:color w:val="auto"/>
          <w:spacing w:val="2"/>
          <w:sz w:val="31"/>
          <w:szCs w:val="31"/>
        </w:rPr>
        <w:t>（三）详细评审</w:t>
      </w:r>
    </w:p>
    <w:p w14:paraId="75A2D0EB">
      <w:pPr>
        <w:spacing w:before="111"/>
        <w:ind w:firstLine="210" w:firstLineChars="100"/>
        <w:rPr>
          <w:rFonts w:hint="eastAsia" w:ascii="宋体" w:hAnsi="宋体" w:eastAsia="宋体" w:cs="宋体"/>
          <w:color w:val="auto"/>
          <w:lang w:val="en-US" w:eastAsia="zh-CN"/>
        </w:rPr>
      </w:pPr>
      <w:r>
        <w:rPr>
          <w:rFonts w:hint="eastAsia" w:ascii="宋体" w:hAnsi="宋体" w:eastAsia="宋体" w:cs="宋体"/>
          <w:color w:val="auto"/>
          <w:lang w:val="en-US" w:eastAsia="zh-CN"/>
        </w:rPr>
        <w:t>1、评分标准</w:t>
      </w:r>
    </w:p>
    <w:tbl>
      <w:tblPr>
        <w:tblStyle w:val="9"/>
        <w:tblW w:w="96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9"/>
        <w:gridCol w:w="1300"/>
        <w:gridCol w:w="840"/>
        <w:gridCol w:w="6342"/>
      </w:tblGrid>
      <w:tr w14:paraId="7F71E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1189" w:type="dxa"/>
            <w:noWrap w:val="0"/>
            <w:vAlign w:val="center"/>
          </w:tcPr>
          <w:p w14:paraId="554BE2B6">
            <w:pPr>
              <w:pStyle w:val="15"/>
              <w:keepNext w:val="0"/>
              <w:keepLines w:val="0"/>
              <w:pageBreakBefore w:val="0"/>
              <w:widowControl w:val="0"/>
              <w:kinsoku/>
              <w:wordWrap/>
              <w:overflowPunct/>
              <w:topLinePunct w:val="0"/>
              <w:autoSpaceDE w:val="0"/>
              <w:autoSpaceDN w:val="0"/>
              <w:bidi w:val="0"/>
              <w:adjustRightInd/>
              <w:snapToGrid/>
              <w:spacing w:before="163" w:line="240" w:lineRule="exact"/>
              <w:ind w:left="272"/>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评审项目</w:t>
            </w:r>
          </w:p>
        </w:tc>
        <w:tc>
          <w:tcPr>
            <w:tcW w:w="1300" w:type="dxa"/>
            <w:noWrap w:val="0"/>
            <w:vAlign w:val="center"/>
          </w:tcPr>
          <w:p w14:paraId="4DBC56B3">
            <w:pPr>
              <w:pStyle w:val="15"/>
              <w:keepNext w:val="0"/>
              <w:keepLines w:val="0"/>
              <w:pageBreakBefore w:val="0"/>
              <w:widowControl w:val="0"/>
              <w:kinsoku/>
              <w:wordWrap/>
              <w:overflowPunct/>
              <w:topLinePunct w:val="0"/>
              <w:autoSpaceDE w:val="0"/>
              <w:autoSpaceDN w:val="0"/>
              <w:bidi w:val="0"/>
              <w:adjustRightInd/>
              <w:snapToGrid/>
              <w:spacing w:before="163" w:line="240" w:lineRule="exact"/>
              <w:ind w:left="204" w:right="198"/>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评审分项</w:t>
            </w:r>
          </w:p>
        </w:tc>
        <w:tc>
          <w:tcPr>
            <w:tcW w:w="840" w:type="dxa"/>
            <w:noWrap w:val="0"/>
            <w:vAlign w:val="center"/>
          </w:tcPr>
          <w:p w14:paraId="6F9092D4">
            <w:pPr>
              <w:pStyle w:val="15"/>
              <w:keepNext w:val="0"/>
              <w:keepLines w:val="0"/>
              <w:pageBreakBefore w:val="0"/>
              <w:widowControl w:val="0"/>
              <w:kinsoku/>
              <w:wordWrap/>
              <w:overflowPunct/>
              <w:topLinePunct w:val="0"/>
              <w:autoSpaceDE w:val="0"/>
              <w:autoSpaceDN w:val="0"/>
              <w:bidi w:val="0"/>
              <w:adjustRightInd/>
              <w:snapToGrid/>
              <w:spacing w:before="163" w:line="240" w:lineRule="exact"/>
              <w:ind w:left="204" w:right="198"/>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分值</w:t>
            </w:r>
          </w:p>
        </w:tc>
        <w:tc>
          <w:tcPr>
            <w:tcW w:w="6342" w:type="dxa"/>
            <w:noWrap w:val="0"/>
            <w:vAlign w:val="center"/>
          </w:tcPr>
          <w:p w14:paraId="48FFEB57">
            <w:pPr>
              <w:pStyle w:val="15"/>
              <w:keepNext w:val="0"/>
              <w:keepLines w:val="0"/>
              <w:pageBreakBefore w:val="0"/>
              <w:widowControl w:val="0"/>
              <w:kinsoku/>
              <w:wordWrap/>
              <w:overflowPunct/>
              <w:topLinePunct w:val="0"/>
              <w:autoSpaceDE w:val="0"/>
              <w:autoSpaceDN w:val="0"/>
              <w:bidi w:val="0"/>
              <w:adjustRightInd/>
              <w:snapToGrid/>
              <w:spacing w:before="163" w:line="240" w:lineRule="exact"/>
              <w:ind w:left="2205" w:right="2196"/>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子项目积分值</w:t>
            </w:r>
          </w:p>
        </w:tc>
      </w:tr>
      <w:tr w14:paraId="560CE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 w:hRule="atLeast"/>
          <w:jc w:val="center"/>
        </w:trPr>
        <w:tc>
          <w:tcPr>
            <w:tcW w:w="1189" w:type="dxa"/>
            <w:noWrap w:val="0"/>
            <w:vAlign w:val="center"/>
          </w:tcPr>
          <w:p w14:paraId="5BFED235">
            <w:pPr>
              <w:pStyle w:val="15"/>
              <w:keepNext w:val="0"/>
              <w:keepLines w:val="0"/>
              <w:pageBreakBefore w:val="0"/>
              <w:widowControl w:val="0"/>
              <w:kinsoku/>
              <w:wordWrap/>
              <w:overflowPunct/>
              <w:topLinePunct w:val="0"/>
              <w:autoSpaceDE w:val="0"/>
              <w:autoSpaceDN w:val="0"/>
              <w:bidi w:val="0"/>
              <w:adjustRightInd/>
              <w:snapToGrid/>
              <w:spacing w:before="2" w:line="240" w:lineRule="exact"/>
              <w:jc w:val="both"/>
              <w:textAlignment w:val="auto"/>
              <w:rPr>
                <w:rFonts w:hint="eastAsia" w:ascii="宋体" w:hAnsi="宋体" w:eastAsia="宋体" w:cs="宋体"/>
                <w:b/>
                <w:color w:val="auto"/>
                <w:sz w:val="20"/>
                <w:szCs w:val="20"/>
                <w:highlight w:val="none"/>
              </w:rPr>
            </w:pPr>
          </w:p>
          <w:p w14:paraId="5B8A26F6">
            <w:pPr>
              <w:pStyle w:val="15"/>
              <w:keepNext w:val="0"/>
              <w:keepLines w:val="0"/>
              <w:pageBreakBefore w:val="0"/>
              <w:widowControl w:val="0"/>
              <w:kinsoku/>
              <w:wordWrap/>
              <w:overflowPunct/>
              <w:topLinePunct w:val="0"/>
              <w:autoSpaceDE w:val="0"/>
              <w:autoSpaceDN w:val="0"/>
              <w:bidi w:val="0"/>
              <w:adjustRightInd/>
              <w:snapToGrid/>
              <w:spacing w:before="1" w:line="240" w:lineRule="exact"/>
              <w:ind w:left="272"/>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w w:val="95"/>
                <w:sz w:val="20"/>
                <w:szCs w:val="20"/>
                <w:highlight w:val="none"/>
              </w:rPr>
              <w:t>价格部分</w:t>
            </w:r>
          </w:p>
          <w:p w14:paraId="69284039">
            <w:pPr>
              <w:pStyle w:val="15"/>
              <w:keepNext w:val="0"/>
              <w:keepLines w:val="0"/>
              <w:pageBreakBefore w:val="0"/>
              <w:widowControl w:val="0"/>
              <w:kinsoku/>
              <w:wordWrap/>
              <w:overflowPunct/>
              <w:topLinePunct w:val="0"/>
              <w:autoSpaceDE w:val="0"/>
              <w:autoSpaceDN w:val="0"/>
              <w:bidi w:val="0"/>
              <w:adjustRightInd/>
              <w:snapToGrid/>
              <w:spacing w:before="4" w:line="240" w:lineRule="exact"/>
              <w:ind w:left="272"/>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w w:val="95"/>
                <w:sz w:val="20"/>
                <w:szCs w:val="20"/>
                <w:highlight w:val="none"/>
              </w:rPr>
              <w:t>（</w:t>
            </w:r>
            <w:r>
              <w:rPr>
                <w:rFonts w:hint="eastAsia" w:ascii="宋体" w:hAnsi="宋体" w:eastAsia="宋体" w:cs="宋体"/>
                <w:color w:val="auto"/>
                <w:w w:val="95"/>
                <w:sz w:val="20"/>
                <w:szCs w:val="20"/>
                <w:highlight w:val="none"/>
                <w:lang w:val="en-US" w:eastAsia="zh-CN"/>
              </w:rPr>
              <w:t>30</w:t>
            </w:r>
            <w:r>
              <w:rPr>
                <w:rFonts w:hint="eastAsia" w:ascii="宋体" w:hAnsi="宋体" w:eastAsia="宋体" w:cs="宋体"/>
                <w:color w:val="auto"/>
                <w:w w:val="95"/>
                <w:sz w:val="20"/>
                <w:szCs w:val="20"/>
                <w:highlight w:val="none"/>
              </w:rPr>
              <w:t>分）</w:t>
            </w:r>
          </w:p>
        </w:tc>
        <w:tc>
          <w:tcPr>
            <w:tcW w:w="1300" w:type="dxa"/>
            <w:noWrap w:val="0"/>
            <w:vAlign w:val="center"/>
          </w:tcPr>
          <w:p w14:paraId="404C57A0">
            <w:pPr>
              <w:pStyle w:val="15"/>
              <w:keepNext w:val="0"/>
              <w:keepLines w:val="0"/>
              <w:pageBreakBefore w:val="0"/>
              <w:widowControl w:val="0"/>
              <w:kinsoku/>
              <w:wordWrap/>
              <w:overflowPunct/>
              <w:topLinePunct w:val="0"/>
              <w:autoSpaceDE w:val="0"/>
              <w:autoSpaceDN w:val="0"/>
              <w:bidi w:val="0"/>
              <w:adjustRightInd/>
              <w:snapToGrid/>
              <w:spacing w:before="152" w:line="240" w:lineRule="exact"/>
              <w:ind w:left="202" w:right="198" w:firstLine="200" w:firstLineChars="1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投标报价得分</w:t>
            </w:r>
          </w:p>
        </w:tc>
        <w:tc>
          <w:tcPr>
            <w:tcW w:w="840" w:type="dxa"/>
            <w:noWrap w:val="0"/>
            <w:vAlign w:val="center"/>
          </w:tcPr>
          <w:p w14:paraId="064E8FCE">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30分</w:t>
            </w:r>
          </w:p>
        </w:tc>
        <w:tc>
          <w:tcPr>
            <w:tcW w:w="6342" w:type="dxa"/>
            <w:noWrap w:val="0"/>
            <w:vAlign w:val="center"/>
          </w:tcPr>
          <w:p w14:paraId="32BFCAFE">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132"/>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满足磋商文件要求且投标价格最低的投标报价为评标基准</w:t>
            </w:r>
            <w:r>
              <w:rPr>
                <w:rFonts w:hint="eastAsia" w:ascii="宋体" w:hAnsi="宋体" w:eastAsia="宋体" w:cs="宋体"/>
                <w:color w:val="auto"/>
                <w:w w:val="95"/>
                <w:sz w:val="20"/>
                <w:szCs w:val="20"/>
                <w:highlight w:val="none"/>
              </w:rPr>
              <w:t>价，其价格分为满分</w:t>
            </w:r>
            <w:r>
              <w:rPr>
                <w:rFonts w:hint="eastAsia" w:ascii="宋体" w:hAnsi="宋体" w:eastAsia="宋体" w:cs="宋体"/>
                <w:color w:val="auto"/>
                <w:w w:val="95"/>
                <w:sz w:val="20"/>
                <w:szCs w:val="20"/>
                <w:highlight w:val="none"/>
                <w:lang w:val="en-US" w:eastAsia="zh-CN"/>
              </w:rPr>
              <w:t>30</w:t>
            </w:r>
            <w:r>
              <w:rPr>
                <w:rFonts w:hint="eastAsia" w:ascii="宋体" w:hAnsi="宋体" w:eastAsia="宋体" w:cs="宋体"/>
                <w:color w:val="auto"/>
                <w:w w:val="95"/>
                <w:sz w:val="20"/>
                <w:szCs w:val="20"/>
                <w:highlight w:val="none"/>
              </w:rPr>
              <w:t>分。其他合格供应商的投标报价得分按如下公式计算：投标报价得分=（评标基准价/投标报价）</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30</w:t>
            </w:r>
          </w:p>
        </w:tc>
      </w:tr>
      <w:tr w14:paraId="13965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1189" w:type="dxa"/>
            <w:vMerge w:val="restart"/>
            <w:noWrap w:val="0"/>
            <w:vAlign w:val="center"/>
          </w:tcPr>
          <w:p w14:paraId="27C51D1C">
            <w:pPr>
              <w:pStyle w:val="15"/>
              <w:keepNext w:val="0"/>
              <w:keepLines w:val="0"/>
              <w:pageBreakBefore w:val="0"/>
              <w:widowControl w:val="0"/>
              <w:kinsoku/>
              <w:wordWrap/>
              <w:overflowPunct/>
              <w:topLinePunct w:val="0"/>
              <w:autoSpaceDE w:val="0"/>
              <w:autoSpaceDN w:val="0"/>
              <w:bidi w:val="0"/>
              <w:adjustRightInd/>
              <w:snapToGrid/>
              <w:spacing w:before="4" w:line="240" w:lineRule="exact"/>
              <w:jc w:val="both"/>
              <w:textAlignment w:val="auto"/>
              <w:rPr>
                <w:rFonts w:hint="eastAsia" w:ascii="宋体" w:hAnsi="宋体" w:eastAsia="宋体" w:cs="宋体"/>
                <w:b/>
                <w:color w:val="auto"/>
                <w:sz w:val="20"/>
                <w:szCs w:val="20"/>
                <w:highlight w:val="none"/>
              </w:rPr>
            </w:pPr>
          </w:p>
          <w:p w14:paraId="0E0189E9">
            <w:pPr>
              <w:pStyle w:val="15"/>
              <w:keepNext w:val="0"/>
              <w:keepLines w:val="0"/>
              <w:pageBreakBefore w:val="0"/>
              <w:widowControl w:val="0"/>
              <w:kinsoku/>
              <w:wordWrap/>
              <w:overflowPunct/>
              <w:topLinePunct w:val="0"/>
              <w:autoSpaceDE w:val="0"/>
              <w:autoSpaceDN w:val="0"/>
              <w:bidi w:val="0"/>
              <w:adjustRightInd/>
              <w:snapToGrid/>
              <w:spacing w:line="240" w:lineRule="exact"/>
              <w:ind w:left="272"/>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w w:val="95"/>
                <w:sz w:val="20"/>
                <w:szCs w:val="20"/>
                <w:highlight w:val="none"/>
              </w:rPr>
              <w:t>商务部分</w:t>
            </w:r>
          </w:p>
          <w:p w14:paraId="2BBF7513">
            <w:pPr>
              <w:pStyle w:val="15"/>
              <w:keepNext w:val="0"/>
              <w:keepLines w:val="0"/>
              <w:pageBreakBefore w:val="0"/>
              <w:widowControl w:val="0"/>
              <w:kinsoku/>
              <w:wordWrap/>
              <w:overflowPunct/>
              <w:topLinePunct w:val="0"/>
              <w:autoSpaceDE w:val="0"/>
              <w:autoSpaceDN w:val="0"/>
              <w:bidi w:val="0"/>
              <w:adjustRightInd/>
              <w:snapToGrid/>
              <w:spacing w:before="2" w:line="240" w:lineRule="exact"/>
              <w:ind w:left="272"/>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w w:val="95"/>
                <w:sz w:val="20"/>
                <w:szCs w:val="20"/>
                <w:highlight w:val="none"/>
              </w:rPr>
              <w:t>（</w:t>
            </w:r>
            <w:r>
              <w:rPr>
                <w:rFonts w:hint="eastAsia" w:ascii="宋体" w:hAnsi="宋体" w:eastAsia="宋体" w:cs="宋体"/>
                <w:color w:val="auto"/>
                <w:w w:val="95"/>
                <w:sz w:val="20"/>
                <w:szCs w:val="20"/>
                <w:highlight w:val="none"/>
                <w:lang w:val="en-US" w:eastAsia="zh-CN"/>
              </w:rPr>
              <w:t>10</w:t>
            </w:r>
            <w:r>
              <w:rPr>
                <w:rFonts w:hint="eastAsia" w:ascii="宋体" w:hAnsi="宋体" w:eastAsia="宋体" w:cs="宋体"/>
                <w:color w:val="auto"/>
                <w:w w:val="95"/>
                <w:sz w:val="20"/>
                <w:szCs w:val="20"/>
                <w:highlight w:val="none"/>
              </w:rPr>
              <w:t>分）</w:t>
            </w:r>
          </w:p>
        </w:tc>
        <w:tc>
          <w:tcPr>
            <w:tcW w:w="1300" w:type="dxa"/>
            <w:noWrap w:val="0"/>
            <w:vAlign w:val="center"/>
          </w:tcPr>
          <w:p w14:paraId="42B9FF9F">
            <w:pPr>
              <w:pStyle w:val="15"/>
              <w:keepNext w:val="0"/>
              <w:keepLines w:val="0"/>
              <w:pageBreakBefore w:val="0"/>
              <w:widowControl w:val="0"/>
              <w:kinsoku/>
              <w:wordWrap/>
              <w:overflowPunct/>
              <w:topLinePunct w:val="0"/>
              <w:autoSpaceDE w:val="0"/>
              <w:autoSpaceDN w:val="0"/>
              <w:bidi w:val="0"/>
              <w:adjustRightInd/>
              <w:snapToGrid/>
              <w:spacing w:before="171" w:line="240" w:lineRule="exact"/>
              <w:ind w:left="202" w:right="198" w:firstLine="200" w:firstLineChars="1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企业类似业绩</w:t>
            </w:r>
          </w:p>
        </w:tc>
        <w:tc>
          <w:tcPr>
            <w:tcW w:w="840" w:type="dxa"/>
            <w:noWrap w:val="0"/>
            <w:vAlign w:val="center"/>
          </w:tcPr>
          <w:p w14:paraId="0613BD73">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分</w:t>
            </w:r>
          </w:p>
        </w:tc>
        <w:tc>
          <w:tcPr>
            <w:tcW w:w="6342" w:type="dxa"/>
            <w:noWrap w:val="0"/>
            <w:vAlign w:val="center"/>
          </w:tcPr>
          <w:p w14:paraId="2523AA86">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w w:val="95"/>
                <w:sz w:val="20"/>
                <w:szCs w:val="20"/>
                <w:highlight w:val="none"/>
              </w:rPr>
              <w:t>投标人近三年具有类似项目</w:t>
            </w:r>
            <w:r>
              <w:rPr>
                <w:rFonts w:hint="eastAsia" w:ascii="宋体" w:hAnsi="宋体" w:eastAsia="宋体" w:cs="宋体"/>
                <w:color w:val="auto"/>
                <w:w w:val="95"/>
                <w:sz w:val="20"/>
                <w:szCs w:val="20"/>
                <w:highlight w:val="none"/>
                <w:lang w:val="en-US" w:eastAsia="zh-CN"/>
              </w:rPr>
              <w:t>市政工程或市政维修或整治工程</w:t>
            </w:r>
            <w:r>
              <w:rPr>
                <w:rFonts w:hint="eastAsia" w:ascii="宋体" w:hAnsi="宋体" w:eastAsia="宋体" w:cs="宋体"/>
                <w:color w:val="auto"/>
                <w:w w:val="95"/>
                <w:sz w:val="20"/>
                <w:szCs w:val="20"/>
                <w:highlight w:val="none"/>
              </w:rPr>
              <w:t>业绩，每提供一个得</w:t>
            </w:r>
            <w:r>
              <w:rPr>
                <w:rFonts w:hint="eastAsia" w:ascii="宋体" w:hAnsi="宋体" w:eastAsia="宋体" w:cs="宋体"/>
                <w:color w:val="auto"/>
                <w:w w:val="95"/>
                <w:sz w:val="20"/>
                <w:szCs w:val="20"/>
                <w:highlight w:val="none"/>
                <w:lang w:val="en-US" w:eastAsia="zh-CN"/>
              </w:rPr>
              <w:t>1</w:t>
            </w:r>
            <w:r>
              <w:rPr>
                <w:rFonts w:hint="eastAsia" w:ascii="宋体" w:hAnsi="宋体" w:eastAsia="宋体" w:cs="宋体"/>
                <w:color w:val="auto"/>
                <w:w w:val="95"/>
                <w:sz w:val="20"/>
                <w:szCs w:val="20"/>
                <w:highlight w:val="none"/>
              </w:rPr>
              <w:t>分，最高得</w:t>
            </w:r>
            <w:r>
              <w:rPr>
                <w:rFonts w:hint="eastAsia" w:ascii="宋体" w:hAnsi="宋体" w:eastAsia="宋体" w:cs="宋体"/>
                <w:color w:val="auto"/>
                <w:w w:val="95"/>
                <w:sz w:val="20"/>
                <w:szCs w:val="20"/>
                <w:highlight w:val="none"/>
                <w:lang w:val="en-US" w:eastAsia="zh-CN"/>
              </w:rPr>
              <w:t>5</w:t>
            </w:r>
            <w:r>
              <w:rPr>
                <w:rFonts w:hint="eastAsia" w:ascii="宋体" w:hAnsi="宋体" w:eastAsia="宋体" w:cs="宋体"/>
                <w:color w:val="auto"/>
                <w:w w:val="95"/>
                <w:sz w:val="20"/>
                <w:szCs w:val="20"/>
                <w:highlight w:val="none"/>
              </w:rPr>
              <w:t>分。（业绩以签定</w:t>
            </w:r>
            <w:r>
              <w:rPr>
                <w:rFonts w:hint="eastAsia" w:ascii="宋体" w:hAnsi="宋体" w:eastAsia="宋体" w:cs="宋体"/>
                <w:color w:val="auto"/>
                <w:w w:val="95"/>
                <w:sz w:val="20"/>
                <w:szCs w:val="20"/>
                <w:highlight w:val="none"/>
                <w:lang w:eastAsia="zh-CN"/>
              </w:rPr>
              <w:t>施工</w:t>
            </w:r>
            <w:r>
              <w:rPr>
                <w:rFonts w:hint="eastAsia" w:ascii="宋体" w:hAnsi="宋体" w:eastAsia="宋体" w:cs="宋体"/>
                <w:color w:val="auto"/>
                <w:w w:val="95"/>
                <w:sz w:val="20"/>
                <w:szCs w:val="20"/>
                <w:highlight w:val="none"/>
              </w:rPr>
              <w:t>合同时间为准，提供</w:t>
            </w:r>
            <w:r>
              <w:rPr>
                <w:rFonts w:hint="eastAsia" w:ascii="宋体" w:hAnsi="宋体" w:eastAsia="宋体" w:cs="宋体"/>
                <w:color w:val="auto"/>
                <w:sz w:val="20"/>
                <w:szCs w:val="20"/>
                <w:highlight w:val="none"/>
                <w:lang w:eastAsia="zh-CN"/>
              </w:rPr>
              <w:t>施工</w:t>
            </w:r>
            <w:r>
              <w:rPr>
                <w:rFonts w:hint="eastAsia" w:ascii="宋体" w:hAnsi="宋体" w:eastAsia="宋体" w:cs="宋体"/>
                <w:color w:val="auto"/>
                <w:sz w:val="20"/>
                <w:szCs w:val="20"/>
                <w:highlight w:val="none"/>
              </w:rPr>
              <w:t>合同、</w:t>
            </w:r>
            <w:r>
              <w:rPr>
                <w:rFonts w:hint="eastAsia" w:ascii="宋体" w:hAnsi="宋体" w:eastAsia="宋体" w:cs="宋体"/>
                <w:color w:val="auto"/>
                <w:spacing w:val="-3"/>
                <w:sz w:val="20"/>
                <w:szCs w:val="20"/>
                <w:highlight w:val="none"/>
              </w:rPr>
              <w:t>竣工验收证明材料</w:t>
            </w:r>
            <w:r>
              <w:rPr>
                <w:rFonts w:hint="eastAsia" w:ascii="宋体" w:hAnsi="宋体" w:eastAsia="宋体" w:cs="宋体"/>
                <w:color w:val="auto"/>
                <w:sz w:val="20"/>
                <w:szCs w:val="20"/>
                <w:highlight w:val="none"/>
              </w:rPr>
              <w:t>）</w:t>
            </w:r>
          </w:p>
        </w:tc>
      </w:tr>
      <w:tr w14:paraId="41109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5" w:hRule="atLeast"/>
          <w:jc w:val="center"/>
        </w:trPr>
        <w:tc>
          <w:tcPr>
            <w:tcW w:w="1189" w:type="dxa"/>
            <w:vMerge w:val="continue"/>
            <w:noWrap w:val="0"/>
            <w:vAlign w:val="center"/>
          </w:tcPr>
          <w:p w14:paraId="2D42023D">
            <w:pPr>
              <w:pStyle w:val="15"/>
              <w:keepNext w:val="0"/>
              <w:keepLines w:val="0"/>
              <w:pageBreakBefore w:val="0"/>
              <w:widowControl w:val="0"/>
              <w:kinsoku/>
              <w:wordWrap/>
              <w:overflowPunct/>
              <w:topLinePunct w:val="0"/>
              <w:autoSpaceDE w:val="0"/>
              <w:autoSpaceDN w:val="0"/>
              <w:bidi w:val="0"/>
              <w:adjustRightInd/>
              <w:snapToGrid/>
              <w:spacing w:before="2" w:line="240" w:lineRule="exact"/>
              <w:ind w:left="272"/>
              <w:jc w:val="both"/>
              <w:textAlignment w:val="auto"/>
              <w:rPr>
                <w:rFonts w:hint="eastAsia" w:ascii="宋体" w:hAnsi="宋体" w:eastAsia="宋体" w:cs="宋体"/>
                <w:color w:val="auto"/>
                <w:sz w:val="20"/>
                <w:szCs w:val="20"/>
                <w:highlight w:val="none"/>
              </w:rPr>
            </w:pPr>
          </w:p>
        </w:tc>
        <w:tc>
          <w:tcPr>
            <w:tcW w:w="1300" w:type="dxa"/>
            <w:noWrap w:val="0"/>
            <w:vAlign w:val="center"/>
          </w:tcPr>
          <w:p w14:paraId="3AEF4987">
            <w:pPr>
              <w:pStyle w:val="15"/>
              <w:keepNext w:val="0"/>
              <w:keepLines w:val="0"/>
              <w:pageBreakBefore w:val="0"/>
              <w:widowControl w:val="0"/>
              <w:kinsoku/>
              <w:wordWrap/>
              <w:overflowPunct/>
              <w:topLinePunct w:val="0"/>
              <w:autoSpaceDE w:val="0"/>
              <w:autoSpaceDN w:val="0"/>
              <w:bidi w:val="0"/>
              <w:adjustRightInd/>
              <w:snapToGrid/>
              <w:spacing w:before="171" w:line="240" w:lineRule="exact"/>
              <w:ind w:left="202" w:right="198"/>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项目经理综合能力</w:t>
            </w:r>
          </w:p>
        </w:tc>
        <w:tc>
          <w:tcPr>
            <w:tcW w:w="840" w:type="dxa"/>
            <w:noWrap w:val="0"/>
            <w:vAlign w:val="center"/>
          </w:tcPr>
          <w:p w14:paraId="0E664B42">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center"/>
              <w:textAlignment w:val="auto"/>
              <w:rPr>
                <w:rFonts w:hint="default" w:ascii="宋体" w:hAnsi="宋体" w:eastAsia="宋体" w:cs="宋体"/>
                <w:color w:val="auto"/>
                <w:sz w:val="20"/>
                <w:szCs w:val="20"/>
                <w:highlight w:val="none"/>
                <w:lang w:val="en-US"/>
              </w:rPr>
            </w:pPr>
            <w:r>
              <w:rPr>
                <w:rFonts w:hint="eastAsia" w:ascii="宋体" w:hAnsi="宋体" w:eastAsia="宋体" w:cs="宋体"/>
                <w:color w:val="auto"/>
                <w:sz w:val="20"/>
                <w:szCs w:val="20"/>
                <w:highlight w:val="none"/>
                <w:lang w:val="en-US" w:eastAsia="zh-CN"/>
              </w:rPr>
              <w:t>3分</w:t>
            </w:r>
          </w:p>
        </w:tc>
        <w:tc>
          <w:tcPr>
            <w:tcW w:w="6342" w:type="dxa"/>
            <w:noWrap w:val="0"/>
            <w:vAlign w:val="center"/>
          </w:tcPr>
          <w:p w14:paraId="7DD2A246">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w w:val="95"/>
                <w:sz w:val="20"/>
                <w:szCs w:val="20"/>
                <w:highlight w:val="none"/>
                <w:lang w:val="en-US" w:eastAsia="zh-CN"/>
              </w:rPr>
              <w:t>近三年具有类似项目市政工程或市政维修或整治工程业绩，每提供一个得 1 分，最高得3分。（业绩以签定施工合同时间为准，提供施工合同、竣工验收证明材料及能体现为项目经理业绩的证明资料）</w:t>
            </w:r>
          </w:p>
        </w:tc>
      </w:tr>
      <w:tr w14:paraId="4744B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3" w:hRule="atLeast"/>
          <w:jc w:val="center"/>
        </w:trPr>
        <w:tc>
          <w:tcPr>
            <w:tcW w:w="1189" w:type="dxa"/>
            <w:vMerge w:val="continue"/>
            <w:noWrap w:val="0"/>
            <w:vAlign w:val="center"/>
          </w:tcPr>
          <w:p w14:paraId="19515F5F">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宋体" w:hAnsi="宋体" w:eastAsia="宋体" w:cs="宋体"/>
                <w:color w:val="auto"/>
                <w:sz w:val="20"/>
                <w:szCs w:val="20"/>
                <w:highlight w:val="none"/>
              </w:rPr>
            </w:pPr>
          </w:p>
        </w:tc>
        <w:tc>
          <w:tcPr>
            <w:tcW w:w="1300" w:type="dxa"/>
            <w:noWrap w:val="0"/>
            <w:vAlign w:val="center"/>
          </w:tcPr>
          <w:p w14:paraId="5CA6DA91">
            <w:pPr>
              <w:pStyle w:val="15"/>
              <w:keepNext w:val="0"/>
              <w:keepLines w:val="0"/>
              <w:pageBreakBefore w:val="0"/>
              <w:widowControl w:val="0"/>
              <w:kinsoku/>
              <w:wordWrap/>
              <w:overflowPunct/>
              <w:topLinePunct w:val="0"/>
              <w:autoSpaceDE w:val="0"/>
              <w:autoSpaceDN w:val="0"/>
              <w:bidi w:val="0"/>
              <w:adjustRightInd/>
              <w:snapToGrid/>
              <w:spacing w:before="171" w:line="240" w:lineRule="exact"/>
              <w:ind w:left="202" w:right="198"/>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施工承诺</w:t>
            </w:r>
          </w:p>
        </w:tc>
        <w:tc>
          <w:tcPr>
            <w:tcW w:w="840" w:type="dxa"/>
            <w:shd w:val="clear" w:color="auto" w:fill="auto"/>
            <w:noWrap w:val="0"/>
            <w:vAlign w:val="center"/>
          </w:tcPr>
          <w:p w14:paraId="780B3C2B">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center"/>
              <w:textAlignment w:val="auto"/>
              <w:rPr>
                <w:rFonts w:hint="eastAsia" w:ascii="宋体" w:hAnsi="宋体" w:eastAsia="宋体" w:cs="宋体"/>
                <w:snapToGrid w:val="0"/>
                <w:color w:val="auto"/>
                <w:spacing w:val="-1"/>
                <w:kern w:val="0"/>
                <w:sz w:val="28"/>
                <w:szCs w:val="28"/>
                <w:highlight w:val="none"/>
                <w:lang w:val="en-US" w:eastAsia="zh-CN"/>
              </w:rPr>
            </w:pPr>
            <w:r>
              <w:rPr>
                <w:rFonts w:hint="eastAsia" w:ascii="宋体" w:hAnsi="宋体" w:eastAsia="宋体" w:cs="宋体"/>
                <w:color w:val="auto"/>
                <w:w w:val="95"/>
                <w:sz w:val="20"/>
                <w:szCs w:val="20"/>
                <w:highlight w:val="none"/>
                <w:lang w:val="en-US" w:eastAsia="zh-CN"/>
              </w:rPr>
              <w:t>2分</w:t>
            </w:r>
          </w:p>
        </w:tc>
        <w:tc>
          <w:tcPr>
            <w:tcW w:w="6342" w:type="dxa"/>
            <w:shd w:val="clear" w:color="auto" w:fill="auto"/>
            <w:noWrap w:val="0"/>
            <w:vAlign w:val="center"/>
          </w:tcPr>
          <w:p w14:paraId="7B96D584">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en-US" w:eastAsia="zh-CN"/>
              </w:rPr>
            </w:pPr>
            <w:r>
              <w:rPr>
                <w:rFonts w:hint="eastAsia" w:ascii="宋体" w:hAnsi="宋体" w:eastAsia="宋体" w:cs="宋体"/>
                <w:color w:val="auto"/>
                <w:w w:val="95"/>
                <w:sz w:val="20"/>
                <w:szCs w:val="20"/>
                <w:highlight w:val="none"/>
                <w:lang w:val="en-US" w:eastAsia="zh-CN"/>
              </w:rPr>
              <w:t>（1）对劳务人员依法提供劳动保障和购买意外保险或者雇主险，有承诺及违约处罚得0.5分，未提供承诺或不满足得0分；</w:t>
            </w:r>
          </w:p>
          <w:p w14:paraId="3F3355AC">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en-US" w:eastAsia="zh-CN"/>
              </w:rPr>
            </w:pPr>
            <w:r>
              <w:rPr>
                <w:rFonts w:hint="eastAsia" w:ascii="宋体" w:hAnsi="宋体" w:eastAsia="宋体" w:cs="宋体"/>
                <w:color w:val="auto"/>
                <w:w w:val="95"/>
                <w:sz w:val="20"/>
                <w:szCs w:val="20"/>
                <w:highlight w:val="none"/>
                <w:lang w:val="en-US" w:eastAsia="zh-CN"/>
              </w:rPr>
              <w:t>（2）建立本项目作业专项资金，有管理措施、承诺和违约处理得0.5分，未提供承诺或管理措施不合理得0分；</w:t>
            </w:r>
          </w:p>
          <w:p w14:paraId="49518272">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snapToGrid w:val="0"/>
                <w:color w:val="auto"/>
                <w:spacing w:val="-1"/>
                <w:kern w:val="0"/>
                <w:sz w:val="28"/>
                <w:szCs w:val="28"/>
                <w:highlight w:val="none"/>
                <w:lang w:val="en-US" w:eastAsia="zh-CN"/>
              </w:rPr>
            </w:pPr>
            <w:r>
              <w:rPr>
                <w:rFonts w:hint="eastAsia" w:ascii="宋体" w:hAnsi="宋体" w:eastAsia="宋体" w:cs="宋体"/>
                <w:color w:val="auto"/>
                <w:w w:val="95"/>
                <w:sz w:val="20"/>
                <w:szCs w:val="20"/>
                <w:highlight w:val="none"/>
                <w:lang w:val="en-US" w:eastAsia="zh-CN"/>
              </w:rPr>
              <w:t>（3）根据提供包括后续支持和维护能力、对施工的保障措施，响应时间及其它优惠和承诺等具体情况，全部满足需求得2分；基本满足需求得1分。未提供承诺或维护、保障措施不合理得0分；</w:t>
            </w:r>
          </w:p>
        </w:tc>
      </w:tr>
      <w:tr w14:paraId="67FB1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7" w:hRule="atLeast"/>
          <w:jc w:val="center"/>
        </w:trPr>
        <w:tc>
          <w:tcPr>
            <w:tcW w:w="1189" w:type="dxa"/>
            <w:vMerge w:val="restart"/>
            <w:noWrap w:val="0"/>
            <w:vAlign w:val="center"/>
          </w:tcPr>
          <w:p w14:paraId="3901C5FB">
            <w:pPr>
              <w:pStyle w:val="15"/>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宋体" w:hAnsi="宋体" w:eastAsia="宋体" w:cs="宋体"/>
                <w:b/>
                <w:color w:val="auto"/>
                <w:sz w:val="20"/>
                <w:szCs w:val="20"/>
                <w:highlight w:val="none"/>
              </w:rPr>
            </w:pPr>
          </w:p>
          <w:p w14:paraId="5DB60FA0">
            <w:pPr>
              <w:pStyle w:val="15"/>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宋体" w:hAnsi="宋体" w:eastAsia="宋体" w:cs="宋体"/>
                <w:b/>
                <w:color w:val="auto"/>
                <w:sz w:val="20"/>
                <w:szCs w:val="20"/>
                <w:highlight w:val="none"/>
              </w:rPr>
            </w:pPr>
          </w:p>
          <w:p w14:paraId="647A271A">
            <w:pPr>
              <w:pStyle w:val="15"/>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宋体" w:hAnsi="宋体" w:eastAsia="宋体" w:cs="宋体"/>
                <w:b/>
                <w:color w:val="auto"/>
                <w:sz w:val="20"/>
                <w:szCs w:val="20"/>
                <w:highlight w:val="none"/>
              </w:rPr>
            </w:pPr>
          </w:p>
          <w:p w14:paraId="59477EDF">
            <w:pPr>
              <w:pStyle w:val="15"/>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宋体" w:hAnsi="宋体" w:eastAsia="宋体" w:cs="宋体"/>
                <w:b/>
                <w:color w:val="auto"/>
                <w:sz w:val="20"/>
                <w:szCs w:val="20"/>
                <w:highlight w:val="none"/>
              </w:rPr>
            </w:pPr>
          </w:p>
          <w:p w14:paraId="15A7D47C">
            <w:pPr>
              <w:pStyle w:val="15"/>
              <w:keepNext w:val="0"/>
              <w:keepLines w:val="0"/>
              <w:pageBreakBefore w:val="0"/>
              <w:widowControl w:val="0"/>
              <w:kinsoku/>
              <w:wordWrap/>
              <w:overflowPunct/>
              <w:topLinePunct w:val="0"/>
              <w:autoSpaceDE w:val="0"/>
              <w:autoSpaceDN w:val="0"/>
              <w:bidi w:val="0"/>
              <w:adjustRightInd/>
              <w:snapToGrid/>
              <w:spacing w:before="11" w:line="240" w:lineRule="exact"/>
              <w:jc w:val="both"/>
              <w:textAlignment w:val="auto"/>
              <w:rPr>
                <w:rFonts w:hint="eastAsia" w:ascii="宋体" w:hAnsi="宋体" w:eastAsia="宋体" w:cs="宋体"/>
                <w:b/>
                <w:color w:val="auto"/>
                <w:sz w:val="20"/>
                <w:szCs w:val="20"/>
                <w:highlight w:val="none"/>
              </w:rPr>
            </w:pPr>
          </w:p>
          <w:p w14:paraId="0FA32491">
            <w:pPr>
              <w:pStyle w:val="15"/>
              <w:keepNext w:val="0"/>
              <w:keepLines w:val="0"/>
              <w:pageBreakBefore w:val="0"/>
              <w:widowControl w:val="0"/>
              <w:kinsoku/>
              <w:wordWrap/>
              <w:overflowPunct/>
              <w:topLinePunct w:val="0"/>
              <w:autoSpaceDE w:val="0"/>
              <w:autoSpaceDN w:val="0"/>
              <w:bidi w:val="0"/>
              <w:adjustRightInd/>
              <w:snapToGrid/>
              <w:spacing w:before="1" w:line="240" w:lineRule="exact"/>
              <w:ind w:left="272"/>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w w:val="95"/>
                <w:sz w:val="20"/>
                <w:szCs w:val="20"/>
                <w:highlight w:val="none"/>
              </w:rPr>
              <w:t>技术部分</w:t>
            </w:r>
          </w:p>
          <w:p w14:paraId="77F3C8FB">
            <w:pPr>
              <w:pStyle w:val="15"/>
              <w:keepNext w:val="0"/>
              <w:keepLines w:val="0"/>
              <w:pageBreakBefore w:val="0"/>
              <w:widowControl w:val="0"/>
              <w:kinsoku/>
              <w:wordWrap/>
              <w:overflowPunct/>
              <w:topLinePunct w:val="0"/>
              <w:autoSpaceDE w:val="0"/>
              <w:autoSpaceDN w:val="0"/>
              <w:bidi w:val="0"/>
              <w:adjustRightInd/>
              <w:snapToGrid/>
              <w:spacing w:before="2" w:line="240" w:lineRule="exact"/>
              <w:ind w:left="272"/>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w w:val="95"/>
                <w:sz w:val="20"/>
                <w:szCs w:val="20"/>
                <w:highlight w:val="none"/>
              </w:rPr>
              <w:t>（</w:t>
            </w:r>
            <w:r>
              <w:rPr>
                <w:rFonts w:hint="eastAsia" w:ascii="宋体" w:hAnsi="宋体" w:eastAsia="宋体" w:cs="宋体"/>
                <w:color w:val="auto"/>
                <w:w w:val="95"/>
                <w:sz w:val="20"/>
                <w:szCs w:val="20"/>
                <w:highlight w:val="none"/>
                <w:lang w:val="en-US" w:eastAsia="zh-CN"/>
              </w:rPr>
              <w:t>60</w:t>
            </w:r>
            <w:r>
              <w:rPr>
                <w:rFonts w:hint="eastAsia" w:ascii="宋体" w:hAnsi="宋体" w:eastAsia="宋体" w:cs="宋体"/>
                <w:color w:val="auto"/>
                <w:w w:val="95"/>
                <w:sz w:val="20"/>
                <w:szCs w:val="20"/>
                <w:highlight w:val="none"/>
              </w:rPr>
              <w:t>分）</w:t>
            </w:r>
          </w:p>
        </w:tc>
        <w:tc>
          <w:tcPr>
            <w:tcW w:w="1300" w:type="dxa"/>
            <w:shd w:val="clear" w:color="auto" w:fill="auto"/>
            <w:noWrap w:val="0"/>
            <w:vAlign w:val="center"/>
          </w:tcPr>
          <w:p w14:paraId="16291D8A">
            <w:pPr>
              <w:pStyle w:val="15"/>
              <w:keepNext w:val="0"/>
              <w:keepLines w:val="0"/>
              <w:pageBreakBefore w:val="0"/>
              <w:widowControl w:val="0"/>
              <w:kinsoku/>
              <w:wordWrap/>
              <w:overflowPunct/>
              <w:topLinePunct w:val="0"/>
              <w:autoSpaceDE w:val="0"/>
              <w:autoSpaceDN w:val="0"/>
              <w:bidi w:val="0"/>
              <w:adjustRightInd/>
              <w:snapToGrid/>
              <w:spacing w:before="143" w:line="240" w:lineRule="exact"/>
              <w:ind w:left="207" w:leftChars="0" w:right="198" w:rightChars="0" w:firstLine="200" w:firstLineChars="100"/>
              <w:jc w:val="both"/>
              <w:textAlignment w:val="auto"/>
              <w:rPr>
                <w:rFonts w:hint="eastAsia" w:ascii="宋体" w:hAnsi="宋体" w:eastAsia="宋体" w:cs="宋体"/>
                <w:snapToGrid w:val="0"/>
                <w:color w:val="auto"/>
                <w:kern w:val="0"/>
                <w:sz w:val="20"/>
                <w:szCs w:val="20"/>
                <w:highlight w:val="none"/>
                <w:lang w:val="zh-CN" w:eastAsia="zh-CN" w:bidi="zh-CN"/>
              </w:rPr>
            </w:pPr>
            <w:r>
              <w:rPr>
                <w:rFonts w:hint="eastAsia" w:ascii="宋体" w:hAnsi="宋体" w:eastAsia="宋体" w:cs="宋体"/>
                <w:color w:val="auto"/>
                <w:sz w:val="20"/>
                <w:szCs w:val="20"/>
                <w:highlight w:val="none"/>
              </w:rPr>
              <w:t>主要</w:t>
            </w:r>
            <w:r>
              <w:rPr>
                <w:rFonts w:hint="eastAsia" w:ascii="宋体" w:hAnsi="宋体" w:eastAsia="宋体" w:cs="宋体"/>
                <w:color w:val="auto"/>
                <w:sz w:val="20"/>
                <w:szCs w:val="20"/>
                <w:highlight w:val="none"/>
                <w:lang w:eastAsia="zh-CN"/>
              </w:rPr>
              <w:t>施工</w:t>
            </w:r>
            <w:r>
              <w:rPr>
                <w:rFonts w:hint="eastAsia" w:ascii="宋体" w:hAnsi="宋体" w:eastAsia="宋体" w:cs="宋体"/>
                <w:color w:val="auto"/>
                <w:sz w:val="20"/>
                <w:szCs w:val="20"/>
                <w:highlight w:val="none"/>
              </w:rPr>
              <w:t>方案</w:t>
            </w:r>
          </w:p>
        </w:tc>
        <w:tc>
          <w:tcPr>
            <w:tcW w:w="840" w:type="dxa"/>
            <w:shd w:val="clear" w:color="auto" w:fill="auto"/>
            <w:noWrap w:val="0"/>
            <w:vAlign w:val="center"/>
          </w:tcPr>
          <w:p w14:paraId="4B856A91">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center"/>
              <w:textAlignment w:val="auto"/>
              <w:rPr>
                <w:rFonts w:hint="eastAsia" w:ascii="宋体" w:hAnsi="宋体" w:eastAsia="宋体" w:cs="宋体"/>
                <w:snapToGrid w:val="0"/>
                <w:color w:val="auto"/>
                <w:kern w:val="0"/>
                <w:sz w:val="20"/>
                <w:szCs w:val="20"/>
                <w:highlight w:val="none"/>
                <w:lang w:val="zh-CN" w:eastAsia="zh-CN" w:bidi="zh-CN"/>
              </w:rPr>
            </w:pPr>
            <w:r>
              <w:rPr>
                <w:rFonts w:hint="eastAsia" w:ascii="宋体" w:hAnsi="宋体" w:eastAsia="宋体" w:cs="宋体"/>
                <w:color w:val="auto"/>
                <w:sz w:val="20"/>
                <w:szCs w:val="20"/>
                <w:highlight w:val="none"/>
                <w:lang w:val="en-US" w:eastAsia="zh-CN"/>
              </w:rPr>
              <w:t>15</w:t>
            </w:r>
            <w:r>
              <w:rPr>
                <w:rFonts w:hint="eastAsia" w:ascii="宋体" w:hAnsi="宋体" w:eastAsia="宋体" w:cs="宋体"/>
                <w:color w:val="auto"/>
                <w:sz w:val="20"/>
                <w:szCs w:val="20"/>
                <w:highlight w:val="none"/>
              </w:rPr>
              <w:t>分</w:t>
            </w:r>
          </w:p>
        </w:tc>
        <w:tc>
          <w:tcPr>
            <w:tcW w:w="6342" w:type="dxa"/>
            <w:shd w:val="clear" w:color="auto" w:fill="auto"/>
            <w:noWrap w:val="0"/>
            <w:vAlign w:val="center"/>
          </w:tcPr>
          <w:p w14:paraId="5E4836FD">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en-US" w:eastAsia="zh-CN"/>
              </w:rPr>
            </w:pPr>
            <w:r>
              <w:rPr>
                <w:rFonts w:hint="eastAsia" w:ascii="宋体" w:hAnsi="宋体" w:eastAsia="宋体" w:cs="宋体"/>
                <w:color w:val="auto"/>
                <w:w w:val="95"/>
                <w:sz w:val="20"/>
                <w:szCs w:val="20"/>
                <w:highlight w:val="none"/>
                <w:lang w:val="en-US" w:eastAsia="zh-CN"/>
              </w:rPr>
              <w:t>评委根据投标供应商对本项目的施工方案理解程度和实施中的重难点的分析情况进行评分，完整、科学，可行性强、针对性强，得15分；合理，科学，可行，得10分；合理、可行，得5分；基本可行得2分，不可行，得0分。</w:t>
            </w:r>
          </w:p>
          <w:p w14:paraId="47444C29">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en-US" w:eastAsia="zh-CN"/>
              </w:rPr>
            </w:pPr>
            <w:r>
              <w:rPr>
                <w:rFonts w:hint="eastAsia" w:ascii="宋体" w:hAnsi="宋体" w:eastAsia="宋体" w:cs="宋体"/>
                <w:color w:val="auto"/>
                <w:w w:val="95"/>
                <w:sz w:val="20"/>
                <w:szCs w:val="20"/>
                <w:highlight w:val="none"/>
                <w:lang w:val="en-US" w:eastAsia="zh-CN"/>
              </w:rPr>
              <w:t>合理性：方案提出的方法和标准应该是符合本项目特点的；</w:t>
            </w:r>
          </w:p>
          <w:p w14:paraId="343F2AC4">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en-US" w:eastAsia="zh-CN"/>
              </w:rPr>
            </w:pPr>
            <w:r>
              <w:rPr>
                <w:rFonts w:hint="eastAsia" w:ascii="宋体" w:hAnsi="宋体" w:eastAsia="宋体" w:cs="宋体"/>
                <w:color w:val="auto"/>
                <w:w w:val="95"/>
                <w:sz w:val="20"/>
                <w:szCs w:val="20"/>
                <w:highlight w:val="none"/>
                <w:lang w:val="en-US" w:eastAsia="zh-CN"/>
              </w:rPr>
              <w:t>可行性：方案提出的目标在所要求的时间范围是能完成的；</w:t>
            </w:r>
          </w:p>
          <w:p w14:paraId="792C5CCB">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zh-CN" w:eastAsia="zh-CN"/>
              </w:rPr>
            </w:pPr>
            <w:r>
              <w:rPr>
                <w:rFonts w:hint="eastAsia" w:ascii="宋体" w:hAnsi="宋体" w:eastAsia="宋体" w:cs="宋体"/>
                <w:color w:val="auto"/>
                <w:w w:val="95"/>
                <w:sz w:val="20"/>
                <w:szCs w:val="20"/>
                <w:highlight w:val="none"/>
                <w:lang w:val="en-US" w:eastAsia="zh-CN"/>
              </w:rPr>
              <w:t>针对性: 必须结合采购文件中的各项需求结合施工现场实际情况做出详细描述。</w:t>
            </w:r>
          </w:p>
        </w:tc>
      </w:tr>
      <w:tr w14:paraId="1569D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jc w:val="center"/>
        </w:trPr>
        <w:tc>
          <w:tcPr>
            <w:tcW w:w="1189" w:type="dxa"/>
            <w:vMerge w:val="continue"/>
            <w:noWrap w:val="0"/>
            <w:vAlign w:val="center"/>
          </w:tcPr>
          <w:p w14:paraId="27046632">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宋体" w:hAnsi="宋体" w:eastAsia="宋体" w:cs="宋体"/>
                <w:color w:val="auto"/>
                <w:sz w:val="20"/>
                <w:szCs w:val="20"/>
                <w:highlight w:val="none"/>
              </w:rPr>
            </w:pPr>
          </w:p>
        </w:tc>
        <w:tc>
          <w:tcPr>
            <w:tcW w:w="1300" w:type="dxa"/>
            <w:shd w:val="clear" w:color="auto" w:fill="auto"/>
            <w:noWrap w:val="0"/>
            <w:vAlign w:val="center"/>
          </w:tcPr>
          <w:p w14:paraId="24B70B6B">
            <w:pPr>
              <w:pStyle w:val="15"/>
              <w:keepNext w:val="0"/>
              <w:keepLines w:val="0"/>
              <w:pageBreakBefore w:val="0"/>
              <w:widowControl w:val="0"/>
              <w:kinsoku/>
              <w:wordWrap/>
              <w:overflowPunct/>
              <w:topLinePunct w:val="0"/>
              <w:autoSpaceDE w:val="0"/>
              <w:autoSpaceDN w:val="0"/>
              <w:bidi w:val="0"/>
              <w:adjustRightInd/>
              <w:snapToGrid/>
              <w:spacing w:before="143" w:line="240" w:lineRule="exact"/>
              <w:ind w:left="207" w:leftChars="0" w:right="198" w:rightChars="0" w:firstLine="200" w:firstLineChars="100"/>
              <w:jc w:val="both"/>
              <w:textAlignment w:val="auto"/>
              <w:rPr>
                <w:rFonts w:hint="eastAsia" w:ascii="宋体" w:hAnsi="宋体" w:eastAsia="宋体" w:cs="宋体"/>
                <w:color w:val="auto"/>
                <w:sz w:val="20"/>
                <w:szCs w:val="20"/>
                <w:highlight w:val="none"/>
                <w:lang w:val="zh-CN" w:eastAsia="zh-CN"/>
              </w:rPr>
            </w:pPr>
            <w:r>
              <w:rPr>
                <w:rFonts w:hint="eastAsia" w:ascii="宋体" w:hAnsi="宋体" w:eastAsia="宋体" w:cs="宋体"/>
                <w:color w:val="auto"/>
                <w:sz w:val="20"/>
                <w:szCs w:val="20"/>
                <w:highlight w:val="none"/>
                <w:lang w:eastAsia="zh-CN"/>
              </w:rPr>
              <w:t>质量管理与保证措施</w:t>
            </w:r>
          </w:p>
        </w:tc>
        <w:tc>
          <w:tcPr>
            <w:tcW w:w="840" w:type="dxa"/>
            <w:shd w:val="clear" w:color="auto" w:fill="auto"/>
            <w:noWrap w:val="0"/>
            <w:vAlign w:val="center"/>
          </w:tcPr>
          <w:p w14:paraId="74B8A128">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center"/>
              <w:textAlignment w:val="auto"/>
              <w:rPr>
                <w:rFonts w:hint="eastAsia" w:ascii="宋体" w:hAnsi="宋体" w:eastAsia="宋体" w:cs="宋体"/>
                <w:snapToGrid w:val="0"/>
                <w:color w:val="auto"/>
                <w:kern w:val="0"/>
                <w:sz w:val="20"/>
                <w:szCs w:val="20"/>
                <w:highlight w:val="none"/>
                <w:lang w:val="en-US" w:eastAsia="zh-CN" w:bidi="zh-CN"/>
              </w:rPr>
            </w:pPr>
            <w:r>
              <w:rPr>
                <w:rFonts w:hint="eastAsia" w:ascii="宋体" w:hAnsi="宋体" w:eastAsia="宋体" w:cs="宋体"/>
                <w:snapToGrid w:val="0"/>
                <w:color w:val="auto"/>
                <w:kern w:val="0"/>
                <w:sz w:val="20"/>
                <w:szCs w:val="20"/>
                <w:highlight w:val="none"/>
                <w:lang w:val="en-US" w:eastAsia="zh-CN" w:bidi="zh-CN"/>
              </w:rPr>
              <w:t>12分</w:t>
            </w:r>
          </w:p>
        </w:tc>
        <w:tc>
          <w:tcPr>
            <w:tcW w:w="6342" w:type="dxa"/>
            <w:shd w:val="clear" w:color="auto" w:fill="auto"/>
            <w:noWrap w:val="0"/>
            <w:vAlign w:val="top"/>
          </w:tcPr>
          <w:p w14:paraId="707B5A54">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en-US" w:eastAsia="zh-CN"/>
              </w:rPr>
            </w:pPr>
            <w:r>
              <w:rPr>
                <w:rFonts w:hint="eastAsia" w:ascii="宋体" w:hAnsi="宋体" w:eastAsia="宋体" w:cs="宋体"/>
                <w:color w:val="auto"/>
                <w:w w:val="95"/>
                <w:sz w:val="20"/>
                <w:szCs w:val="20"/>
                <w:highlight w:val="none"/>
                <w:lang w:val="en-US" w:eastAsia="zh-CN"/>
              </w:rPr>
              <w:t>根据本项目内容及质量要求，提供详细的项目质量保证措施，内容包含但不限于 :①项目质量管理目标；②质量管理制度；③质量控制的环节、重点和方法；④ 质量事故的预防与处理进行评分：</w:t>
            </w:r>
          </w:p>
          <w:p w14:paraId="11BE9A5F">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zh-CN" w:eastAsia="zh-CN"/>
              </w:rPr>
            </w:pPr>
            <w:r>
              <w:rPr>
                <w:rFonts w:hint="eastAsia" w:ascii="宋体" w:hAnsi="宋体" w:eastAsia="宋体" w:cs="宋体"/>
                <w:color w:val="auto"/>
                <w:w w:val="95"/>
                <w:sz w:val="20"/>
                <w:szCs w:val="20"/>
                <w:highlight w:val="none"/>
                <w:lang w:val="en-US" w:eastAsia="zh-CN"/>
              </w:rPr>
              <w:t>每一小项方案详细完整、有针对性、合理可行性强得3分；每一小项方案基本完整、基本合理、基本可行得2分，每一小项方案简单、一般可行得1分；每缺一小项扣3分。</w:t>
            </w:r>
          </w:p>
        </w:tc>
      </w:tr>
      <w:tr w14:paraId="1C982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1" w:hRule="atLeast"/>
          <w:jc w:val="center"/>
        </w:trPr>
        <w:tc>
          <w:tcPr>
            <w:tcW w:w="1189" w:type="dxa"/>
            <w:vMerge w:val="continue"/>
            <w:noWrap w:val="0"/>
            <w:vAlign w:val="center"/>
          </w:tcPr>
          <w:p w14:paraId="2E6389DB">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宋体" w:hAnsi="宋体" w:eastAsia="宋体" w:cs="宋体"/>
                <w:color w:val="auto"/>
                <w:sz w:val="20"/>
                <w:szCs w:val="20"/>
                <w:highlight w:val="none"/>
              </w:rPr>
            </w:pPr>
          </w:p>
        </w:tc>
        <w:tc>
          <w:tcPr>
            <w:tcW w:w="1300" w:type="dxa"/>
            <w:shd w:val="clear" w:color="auto" w:fill="auto"/>
            <w:noWrap w:val="0"/>
            <w:vAlign w:val="center"/>
          </w:tcPr>
          <w:p w14:paraId="2F139EFF">
            <w:pPr>
              <w:pStyle w:val="15"/>
              <w:keepNext w:val="0"/>
              <w:keepLines w:val="0"/>
              <w:pageBreakBefore w:val="0"/>
              <w:widowControl w:val="0"/>
              <w:kinsoku/>
              <w:wordWrap/>
              <w:overflowPunct/>
              <w:topLinePunct w:val="0"/>
              <w:autoSpaceDE w:val="0"/>
              <w:autoSpaceDN w:val="0"/>
              <w:bidi w:val="0"/>
              <w:adjustRightInd/>
              <w:snapToGrid/>
              <w:spacing w:before="143" w:line="240" w:lineRule="exact"/>
              <w:ind w:left="207" w:leftChars="0" w:right="198" w:rightChars="0"/>
              <w:jc w:val="both"/>
              <w:textAlignment w:val="auto"/>
              <w:rPr>
                <w:rFonts w:hint="eastAsia" w:ascii="宋体" w:hAnsi="宋体" w:eastAsia="宋体" w:cs="宋体"/>
                <w:color w:val="auto"/>
                <w:sz w:val="20"/>
                <w:szCs w:val="20"/>
                <w:highlight w:val="none"/>
                <w:lang w:val="zh-CN" w:eastAsia="zh-CN"/>
              </w:rPr>
            </w:pPr>
            <w:r>
              <w:rPr>
                <w:rFonts w:hint="eastAsia" w:ascii="宋体" w:hAnsi="宋体" w:eastAsia="宋体" w:cs="宋体"/>
                <w:color w:val="auto"/>
                <w:sz w:val="20"/>
                <w:szCs w:val="20"/>
                <w:highlight w:val="none"/>
                <w:lang w:eastAsia="zh-CN"/>
              </w:rPr>
              <w:t>项目进度计划与保证措施</w:t>
            </w:r>
          </w:p>
        </w:tc>
        <w:tc>
          <w:tcPr>
            <w:tcW w:w="840" w:type="dxa"/>
            <w:shd w:val="clear" w:color="auto" w:fill="auto"/>
            <w:noWrap w:val="0"/>
            <w:vAlign w:val="top"/>
          </w:tcPr>
          <w:p w14:paraId="6D7CAB69">
            <w:pPr>
              <w:keepNext w:val="0"/>
              <w:keepLines w:val="0"/>
              <w:pageBreakBefore w:val="0"/>
              <w:widowControl/>
              <w:kinsoku w:val="0"/>
              <w:wordWrap/>
              <w:overflowPunct/>
              <w:topLinePunct w:val="0"/>
              <w:autoSpaceDE w:val="0"/>
              <w:autoSpaceDN w:val="0"/>
              <w:bidi w:val="0"/>
              <w:adjustRightInd w:val="0"/>
              <w:snapToGrid w:val="0"/>
              <w:spacing w:line="260" w:lineRule="exact"/>
              <w:textAlignment w:val="baseline"/>
              <w:rPr>
                <w:rFonts w:hint="eastAsia" w:ascii="宋体" w:hAnsi="宋体" w:eastAsia="宋体" w:cs="宋体"/>
                <w:color w:val="auto"/>
                <w:sz w:val="21"/>
                <w:highlight w:val="none"/>
              </w:rPr>
            </w:pPr>
          </w:p>
          <w:p w14:paraId="47BDB726">
            <w:pPr>
              <w:keepNext w:val="0"/>
              <w:keepLines w:val="0"/>
              <w:pageBreakBefore w:val="0"/>
              <w:widowControl/>
              <w:kinsoku w:val="0"/>
              <w:wordWrap/>
              <w:overflowPunct/>
              <w:topLinePunct w:val="0"/>
              <w:autoSpaceDE w:val="0"/>
              <w:autoSpaceDN w:val="0"/>
              <w:bidi w:val="0"/>
              <w:adjustRightInd w:val="0"/>
              <w:snapToGrid w:val="0"/>
              <w:spacing w:line="260" w:lineRule="exact"/>
              <w:textAlignment w:val="baseline"/>
              <w:rPr>
                <w:rFonts w:hint="eastAsia" w:ascii="宋体" w:hAnsi="宋体" w:eastAsia="宋体" w:cs="宋体"/>
                <w:color w:val="auto"/>
                <w:sz w:val="21"/>
                <w:highlight w:val="none"/>
              </w:rPr>
            </w:pPr>
          </w:p>
          <w:p w14:paraId="4DAA1E92">
            <w:pPr>
              <w:pStyle w:val="13"/>
              <w:keepNext w:val="0"/>
              <w:keepLines w:val="0"/>
              <w:pageBreakBefore w:val="0"/>
              <w:widowControl/>
              <w:kinsoku w:val="0"/>
              <w:wordWrap/>
              <w:overflowPunct/>
              <w:topLinePunct w:val="0"/>
              <w:autoSpaceDE w:val="0"/>
              <w:autoSpaceDN w:val="0"/>
              <w:bidi w:val="0"/>
              <w:adjustRightInd w:val="0"/>
              <w:snapToGrid w:val="0"/>
              <w:spacing w:before="71" w:line="260" w:lineRule="exact"/>
              <w:ind w:left="13" w:leftChars="0"/>
              <w:jc w:val="center"/>
              <w:textAlignment w:val="baseline"/>
              <w:rPr>
                <w:rFonts w:hint="eastAsia" w:ascii="宋体" w:hAnsi="宋体" w:eastAsia="宋体" w:cs="宋体"/>
                <w:snapToGrid w:val="0"/>
                <w:color w:val="auto"/>
                <w:kern w:val="0"/>
                <w:sz w:val="20"/>
                <w:szCs w:val="20"/>
                <w:highlight w:val="none"/>
                <w:lang w:val="en-US" w:eastAsia="zh-CN" w:bidi="zh-CN"/>
              </w:rPr>
            </w:pPr>
            <w:r>
              <w:rPr>
                <w:rFonts w:hint="eastAsia" w:ascii="宋体" w:hAnsi="宋体" w:eastAsia="宋体" w:cs="宋体"/>
                <w:snapToGrid w:val="0"/>
                <w:color w:val="auto"/>
                <w:kern w:val="0"/>
                <w:sz w:val="20"/>
                <w:szCs w:val="20"/>
                <w:highlight w:val="none"/>
                <w:lang w:val="en-US" w:eastAsia="zh-CN" w:bidi="zh-CN"/>
              </w:rPr>
              <w:t>6分</w:t>
            </w:r>
          </w:p>
        </w:tc>
        <w:tc>
          <w:tcPr>
            <w:tcW w:w="6342" w:type="dxa"/>
            <w:shd w:val="clear" w:color="auto" w:fill="auto"/>
            <w:noWrap w:val="0"/>
            <w:vAlign w:val="top"/>
          </w:tcPr>
          <w:p w14:paraId="359C784A">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en-US" w:eastAsia="zh-CN"/>
              </w:rPr>
            </w:pPr>
            <w:r>
              <w:rPr>
                <w:rFonts w:hint="eastAsia" w:ascii="宋体" w:hAnsi="宋体" w:eastAsia="宋体" w:cs="宋体"/>
                <w:color w:val="auto"/>
                <w:w w:val="95"/>
                <w:sz w:val="20"/>
                <w:szCs w:val="20"/>
                <w:highlight w:val="none"/>
                <w:lang w:val="en-US" w:eastAsia="zh-CN"/>
              </w:rPr>
              <w:t>根据本项目内容和施工期要求，提供详细的项目进度计划方案，内容包含但不限于:①时间(期限)计划安排方案(包括拆除、清运等关键节点）；②进度保证措施 进行评分：</w:t>
            </w:r>
          </w:p>
          <w:p w14:paraId="7AB244CE">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zh-CN" w:eastAsia="zh-CN"/>
              </w:rPr>
            </w:pPr>
            <w:r>
              <w:rPr>
                <w:rFonts w:hint="eastAsia" w:ascii="宋体" w:hAnsi="宋体" w:eastAsia="宋体" w:cs="宋体"/>
                <w:color w:val="auto"/>
                <w:w w:val="95"/>
                <w:sz w:val="20"/>
                <w:szCs w:val="20"/>
                <w:highlight w:val="none"/>
                <w:lang w:val="en-US" w:eastAsia="zh-CN"/>
              </w:rPr>
              <w:t>每一小项方案详细完整、有针对性、合理可行性强得3分；每一小项方案基本完整、基本合理、基本可行得2分，每一小项方案简单、一般可行得1分；每缺一小项扣3分。</w:t>
            </w:r>
          </w:p>
        </w:tc>
      </w:tr>
      <w:tr w14:paraId="417B9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1189" w:type="dxa"/>
            <w:vMerge w:val="continue"/>
            <w:noWrap w:val="0"/>
            <w:vAlign w:val="center"/>
          </w:tcPr>
          <w:p w14:paraId="444954F4">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宋体" w:hAnsi="宋体" w:eastAsia="宋体" w:cs="宋体"/>
                <w:color w:val="auto"/>
                <w:sz w:val="20"/>
                <w:szCs w:val="20"/>
                <w:highlight w:val="none"/>
              </w:rPr>
            </w:pPr>
          </w:p>
        </w:tc>
        <w:tc>
          <w:tcPr>
            <w:tcW w:w="1300" w:type="dxa"/>
            <w:shd w:val="clear" w:color="auto" w:fill="auto"/>
            <w:noWrap w:val="0"/>
            <w:vAlign w:val="center"/>
          </w:tcPr>
          <w:p w14:paraId="3746F74C">
            <w:pPr>
              <w:pStyle w:val="15"/>
              <w:keepNext w:val="0"/>
              <w:keepLines w:val="0"/>
              <w:pageBreakBefore w:val="0"/>
              <w:widowControl w:val="0"/>
              <w:kinsoku/>
              <w:wordWrap/>
              <w:overflowPunct/>
              <w:topLinePunct w:val="0"/>
              <w:autoSpaceDE w:val="0"/>
              <w:autoSpaceDN w:val="0"/>
              <w:bidi w:val="0"/>
              <w:adjustRightInd/>
              <w:snapToGrid/>
              <w:spacing w:before="124" w:line="240" w:lineRule="exact"/>
              <w:ind w:left="226" w:leftChars="0" w:right="215" w:rightChars="0" w:firstLine="110" w:firstLineChars="0"/>
              <w:jc w:val="both"/>
              <w:textAlignment w:val="auto"/>
              <w:rPr>
                <w:rFonts w:hint="eastAsia" w:ascii="宋体" w:hAnsi="宋体" w:eastAsia="宋体" w:cs="宋体"/>
                <w:snapToGrid w:val="0"/>
                <w:color w:val="auto"/>
                <w:kern w:val="0"/>
                <w:sz w:val="20"/>
                <w:szCs w:val="20"/>
                <w:highlight w:val="none"/>
                <w:lang w:val="zh-CN" w:eastAsia="zh-CN" w:bidi="zh-CN"/>
              </w:rPr>
            </w:pPr>
            <w:r>
              <w:rPr>
                <w:rFonts w:hint="eastAsia" w:ascii="宋体" w:hAnsi="宋体" w:eastAsia="宋体" w:cs="宋体"/>
                <w:color w:val="auto"/>
                <w:sz w:val="20"/>
                <w:szCs w:val="20"/>
                <w:highlight w:val="none"/>
                <w:lang w:eastAsia="zh-CN"/>
              </w:rPr>
              <w:t>施工</w:t>
            </w:r>
            <w:r>
              <w:rPr>
                <w:rFonts w:hint="eastAsia" w:ascii="宋体" w:hAnsi="宋体" w:eastAsia="宋体" w:cs="宋体"/>
                <w:color w:val="auto"/>
                <w:sz w:val="20"/>
                <w:szCs w:val="20"/>
                <w:highlight w:val="none"/>
              </w:rPr>
              <w:t>准备与资源配置计划</w:t>
            </w:r>
          </w:p>
        </w:tc>
        <w:tc>
          <w:tcPr>
            <w:tcW w:w="840" w:type="dxa"/>
            <w:shd w:val="clear" w:color="auto" w:fill="auto"/>
            <w:noWrap w:val="0"/>
            <w:vAlign w:val="center"/>
          </w:tcPr>
          <w:p w14:paraId="7330C7C9">
            <w:pPr>
              <w:pStyle w:val="15"/>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宋体" w:hAnsi="宋体" w:eastAsia="宋体" w:cs="宋体"/>
                <w:b/>
                <w:color w:val="auto"/>
                <w:sz w:val="20"/>
                <w:szCs w:val="20"/>
                <w:highlight w:val="none"/>
              </w:rPr>
            </w:pPr>
          </w:p>
          <w:p w14:paraId="4E05FCAD">
            <w:pPr>
              <w:pStyle w:val="15"/>
              <w:keepNext w:val="0"/>
              <w:keepLines w:val="0"/>
              <w:pageBreakBefore w:val="0"/>
              <w:widowControl w:val="0"/>
              <w:kinsoku/>
              <w:wordWrap/>
              <w:overflowPunct/>
              <w:topLinePunct w:val="0"/>
              <w:autoSpaceDE w:val="0"/>
              <w:autoSpaceDN w:val="0"/>
              <w:bidi w:val="0"/>
              <w:adjustRightInd/>
              <w:snapToGrid/>
              <w:spacing w:line="240" w:lineRule="exact"/>
              <w:ind w:left="321"/>
              <w:jc w:val="both"/>
              <w:textAlignment w:val="auto"/>
              <w:rPr>
                <w:rFonts w:hint="eastAsia" w:ascii="宋体" w:hAnsi="宋体" w:eastAsia="宋体" w:cs="宋体"/>
                <w:snapToGrid w:val="0"/>
                <w:color w:val="auto"/>
                <w:kern w:val="0"/>
                <w:sz w:val="20"/>
                <w:szCs w:val="20"/>
                <w:highlight w:val="none"/>
                <w:lang w:val="zh-CN" w:eastAsia="zh-CN" w:bidi="zh-CN"/>
              </w:rPr>
            </w:pPr>
            <w:r>
              <w:rPr>
                <w:rFonts w:hint="eastAsia" w:ascii="宋体" w:hAnsi="宋体" w:eastAsia="宋体" w:cs="宋体"/>
                <w:color w:val="auto"/>
                <w:sz w:val="20"/>
                <w:szCs w:val="20"/>
                <w:highlight w:val="none"/>
                <w:lang w:val="en-US" w:eastAsia="zh-CN"/>
              </w:rPr>
              <w:t>8</w:t>
            </w:r>
            <w:r>
              <w:rPr>
                <w:rFonts w:hint="eastAsia" w:ascii="宋体" w:hAnsi="宋体" w:eastAsia="宋体" w:cs="宋体"/>
                <w:color w:val="auto"/>
                <w:sz w:val="20"/>
                <w:szCs w:val="20"/>
                <w:highlight w:val="none"/>
              </w:rPr>
              <w:t>分</w:t>
            </w:r>
          </w:p>
        </w:tc>
        <w:tc>
          <w:tcPr>
            <w:tcW w:w="6342" w:type="dxa"/>
            <w:shd w:val="clear" w:color="auto" w:fill="auto"/>
            <w:noWrap w:val="0"/>
            <w:vAlign w:val="center"/>
          </w:tcPr>
          <w:p w14:paraId="7EE8C48A">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en-US" w:eastAsia="zh-CN"/>
              </w:rPr>
            </w:pPr>
            <w:r>
              <w:rPr>
                <w:rFonts w:hint="eastAsia" w:ascii="宋体" w:hAnsi="宋体" w:eastAsia="宋体" w:cs="宋体"/>
                <w:color w:val="auto"/>
                <w:w w:val="95"/>
                <w:sz w:val="20"/>
                <w:szCs w:val="20"/>
                <w:highlight w:val="none"/>
                <w:lang w:val="en-US" w:eastAsia="zh-CN"/>
              </w:rPr>
              <w:t>施工准备包括技术准备、现场准备和资金准备；资源配置计划包括劳动力配置计划、主要工程材料和设备配置计划、主要周转材料和施工机具配置计划等。</w:t>
            </w:r>
          </w:p>
          <w:p w14:paraId="24AC335F">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zh-CN" w:eastAsia="zh-CN"/>
              </w:rPr>
            </w:pPr>
            <w:r>
              <w:rPr>
                <w:rFonts w:hint="eastAsia" w:ascii="宋体" w:hAnsi="宋体" w:eastAsia="宋体" w:cs="宋体"/>
                <w:color w:val="auto"/>
                <w:w w:val="95"/>
                <w:sz w:val="20"/>
                <w:szCs w:val="20"/>
                <w:highlight w:val="none"/>
                <w:lang w:val="en-US" w:eastAsia="zh-CN"/>
              </w:rPr>
              <w:t>内容详尽，完全满足项目需要，科学、合理、针对性强得8分；内容完整，满足项目需要，基本可行得 6 分；内容有欠缺，基本满足项目需要，可行性不足得 4 分；未提供不得分。</w:t>
            </w:r>
          </w:p>
        </w:tc>
      </w:tr>
      <w:tr w14:paraId="7132B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8" w:hRule="atLeast"/>
          <w:jc w:val="center"/>
        </w:trPr>
        <w:tc>
          <w:tcPr>
            <w:tcW w:w="1189" w:type="dxa"/>
            <w:vMerge w:val="continue"/>
            <w:noWrap w:val="0"/>
            <w:vAlign w:val="center"/>
          </w:tcPr>
          <w:p w14:paraId="56DE93BD">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宋体" w:hAnsi="宋体" w:eastAsia="宋体" w:cs="宋体"/>
                <w:color w:val="auto"/>
                <w:sz w:val="20"/>
                <w:szCs w:val="20"/>
                <w:highlight w:val="none"/>
              </w:rPr>
            </w:pPr>
          </w:p>
        </w:tc>
        <w:tc>
          <w:tcPr>
            <w:tcW w:w="1300" w:type="dxa"/>
            <w:shd w:val="clear" w:color="auto" w:fill="auto"/>
            <w:noWrap w:val="0"/>
            <w:vAlign w:val="center"/>
          </w:tcPr>
          <w:p w14:paraId="4478FCE6">
            <w:pPr>
              <w:pStyle w:val="15"/>
              <w:keepNext w:val="0"/>
              <w:keepLines w:val="0"/>
              <w:pageBreakBefore w:val="0"/>
              <w:widowControl w:val="0"/>
              <w:kinsoku/>
              <w:wordWrap/>
              <w:overflowPunct/>
              <w:topLinePunct w:val="0"/>
              <w:autoSpaceDE w:val="0"/>
              <w:autoSpaceDN w:val="0"/>
              <w:bidi w:val="0"/>
              <w:adjustRightInd/>
              <w:snapToGrid/>
              <w:spacing w:before="1" w:line="240" w:lineRule="exact"/>
              <w:ind w:left="207" w:right="196" w:firstLine="200" w:firstLineChars="100"/>
              <w:jc w:val="both"/>
              <w:textAlignment w:val="auto"/>
              <w:rPr>
                <w:rFonts w:hint="eastAsia" w:ascii="宋体" w:hAnsi="宋体" w:eastAsia="宋体" w:cs="宋体"/>
                <w:color w:val="auto"/>
                <w:sz w:val="20"/>
                <w:szCs w:val="20"/>
                <w:highlight w:val="none"/>
                <w:lang w:val="en-US"/>
              </w:rPr>
            </w:pPr>
            <w:r>
              <w:rPr>
                <w:rFonts w:hint="eastAsia" w:ascii="宋体" w:hAnsi="宋体" w:eastAsia="宋体" w:cs="宋体"/>
                <w:color w:val="auto"/>
                <w:sz w:val="20"/>
                <w:szCs w:val="20"/>
                <w:highlight w:val="none"/>
                <w:lang w:val="en-US" w:eastAsia="zh-CN"/>
              </w:rPr>
              <w:t>重难点分析及解决方案</w:t>
            </w:r>
          </w:p>
          <w:p w14:paraId="66E6AF31">
            <w:pPr>
              <w:pStyle w:val="15"/>
              <w:keepNext w:val="0"/>
              <w:keepLines w:val="0"/>
              <w:pageBreakBefore w:val="0"/>
              <w:widowControl w:val="0"/>
              <w:kinsoku/>
              <w:wordWrap/>
              <w:overflowPunct/>
              <w:topLinePunct w:val="0"/>
              <w:autoSpaceDE w:val="0"/>
              <w:autoSpaceDN w:val="0"/>
              <w:bidi w:val="0"/>
              <w:adjustRightInd/>
              <w:snapToGrid/>
              <w:spacing w:line="240" w:lineRule="exact"/>
              <w:ind w:left="207" w:leftChars="0" w:right="196" w:rightChars="0"/>
              <w:jc w:val="both"/>
              <w:textAlignment w:val="auto"/>
              <w:rPr>
                <w:rFonts w:hint="eastAsia" w:ascii="宋体" w:hAnsi="宋体" w:eastAsia="宋体" w:cs="宋体"/>
                <w:snapToGrid w:val="0"/>
                <w:color w:val="auto"/>
                <w:kern w:val="0"/>
                <w:sz w:val="20"/>
                <w:szCs w:val="20"/>
                <w:highlight w:val="none"/>
                <w:lang w:val="zh-CN" w:eastAsia="zh-CN" w:bidi="zh-CN"/>
              </w:rPr>
            </w:pPr>
          </w:p>
        </w:tc>
        <w:tc>
          <w:tcPr>
            <w:tcW w:w="840" w:type="dxa"/>
            <w:shd w:val="clear" w:color="auto" w:fill="auto"/>
            <w:noWrap w:val="0"/>
            <w:vAlign w:val="center"/>
          </w:tcPr>
          <w:p w14:paraId="46578036">
            <w:pPr>
              <w:pStyle w:val="15"/>
              <w:keepNext w:val="0"/>
              <w:keepLines w:val="0"/>
              <w:pageBreakBefore w:val="0"/>
              <w:widowControl w:val="0"/>
              <w:kinsoku/>
              <w:wordWrap/>
              <w:overflowPunct/>
              <w:topLinePunct w:val="0"/>
              <w:autoSpaceDE w:val="0"/>
              <w:autoSpaceDN w:val="0"/>
              <w:bidi w:val="0"/>
              <w:adjustRightInd/>
              <w:snapToGrid/>
              <w:spacing w:line="240" w:lineRule="exact"/>
              <w:ind w:left="321"/>
              <w:jc w:val="both"/>
              <w:textAlignment w:val="auto"/>
              <w:rPr>
                <w:rFonts w:hint="eastAsia" w:ascii="宋体" w:hAnsi="宋体" w:eastAsia="宋体" w:cs="宋体"/>
                <w:snapToGrid w:val="0"/>
                <w:color w:val="auto"/>
                <w:kern w:val="0"/>
                <w:sz w:val="20"/>
                <w:szCs w:val="20"/>
                <w:highlight w:val="none"/>
                <w:lang w:val="zh-CN" w:eastAsia="zh-CN" w:bidi="zh-CN"/>
              </w:rPr>
            </w:pPr>
            <w:r>
              <w:rPr>
                <w:rFonts w:hint="eastAsia" w:ascii="宋体" w:hAnsi="宋体" w:eastAsia="宋体" w:cs="宋体"/>
                <w:color w:val="auto"/>
                <w:sz w:val="20"/>
                <w:szCs w:val="20"/>
                <w:highlight w:val="none"/>
                <w:lang w:val="en-US" w:eastAsia="zh-CN"/>
              </w:rPr>
              <w:t>8</w:t>
            </w:r>
            <w:r>
              <w:rPr>
                <w:rFonts w:hint="eastAsia" w:ascii="宋体" w:hAnsi="宋体" w:eastAsia="宋体" w:cs="宋体"/>
                <w:color w:val="auto"/>
                <w:sz w:val="20"/>
                <w:szCs w:val="20"/>
                <w:highlight w:val="none"/>
              </w:rPr>
              <w:t>分</w:t>
            </w:r>
          </w:p>
        </w:tc>
        <w:tc>
          <w:tcPr>
            <w:tcW w:w="6342" w:type="dxa"/>
            <w:shd w:val="clear" w:color="auto" w:fill="auto"/>
            <w:noWrap w:val="0"/>
            <w:vAlign w:val="center"/>
          </w:tcPr>
          <w:p w14:paraId="47D72AB9">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en-US" w:eastAsia="zh-CN"/>
              </w:rPr>
            </w:pPr>
            <w:r>
              <w:rPr>
                <w:rFonts w:hint="eastAsia" w:ascii="宋体" w:hAnsi="宋体" w:eastAsia="宋体" w:cs="宋体"/>
                <w:color w:val="auto"/>
                <w:w w:val="95"/>
                <w:sz w:val="20"/>
                <w:szCs w:val="20"/>
                <w:highlight w:val="none"/>
                <w:lang w:val="en-US" w:eastAsia="zh-CN"/>
              </w:rPr>
              <w:t xml:space="preserve">供应商在响应文件中就项目施工重点、难点予以分析及解决方案： </w:t>
            </w:r>
          </w:p>
          <w:p w14:paraId="43D524A4">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zh-CN" w:eastAsia="zh-CN"/>
              </w:rPr>
            </w:pPr>
            <w:r>
              <w:rPr>
                <w:rFonts w:hint="eastAsia" w:ascii="宋体" w:hAnsi="宋体" w:eastAsia="宋体" w:cs="宋体"/>
                <w:color w:val="auto"/>
                <w:w w:val="95"/>
                <w:sz w:val="20"/>
                <w:szCs w:val="20"/>
                <w:highlight w:val="none"/>
                <w:lang w:val="en-US" w:eastAsia="zh-CN"/>
              </w:rPr>
              <w:t>内容详尽，完全满足项目需要，科学、合理、针对性强得8分；内容完整，满足项目需要，基本可行得 6 分；内容有欠缺，基本满足项目需要，可行性不足得 4 分；未提供不得分。</w:t>
            </w:r>
          </w:p>
        </w:tc>
      </w:tr>
      <w:tr w14:paraId="69EA3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6" w:hRule="atLeast"/>
          <w:jc w:val="center"/>
        </w:trPr>
        <w:tc>
          <w:tcPr>
            <w:tcW w:w="1189" w:type="dxa"/>
            <w:vMerge w:val="continue"/>
            <w:noWrap w:val="0"/>
            <w:vAlign w:val="center"/>
          </w:tcPr>
          <w:p w14:paraId="35D4AAC4">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宋体" w:hAnsi="宋体" w:eastAsia="宋体" w:cs="宋体"/>
                <w:color w:val="auto"/>
                <w:sz w:val="20"/>
                <w:szCs w:val="20"/>
                <w:highlight w:val="none"/>
              </w:rPr>
            </w:pPr>
          </w:p>
        </w:tc>
        <w:tc>
          <w:tcPr>
            <w:tcW w:w="1300" w:type="dxa"/>
            <w:noWrap w:val="0"/>
            <w:vAlign w:val="center"/>
          </w:tcPr>
          <w:p w14:paraId="0405FFFD">
            <w:pPr>
              <w:pStyle w:val="15"/>
              <w:keepNext w:val="0"/>
              <w:keepLines w:val="0"/>
              <w:pageBreakBefore w:val="0"/>
              <w:widowControl w:val="0"/>
              <w:kinsoku/>
              <w:wordWrap/>
              <w:overflowPunct/>
              <w:topLinePunct w:val="0"/>
              <w:autoSpaceDE w:val="0"/>
              <w:autoSpaceDN w:val="0"/>
              <w:bidi w:val="0"/>
              <w:adjustRightInd/>
              <w:snapToGrid/>
              <w:spacing w:before="3" w:line="240" w:lineRule="exact"/>
              <w:ind w:left="107" w:firstLine="194" w:firstLineChars="100"/>
              <w:jc w:val="both"/>
              <w:textAlignment w:val="auto"/>
              <w:rPr>
                <w:rFonts w:hint="eastAsia" w:ascii="宋体" w:hAnsi="宋体" w:eastAsia="宋体" w:cs="宋体"/>
                <w:color w:val="auto"/>
                <w:spacing w:val="-3"/>
                <w:sz w:val="20"/>
                <w:szCs w:val="20"/>
                <w:highlight w:val="none"/>
              </w:rPr>
            </w:pPr>
            <w:r>
              <w:rPr>
                <w:rFonts w:hint="eastAsia" w:ascii="宋体" w:hAnsi="宋体" w:eastAsia="宋体" w:cs="宋体"/>
                <w:color w:val="auto"/>
                <w:spacing w:val="-3"/>
                <w:sz w:val="20"/>
                <w:szCs w:val="20"/>
                <w:highlight w:val="none"/>
                <w:lang w:val="en-US" w:eastAsia="zh-CN"/>
              </w:rPr>
              <w:t>投入人员劳动力安排计划</w:t>
            </w:r>
          </w:p>
        </w:tc>
        <w:tc>
          <w:tcPr>
            <w:tcW w:w="840" w:type="dxa"/>
            <w:noWrap w:val="0"/>
            <w:vAlign w:val="center"/>
          </w:tcPr>
          <w:p w14:paraId="1CAC10CF">
            <w:pPr>
              <w:pStyle w:val="15"/>
              <w:keepNext w:val="0"/>
              <w:keepLines w:val="0"/>
              <w:pageBreakBefore w:val="0"/>
              <w:widowControl w:val="0"/>
              <w:kinsoku/>
              <w:wordWrap/>
              <w:overflowPunct/>
              <w:topLinePunct w:val="0"/>
              <w:autoSpaceDE w:val="0"/>
              <w:autoSpaceDN w:val="0"/>
              <w:bidi w:val="0"/>
              <w:adjustRightInd/>
              <w:snapToGrid/>
              <w:spacing w:line="240" w:lineRule="exact"/>
              <w:ind w:left="321"/>
              <w:jc w:val="both"/>
              <w:textAlignment w:val="auto"/>
              <w:rPr>
                <w:rFonts w:hint="eastAsia" w:ascii="宋体" w:hAnsi="宋体" w:eastAsia="宋体" w:cs="宋体"/>
                <w:color w:val="auto"/>
                <w:spacing w:val="-3"/>
                <w:sz w:val="20"/>
                <w:szCs w:val="20"/>
                <w:highlight w:val="none"/>
                <w:lang w:val="en-US" w:eastAsia="zh-CN"/>
              </w:rPr>
            </w:pPr>
            <w:r>
              <w:rPr>
                <w:rFonts w:hint="eastAsia" w:ascii="宋体" w:hAnsi="宋体" w:eastAsia="宋体" w:cs="宋体"/>
                <w:color w:val="auto"/>
                <w:spacing w:val="-3"/>
                <w:sz w:val="20"/>
                <w:szCs w:val="20"/>
                <w:highlight w:val="none"/>
                <w:lang w:val="en-US" w:eastAsia="zh-CN"/>
              </w:rPr>
              <w:t>6分</w:t>
            </w:r>
          </w:p>
        </w:tc>
        <w:tc>
          <w:tcPr>
            <w:tcW w:w="6342" w:type="dxa"/>
            <w:noWrap w:val="0"/>
            <w:vAlign w:val="center"/>
          </w:tcPr>
          <w:p w14:paraId="51A1AC54">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en-US" w:eastAsia="zh-CN"/>
              </w:rPr>
            </w:pPr>
            <w:r>
              <w:rPr>
                <w:rFonts w:hint="eastAsia" w:ascii="宋体" w:hAnsi="宋体" w:eastAsia="宋体" w:cs="宋体"/>
                <w:color w:val="auto"/>
                <w:w w:val="95"/>
                <w:sz w:val="20"/>
                <w:szCs w:val="20"/>
                <w:highlight w:val="none"/>
                <w:lang w:val="en-US" w:eastAsia="zh-CN"/>
              </w:rPr>
              <w:t>拟投入人员劳动力安排投入计划满足采购需求，人员构架配备合理，有稳定的劳务人员得6分，基本满足需求、人员构架配备合理得4分，基本满足需求，人员构架配备不明确得2分，不满足得0分。</w:t>
            </w:r>
          </w:p>
        </w:tc>
      </w:tr>
      <w:tr w14:paraId="50342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jc w:val="center"/>
        </w:trPr>
        <w:tc>
          <w:tcPr>
            <w:tcW w:w="1189" w:type="dxa"/>
            <w:vMerge w:val="continue"/>
            <w:noWrap w:val="0"/>
            <w:vAlign w:val="center"/>
          </w:tcPr>
          <w:p w14:paraId="71687AD3">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宋体" w:hAnsi="宋体" w:eastAsia="宋体" w:cs="宋体"/>
                <w:color w:val="auto"/>
                <w:sz w:val="20"/>
                <w:szCs w:val="20"/>
                <w:highlight w:val="none"/>
              </w:rPr>
            </w:pPr>
          </w:p>
        </w:tc>
        <w:tc>
          <w:tcPr>
            <w:tcW w:w="1300" w:type="dxa"/>
            <w:shd w:val="clear" w:color="auto" w:fill="auto"/>
            <w:noWrap w:val="0"/>
            <w:vAlign w:val="center"/>
          </w:tcPr>
          <w:p w14:paraId="4F08CA38">
            <w:pPr>
              <w:pStyle w:val="15"/>
              <w:keepNext w:val="0"/>
              <w:keepLines w:val="0"/>
              <w:pageBreakBefore w:val="0"/>
              <w:widowControl w:val="0"/>
              <w:kinsoku/>
              <w:wordWrap/>
              <w:overflowPunct/>
              <w:topLinePunct w:val="0"/>
              <w:autoSpaceDE w:val="0"/>
              <w:autoSpaceDN w:val="0"/>
              <w:bidi w:val="0"/>
              <w:adjustRightInd/>
              <w:snapToGrid/>
              <w:spacing w:before="3" w:line="240" w:lineRule="exact"/>
              <w:ind w:left="107"/>
              <w:jc w:val="both"/>
              <w:textAlignment w:val="auto"/>
              <w:rPr>
                <w:rFonts w:hint="eastAsia" w:ascii="宋体" w:hAnsi="宋体" w:eastAsia="宋体" w:cs="宋体"/>
                <w:snapToGrid w:val="0"/>
                <w:color w:val="auto"/>
                <w:kern w:val="0"/>
                <w:sz w:val="20"/>
                <w:szCs w:val="20"/>
                <w:highlight w:val="none"/>
                <w:lang w:val="en-US" w:eastAsia="zh-CN" w:bidi="zh-CN"/>
              </w:rPr>
            </w:pPr>
            <w:r>
              <w:rPr>
                <w:rFonts w:hint="eastAsia" w:ascii="宋体" w:hAnsi="宋体" w:eastAsia="宋体" w:cs="宋体"/>
                <w:color w:val="auto"/>
                <w:spacing w:val="-3"/>
                <w:sz w:val="20"/>
                <w:szCs w:val="20"/>
                <w:highlight w:val="none"/>
                <w:lang w:val="en-US" w:eastAsia="zh-CN"/>
              </w:rPr>
              <w:t>应急防范方案</w:t>
            </w:r>
          </w:p>
        </w:tc>
        <w:tc>
          <w:tcPr>
            <w:tcW w:w="840" w:type="dxa"/>
            <w:shd w:val="clear" w:color="auto" w:fill="auto"/>
            <w:noWrap w:val="0"/>
            <w:vAlign w:val="center"/>
          </w:tcPr>
          <w:p w14:paraId="6591BEC5">
            <w:pPr>
              <w:pStyle w:val="15"/>
              <w:keepNext w:val="0"/>
              <w:keepLines w:val="0"/>
              <w:pageBreakBefore w:val="0"/>
              <w:widowControl w:val="0"/>
              <w:kinsoku/>
              <w:wordWrap/>
              <w:overflowPunct/>
              <w:topLinePunct w:val="0"/>
              <w:autoSpaceDE w:val="0"/>
              <w:autoSpaceDN w:val="0"/>
              <w:bidi w:val="0"/>
              <w:adjustRightInd/>
              <w:snapToGrid/>
              <w:spacing w:line="240" w:lineRule="exact"/>
              <w:ind w:left="321" w:leftChars="0"/>
              <w:jc w:val="both"/>
              <w:textAlignment w:val="auto"/>
              <w:rPr>
                <w:rFonts w:hint="eastAsia" w:ascii="宋体" w:hAnsi="宋体" w:eastAsia="宋体" w:cs="宋体"/>
                <w:snapToGrid w:val="0"/>
                <w:color w:val="auto"/>
                <w:kern w:val="0"/>
                <w:sz w:val="20"/>
                <w:szCs w:val="20"/>
                <w:highlight w:val="none"/>
                <w:lang w:val="en-US" w:eastAsia="zh-CN" w:bidi="zh-CN"/>
              </w:rPr>
            </w:pPr>
            <w:r>
              <w:rPr>
                <w:rFonts w:hint="eastAsia" w:ascii="宋体" w:hAnsi="宋体" w:eastAsia="宋体" w:cs="宋体"/>
                <w:color w:val="auto"/>
                <w:sz w:val="20"/>
                <w:szCs w:val="20"/>
                <w:highlight w:val="none"/>
                <w:lang w:val="en-US" w:eastAsia="zh-CN"/>
              </w:rPr>
              <w:t>5分</w:t>
            </w:r>
          </w:p>
        </w:tc>
        <w:tc>
          <w:tcPr>
            <w:tcW w:w="6342" w:type="dxa"/>
            <w:shd w:val="clear" w:color="auto" w:fill="auto"/>
            <w:noWrap w:val="0"/>
            <w:vAlign w:val="center"/>
          </w:tcPr>
          <w:p w14:paraId="094A58DB">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en-US" w:eastAsia="zh-CN"/>
              </w:rPr>
            </w:pPr>
            <w:r>
              <w:rPr>
                <w:rFonts w:hint="eastAsia" w:ascii="宋体" w:hAnsi="宋体" w:eastAsia="宋体" w:cs="宋体"/>
                <w:color w:val="auto"/>
                <w:w w:val="95"/>
                <w:sz w:val="20"/>
                <w:szCs w:val="20"/>
                <w:highlight w:val="none"/>
                <w:lang w:val="en-US" w:eastAsia="zh-CN"/>
              </w:rPr>
              <w:t>包括工程施工目标、主要施工内容及其进度安排、施工流水段划分、施工的重点和难点分析、工程管理的组织机构形式、项目经理部的工作岗位设置及其职责划分进行详细阐述。</w:t>
            </w:r>
          </w:p>
          <w:p w14:paraId="4E7BBE43">
            <w:pPr>
              <w:pStyle w:val="15"/>
              <w:keepNext w:val="0"/>
              <w:keepLines w:val="0"/>
              <w:pageBreakBefore w:val="0"/>
              <w:widowControl w:val="0"/>
              <w:kinsoku/>
              <w:wordWrap/>
              <w:overflowPunct/>
              <w:topLinePunct w:val="0"/>
              <w:autoSpaceDE w:val="0"/>
              <w:autoSpaceDN w:val="0"/>
              <w:bidi w:val="0"/>
              <w:adjustRightInd/>
              <w:snapToGrid/>
              <w:spacing w:line="240" w:lineRule="exact"/>
              <w:ind w:left="107" w:right="240"/>
              <w:jc w:val="both"/>
              <w:textAlignment w:val="auto"/>
              <w:rPr>
                <w:rFonts w:hint="eastAsia" w:ascii="宋体" w:hAnsi="宋体" w:eastAsia="宋体" w:cs="宋体"/>
                <w:color w:val="auto"/>
                <w:w w:val="95"/>
                <w:sz w:val="20"/>
                <w:szCs w:val="20"/>
                <w:highlight w:val="none"/>
                <w:lang w:val="zh-CN" w:eastAsia="zh-CN"/>
              </w:rPr>
            </w:pPr>
            <w:r>
              <w:rPr>
                <w:rFonts w:hint="eastAsia" w:ascii="宋体" w:hAnsi="宋体" w:eastAsia="宋体" w:cs="宋体"/>
                <w:color w:val="auto"/>
                <w:w w:val="95"/>
                <w:sz w:val="20"/>
                <w:szCs w:val="20"/>
                <w:highlight w:val="none"/>
                <w:lang w:val="en-US" w:eastAsia="zh-CN"/>
              </w:rPr>
              <w:t>内容详尽，完全满足项目需要，科学、合理、针对性强得5分；内容完整，满足项目需要，基本可行得 3 分；内容有欠缺，基本满足项目需要，可行性不足得 1 分；未提供不得分。</w:t>
            </w:r>
          </w:p>
        </w:tc>
      </w:tr>
      <w:tr w14:paraId="60890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jc w:val="center"/>
        </w:trPr>
        <w:tc>
          <w:tcPr>
            <w:tcW w:w="2489" w:type="dxa"/>
            <w:gridSpan w:val="2"/>
            <w:noWrap w:val="0"/>
            <w:vAlign w:val="center"/>
          </w:tcPr>
          <w:p w14:paraId="7EA1394F">
            <w:pPr>
              <w:pStyle w:val="15"/>
              <w:keepNext w:val="0"/>
              <w:keepLines w:val="0"/>
              <w:pageBreakBefore w:val="0"/>
              <w:widowControl w:val="0"/>
              <w:kinsoku/>
              <w:wordWrap/>
              <w:overflowPunct/>
              <w:topLinePunct w:val="0"/>
              <w:autoSpaceDE w:val="0"/>
              <w:autoSpaceDN w:val="0"/>
              <w:bidi w:val="0"/>
              <w:adjustRightInd/>
              <w:snapToGrid/>
              <w:spacing w:before="134" w:line="240" w:lineRule="exact"/>
              <w:ind w:left="447" w:right="434"/>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总分</w:t>
            </w:r>
          </w:p>
        </w:tc>
        <w:tc>
          <w:tcPr>
            <w:tcW w:w="7182" w:type="dxa"/>
            <w:gridSpan w:val="2"/>
            <w:noWrap w:val="0"/>
            <w:vAlign w:val="center"/>
          </w:tcPr>
          <w:p w14:paraId="3F99C159">
            <w:pPr>
              <w:pStyle w:val="15"/>
              <w:keepNext w:val="0"/>
              <w:keepLines w:val="0"/>
              <w:pageBreakBefore w:val="0"/>
              <w:widowControl w:val="0"/>
              <w:kinsoku/>
              <w:wordWrap/>
              <w:overflowPunct/>
              <w:topLinePunct w:val="0"/>
              <w:autoSpaceDE w:val="0"/>
              <w:autoSpaceDN w:val="0"/>
              <w:bidi w:val="0"/>
              <w:adjustRightInd/>
              <w:snapToGrid/>
              <w:spacing w:line="240" w:lineRule="exact"/>
              <w:ind w:left="107"/>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100分</w:t>
            </w:r>
          </w:p>
        </w:tc>
      </w:tr>
    </w:tbl>
    <w:p w14:paraId="249CBB9B">
      <w:pPr>
        <w:pStyle w:val="4"/>
        <w:spacing w:before="183" w:line="345" w:lineRule="auto"/>
        <w:ind w:right="200"/>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lang w:val="en-US" w:eastAsia="zh-CN"/>
        </w:rPr>
        <w:t>附：</w:t>
      </w:r>
      <w:r>
        <w:rPr>
          <w:rFonts w:hint="eastAsia" w:ascii="宋体" w:hAnsi="宋体" w:eastAsia="宋体" w:cs="宋体"/>
          <w:color w:val="auto"/>
          <w:spacing w:val="4"/>
          <w:sz w:val="24"/>
          <w:szCs w:val="24"/>
        </w:rPr>
        <w:t>上述技术方案中，区间量化指标 :</w:t>
      </w:r>
    </w:p>
    <w:p w14:paraId="23BAB4A4">
      <w:pPr>
        <w:pStyle w:val="4"/>
        <w:spacing w:before="78" w:line="341" w:lineRule="auto"/>
        <w:ind w:left="0" w:leftChars="0" w:right="200" w:firstLine="419" w:firstLineChars="169"/>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lang w:val="en-US" w:eastAsia="zh-CN"/>
        </w:rPr>
        <w:t>1</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3"/>
          <w:sz w:val="22"/>
          <w:szCs w:val="22"/>
          <w:highlight w:val="none"/>
        </w:rPr>
        <w:t>详细完整、有针对性、合理可行性强</w:t>
      </w:r>
      <w:r>
        <w:rPr>
          <w:rFonts w:hint="eastAsia" w:ascii="宋体" w:hAnsi="宋体" w:eastAsia="宋体" w:cs="宋体"/>
          <w:color w:val="auto"/>
          <w:spacing w:val="4"/>
          <w:sz w:val="24"/>
          <w:szCs w:val="24"/>
        </w:rPr>
        <w:t>：</w:t>
      </w:r>
    </w:p>
    <w:p w14:paraId="4CB19EA2">
      <w:pPr>
        <w:pStyle w:val="4"/>
        <w:spacing w:before="78" w:line="341" w:lineRule="auto"/>
        <w:ind w:left="0" w:leftChars="0" w:right="200" w:firstLine="667" w:firstLineChars="269"/>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rPr>
        <w:t>1）方案完全响应采购需求要求</w:t>
      </w:r>
      <w:r>
        <w:rPr>
          <w:rFonts w:hint="eastAsia" w:ascii="宋体" w:hAnsi="宋体" w:eastAsia="宋体" w:cs="宋体"/>
          <w:color w:val="auto"/>
          <w:spacing w:val="4"/>
          <w:sz w:val="24"/>
          <w:szCs w:val="24"/>
          <w:lang w:eastAsia="zh-CN"/>
        </w:rPr>
        <w:t>；</w:t>
      </w:r>
    </w:p>
    <w:p w14:paraId="7B157632">
      <w:pPr>
        <w:pStyle w:val="4"/>
        <w:spacing w:before="78" w:line="341" w:lineRule="auto"/>
        <w:ind w:left="0" w:leftChars="0" w:right="200" w:firstLine="667" w:firstLineChars="269"/>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rPr>
        <w:t>2）对项目内容作了有针对性的全面、具体分析</w:t>
      </w:r>
      <w:r>
        <w:rPr>
          <w:rFonts w:hint="eastAsia" w:ascii="宋体" w:hAnsi="宋体" w:eastAsia="宋体" w:cs="宋体"/>
          <w:color w:val="auto"/>
          <w:spacing w:val="4"/>
          <w:sz w:val="24"/>
          <w:szCs w:val="24"/>
          <w:lang w:eastAsia="zh-CN"/>
        </w:rPr>
        <w:t>；</w:t>
      </w:r>
    </w:p>
    <w:p w14:paraId="2ED2A662">
      <w:pPr>
        <w:pStyle w:val="4"/>
        <w:spacing w:before="78" w:line="341" w:lineRule="auto"/>
        <w:ind w:left="0" w:leftChars="0" w:right="200" w:firstLine="667" w:firstLineChars="269"/>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rPr>
        <w:t>3）提供的响应方案基于服务需求的全口径，提出了具有可行性的现状情况预判</w:t>
      </w:r>
      <w:r>
        <w:rPr>
          <w:rFonts w:hint="eastAsia" w:ascii="宋体" w:hAnsi="宋体" w:eastAsia="宋体" w:cs="宋体"/>
          <w:color w:val="auto"/>
          <w:spacing w:val="4"/>
          <w:sz w:val="24"/>
          <w:szCs w:val="24"/>
          <w:lang w:eastAsia="zh-CN"/>
        </w:rPr>
        <w:t>；</w:t>
      </w:r>
    </w:p>
    <w:p w14:paraId="544C6017">
      <w:pPr>
        <w:pStyle w:val="4"/>
        <w:spacing w:before="78" w:line="341" w:lineRule="auto"/>
        <w:ind w:left="0" w:leftChars="0" w:right="200" w:firstLine="667" w:firstLineChars="269"/>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rPr>
        <w:t>4）准确把握项目重难点，分析各类情况可能发生的不可预见性，并尽可能列多种详细预案</w:t>
      </w:r>
      <w:r>
        <w:rPr>
          <w:rFonts w:hint="eastAsia" w:ascii="宋体" w:hAnsi="宋体" w:eastAsia="宋体" w:cs="宋体"/>
          <w:color w:val="auto"/>
          <w:spacing w:val="4"/>
          <w:sz w:val="24"/>
          <w:szCs w:val="24"/>
          <w:lang w:eastAsia="zh-CN"/>
        </w:rPr>
        <w:t>；</w:t>
      </w:r>
    </w:p>
    <w:p w14:paraId="2D1D2D28">
      <w:pPr>
        <w:pStyle w:val="4"/>
        <w:spacing w:before="78" w:line="341" w:lineRule="auto"/>
        <w:ind w:left="0" w:leftChars="0" w:right="200" w:firstLine="667" w:firstLineChars="269"/>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rPr>
        <w:t xml:space="preserve"> 5)针对各类服务要求的不同特点及性能提供个性化的服务解决方案，也可以举例论证</w:t>
      </w:r>
      <w:r>
        <w:rPr>
          <w:rFonts w:hint="eastAsia" w:ascii="宋体" w:hAnsi="宋体" w:eastAsia="宋体" w:cs="宋体"/>
          <w:color w:val="auto"/>
          <w:spacing w:val="4"/>
          <w:sz w:val="24"/>
          <w:szCs w:val="24"/>
          <w:lang w:eastAsia="zh-CN"/>
        </w:rPr>
        <w:t>；</w:t>
      </w:r>
    </w:p>
    <w:p w14:paraId="3CEB2B47">
      <w:pPr>
        <w:pStyle w:val="4"/>
        <w:spacing w:before="78" w:line="341" w:lineRule="auto"/>
        <w:ind w:left="0" w:leftChars="0" w:right="200" w:firstLine="667" w:firstLineChars="269"/>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6）对于资料、数据等响应方案的支撑材料提供细致，具体，具有一定的论证支撑性及可追溯性。</w:t>
      </w:r>
    </w:p>
    <w:p w14:paraId="7DE4FBB1">
      <w:pPr>
        <w:pStyle w:val="4"/>
        <w:spacing w:before="78" w:line="341" w:lineRule="auto"/>
        <w:ind w:left="0" w:leftChars="0" w:right="200" w:firstLine="419" w:firstLineChars="169"/>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lang w:val="en-US" w:eastAsia="zh-CN"/>
        </w:rPr>
        <w:t>2</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1"/>
          <w:sz w:val="22"/>
          <w:szCs w:val="22"/>
          <w:highlight w:val="none"/>
        </w:rPr>
        <w:t>基本完整、基本合理、基本可行</w:t>
      </w:r>
      <w:r>
        <w:rPr>
          <w:rFonts w:hint="eastAsia" w:ascii="宋体" w:hAnsi="宋体" w:eastAsia="宋体" w:cs="宋体"/>
          <w:color w:val="auto"/>
          <w:spacing w:val="4"/>
          <w:sz w:val="24"/>
          <w:szCs w:val="24"/>
        </w:rPr>
        <w:t xml:space="preserve"> :</w:t>
      </w:r>
    </w:p>
    <w:p w14:paraId="6BC1773E">
      <w:pPr>
        <w:pStyle w:val="4"/>
        <w:spacing w:before="78" w:line="341" w:lineRule="auto"/>
        <w:ind w:left="0" w:leftChars="0" w:right="200" w:firstLine="667" w:firstLineChars="269"/>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1）响应方案不完整，和采购需求存在微小偏差和响应缺项</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 xml:space="preserve"> </w:t>
      </w:r>
    </w:p>
    <w:p w14:paraId="3F8FDE3A">
      <w:pPr>
        <w:pStyle w:val="4"/>
        <w:spacing w:before="78" w:line="341" w:lineRule="auto"/>
        <w:ind w:left="0" w:leftChars="0" w:right="200" w:firstLine="667" w:firstLineChars="269"/>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rPr>
        <w:t>2）对项目内容分析有一定的层次性，能大体作现明目要求</w:t>
      </w:r>
      <w:r>
        <w:rPr>
          <w:rFonts w:hint="eastAsia" w:ascii="宋体" w:hAnsi="宋体" w:eastAsia="宋体" w:cs="宋体"/>
          <w:color w:val="auto"/>
          <w:spacing w:val="4"/>
          <w:sz w:val="24"/>
          <w:szCs w:val="24"/>
          <w:lang w:eastAsia="zh-CN"/>
        </w:rPr>
        <w:t>；</w:t>
      </w:r>
    </w:p>
    <w:p w14:paraId="1B40F934">
      <w:pPr>
        <w:pStyle w:val="4"/>
        <w:spacing w:before="78" w:line="341" w:lineRule="auto"/>
        <w:ind w:left="0" w:leftChars="0" w:right="200" w:firstLine="667" w:firstLineChars="269"/>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3）只对方案作出标题式式的简单论证，并未展开分析或列明可行的具体解决方案</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 xml:space="preserve"> </w:t>
      </w:r>
    </w:p>
    <w:p w14:paraId="5E44E023">
      <w:pPr>
        <w:pStyle w:val="4"/>
        <w:spacing w:before="78" w:line="341" w:lineRule="auto"/>
        <w:ind w:left="0" w:leftChars="0" w:right="200" w:firstLine="667" w:firstLineChars="269"/>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rPr>
        <w:t>4）对服务的响应进行泛化-般描述，缺少针对性</w:t>
      </w:r>
      <w:r>
        <w:rPr>
          <w:rFonts w:hint="eastAsia" w:ascii="宋体" w:hAnsi="宋体" w:eastAsia="宋体" w:cs="宋体"/>
          <w:color w:val="auto"/>
          <w:spacing w:val="4"/>
          <w:sz w:val="24"/>
          <w:szCs w:val="24"/>
          <w:lang w:eastAsia="zh-CN"/>
        </w:rPr>
        <w:t>；</w:t>
      </w:r>
    </w:p>
    <w:p w14:paraId="6336C3A6">
      <w:pPr>
        <w:pStyle w:val="4"/>
        <w:spacing w:before="78" w:line="341" w:lineRule="auto"/>
        <w:ind w:left="0" w:leftChars="0" w:right="200" w:firstLine="667" w:firstLineChars="269"/>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5)部分资料、数据响应方案的支撑材料提供过于简单。</w:t>
      </w:r>
    </w:p>
    <w:p w14:paraId="7A6E2BEF">
      <w:pPr>
        <w:pStyle w:val="4"/>
        <w:spacing w:before="78" w:line="341" w:lineRule="auto"/>
        <w:ind w:left="0" w:leftChars="0" w:right="200" w:firstLine="419" w:firstLineChars="169"/>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lang w:val="en-US" w:eastAsia="zh-CN"/>
        </w:rPr>
        <w:t>3</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1"/>
          <w:sz w:val="22"/>
          <w:szCs w:val="22"/>
          <w:highlight w:val="none"/>
        </w:rPr>
        <w:t>简单、一般可行</w:t>
      </w:r>
      <w:r>
        <w:rPr>
          <w:rFonts w:hint="eastAsia" w:ascii="宋体" w:hAnsi="宋体" w:eastAsia="宋体" w:cs="宋体"/>
          <w:color w:val="auto"/>
          <w:spacing w:val="4"/>
          <w:sz w:val="24"/>
          <w:szCs w:val="24"/>
        </w:rPr>
        <w:t>:</w:t>
      </w:r>
    </w:p>
    <w:p w14:paraId="5ABAC404">
      <w:pPr>
        <w:pStyle w:val="4"/>
        <w:spacing w:before="78" w:line="341" w:lineRule="auto"/>
        <w:ind w:left="0" w:leftChars="0" w:right="200" w:firstLine="667" w:firstLineChars="269"/>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rPr>
        <w:t>1)响应方案没有完全响应采购需求，或有明显重大缺陷</w:t>
      </w:r>
      <w:r>
        <w:rPr>
          <w:rFonts w:hint="eastAsia" w:ascii="宋体" w:hAnsi="宋体" w:eastAsia="宋体" w:cs="宋体"/>
          <w:color w:val="auto"/>
          <w:spacing w:val="4"/>
          <w:sz w:val="24"/>
          <w:szCs w:val="24"/>
          <w:lang w:eastAsia="zh-CN"/>
        </w:rPr>
        <w:t>；</w:t>
      </w:r>
    </w:p>
    <w:p w14:paraId="136BBEBF">
      <w:pPr>
        <w:pStyle w:val="4"/>
        <w:spacing w:before="78" w:line="341" w:lineRule="auto"/>
        <w:ind w:left="0" w:leftChars="0" w:right="200" w:firstLine="667" w:firstLineChars="269"/>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rPr>
        <w:t>2)对项目内容分析缺乏层次性，对项目需求的体现不明显，或有明显重大缺陷</w:t>
      </w:r>
      <w:r>
        <w:rPr>
          <w:rFonts w:hint="eastAsia" w:ascii="宋体" w:hAnsi="宋体" w:eastAsia="宋体" w:cs="宋体"/>
          <w:color w:val="auto"/>
          <w:spacing w:val="4"/>
          <w:sz w:val="24"/>
          <w:szCs w:val="24"/>
          <w:lang w:eastAsia="zh-CN"/>
        </w:rPr>
        <w:t>；</w:t>
      </w:r>
    </w:p>
    <w:p w14:paraId="61DF07A3">
      <w:pPr>
        <w:pStyle w:val="4"/>
        <w:spacing w:before="78" w:line="341" w:lineRule="auto"/>
        <w:ind w:left="0" w:leftChars="0" w:right="200" w:firstLine="667" w:firstLineChars="269"/>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3)响应方案排列、响应情况杂乱，或文不对题。</w:t>
      </w:r>
    </w:p>
    <w:p w14:paraId="295F32D3">
      <w:pPr>
        <w:ind w:firstLine="456" w:firstLineChars="200"/>
        <w:rPr>
          <w:rFonts w:hint="eastAsia" w:ascii="宋体" w:hAnsi="宋体" w:eastAsia="宋体" w:cs="宋体"/>
          <w:color w:val="auto"/>
        </w:rPr>
      </w:pPr>
      <w:r>
        <w:rPr>
          <w:rFonts w:hint="eastAsia" w:ascii="宋体" w:hAnsi="宋体" w:eastAsia="宋体" w:cs="宋体"/>
          <w:color w:val="auto"/>
          <w:spacing w:val="4"/>
          <w:sz w:val="22"/>
          <w:szCs w:val="22"/>
          <w:highlight w:val="none"/>
          <w:lang w:eastAsia="zh-CN"/>
        </w:rPr>
        <w:t>（</w:t>
      </w:r>
      <w:r>
        <w:rPr>
          <w:rFonts w:hint="eastAsia" w:ascii="宋体" w:hAnsi="宋体" w:eastAsia="宋体" w:cs="宋体"/>
          <w:color w:val="auto"/>
          <w:spacing w:val="4"/>
          <w:sz w:val="22"/>
          <w:szCs w:val="22"/>
          <w:highlight w:val="none"/>
        </w:rPr>
        <w:t>4</w:t>
      </w:r>
      <w:r>
        <w:rPr>
          <w:rFonts w:hint="eastAsia" w:ascii="宋体" w:hAnsi="宋体" w:eastAsia="宋体" w:cs="宋体"/>
          <w:color w:val="auto"/>
          <w:spacing w:val="4"/>
          <w:sz w:val="22"/>
          <w:szCs w:val="22"/>
          <w:highlight w:val="none"/>
          <w:lang w:eastAsia="zh-CN"/>
        </w:rPr>
        <w:t>）</w:t>
      </w:r>
      <w:r>
        <w:rPr>
          <w:rFonts w:hint="eastAsia" w:ascii="宋体" w:hAnsi="宋体" w:eastAsia="宋体" w:cs="宋体"/>
          <w:color w:val="auto"/>
          <w:spacing w:val="4"/>
          <w:sz w:val="22"/>
          <w:szCs w:val="22"/>
          <w:highlight w:val="none"/>
        </w:rPr>
        <w:t>未提供得0分。</w:t>
      </w:r>
    </w:p>
    <w:p w14:paraId="6F5AA749">
      <w:pPr>
        <w:pStyle w:val="4"/>
        <w:spacing w:before="183" w:line="345" w:lineRule="auto"/>
        <w:ind w:right="200"/>
        <w:rPr>
          <w:rFonts w:hint="eastAsia" w:ascii="宋体" w:hAnsi="宋体" w:eastAsia="宋体" w:cs="宋体"/>
          <w:color w:val="auto"/>
          <w:spacing w:val="-4"/>
          <w:sz w:val="24"/>
          <w:szCs w:val="24"/>
          <w:lang w:val="en-US" w:eastAsia="zh-CN"/>
        </w:rPr>
      </w:pPr>
      <w:r>
        <w:rPr>
          <w:rFonts w:hint="eastAsia" w:ascii="宋体" w:hAnsi="宋体" w:eastAsia="宋体" w:cs="宋体"/>
          <w:color w:val="auto"/>
          <w:spacing w:val="-4"/>
          <w:sz w:val="24"/>
          <w:szCs w:val="24"/>
          <w:lang w:val="en-US" w:eastAsia="zh-CN"/>
        </w:rPr>
        <w:t>2、评标计分方法</w:t>
      </w:r>
    </w:p>
    <w:p w14:paraId="24D60D3E">
      <w:pPr>
        <w:pStyle w:val="4"/>
        <w:spacing w:before="78" w:line="341" w:lineRule="auto"/>
        <w:ind w:right="200" w:firstLine="248" w:firstLineChars="100"/>
        <w:rPr>
          <w:rFonts w:hint="eastAsia" w:ascii="宋体" w:hAnsi="宋体" w:eastAsia="宋体" w:cs="宋体"/>
          <w:color w:val="auto"/>
          <w:sz w:val="24"/>
          <w:szCs w:val="24"/>
        </w:rPr>
      </w:pP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lang w:val="en-US" w:eastAsia="zh-CN"/>
        </w:rPr>
        <w:t>1</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评审委员会成员按照本办法上述有关规定,</w:t>
      </w:r>
      <w:r>
        <w:rPr>
          <w:rFonts w:hint="eastAsia" w:ascii="宋体" w:hAnsi="宋体" w:eastAsia="宋体" w:cs="宋体"/>
          <w:color w:val="auto"/>
          <w:spacing w:val="3"/>
          <w:sz w:val="24"/>
          <w:szCs w:val="24"/>
        </w:rPr>
        <w:t>给各响应文件评分,并按下列</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公式确定各磋商供应商的评定分数:</w:t>
      </w:r>
    </w:p>
    <w:p w14:paraId="68EF7E39">
      <w:pPr>
        <w:pStyle w:val="4"/>
        <w:spacing w:before="35" w:line="218" w:lineRule="auto"/>
        <w:ind w:left="49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评定分数</w:t>
      </w:r>
      <w:r>
        <w:rPr>
          <w:rFonts w:hint="eastAsia" w:ascii="宋体" w:hAnsi="宋体" w:eastAsia="宋体" w:cs="宋体"/>
          <w:color w:val="auto"/>
          <w:spacing w:val="-2"/>
          <w:sz w:val="24"/>
          <w:szCs w:val="24"/>
        </w:rPr>
        <w:t xml:space="preserve"> </w:t>
      </w:r>
      <w:r>
        <w:rPr>
          <w:rFonts w:hint="eastAsia" w:ascii="宋体" w:hAnsi="宋体" w:eastAsia="宋体" w:cs="宋体"/>
          <w:b/>
          <w:bCs/>
          <w:color w:val="auto"/>
          <w:spacing w:val="-2"/>
          <w:sz w:val="24"/>
          <w:szCs w:val="24"/>
        </w:rPr>
        <w:t>=价格部分得分+商务部分得分+技术部分得分。</w:t>
      </w:r>
    </w:p>
    <w:p w14:paraId="087A1513">
      <w:pPr>
        <w:pStyle w:val="4"/>
        <w:spacing w:before="174" w:line="219"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各磋商供应商投标的最终得评分为各评</w:t>
      </w:r>
      <w:r>
        <w:rPr>
          <w:rFonts w:hint="eastAsia" w:ascii="宋体" w:hAnsi="宋体" w:eastAsia="宋体" w:cs="宋体"/>
          <w:color w:val="auto"/>
          <w:spacing w:val="-1"/>
          <w:sz w:val="24"/>
          <w:szCs w:val="24"/>
        </w:rPr>
        <w:t>委所评定分数中的算术平均值。</w:t>
      </w:r>
    </w:p>
    <w:p w14:paraId="7447FBF0">
      <w:pPr>
        <w:pStyle w:val="4"/>
        <w:spacing w:before="176" w:line="219" w:lineRule="auto"/>
        <w:ind w:firstLine="238" w:firstLineChars="100"/>
        <w:rPr>
          <w:rFonts w:hint="eastAsia" w:ascii="宋体" w:hAnsi="宋体" w:eastAsia="宋体" w:cs="宋体"/>
          <w:color w:val="auto"/>
          <w:sz w:val="24"/>
          <w:szCs w:val="24"/>
        </w:rPr>
      </w:pP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lang w:val="en-US" w:eastAsia="zh-CN"/>
        </w:rPr>
        <w:t>3</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rPr>
        <w:t>各项统计、评分结果均按四舍五入方法精确到小数点后二位。</w:t>
      </w:r>
    </w:p>
    <w:p w14:paraId="406BF481">
      <w:pPr>
        <w:pStyle w:val="4"/>
        <w:spacing w:before="50" w:line="352" w:lineRule="auto"/>
        <w:ind w:firstLine="242" w:firstLineChars="100"/>
        <w:rPr>
          <w:rFonts w:hint="eastAsia" w:ascii="宋体" w:hAnsi="宋体" w:eastAsia="宋体" w:cs="宋体"/>
          <w:color w:val="auto"/>
          <w:sz w:val="24"/>
          <w:szCs w:val="24"/>
        </w:rPr>
      </w:pP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lang w:val="en-US" w:eastAsia="zh-CN"/>
        </w:rPr>
        <w:t>4</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rPr>
        <w:t>磋商小组根据各磋商供应商的最终评分,按高低次</w:t>
      </w:r>
      <w:r>
        <w:rPr>
          <w:rFonts w:hint="eastAsia" w:ascii="宋体" w:hAnsi="宋体" w:eastAsia="宋体" w:cs="宋体"/>
          <w:color w:val="auto"/>
          <w:sz w:val="24"/>
          <w:szCs w:val="24"/>
        </w:rPr>
        <w:t xml:space="preserve">序确定磋商供应商最终  </w:t>
      </w:r>
      <w:r>
        <w:rPr>
          <w:rFonts w:hint="eastAsia" w:ascii="宋体" w:hAnsi="宋体" w:eastAsia="宋体" w:cs="宋体"/>
          <w:color w:val="auto"/>
          <w:spacing w:val="-4"/>
          <w:sz w:val="24"/>
          <w:szCs w:val="24"/>
        </w:rPr>
        <w:t>的排列名次，并按照磋商文件中规定推荐不超过三名有排序的合格的成交候选人。</w:t>
      </w:r>
      <w:r>
        <w:rPr>
          <w:rFonts w:hint="eastAsia" w:ascii="宋体" w:hAnsi="宋体" w:eastAsia="宋体" w:cs="宋体"/>
          <w:color w:val="auto"/>
          <w:spacing w:val="4"/>
          <w:sz w:val="24"/>
          <w:szCs w:val="24"/>
        </w:rPr>
        <w:t xml:space="preserve"> </w:t>
      </w:r>
      <w:r>
        <w:rPr>
          <w:rFonts w:hint="eastAsia" w:ascii="宋体" w:hAnsi="宋体" w:eastAsia="宋体" w:cs="宋体"/>
          <w:color w:val="auto"/>
          <w:spacing w:val="-3"/>
          <w:sz w:val="24"/>
          <w:szCs w:val="24"/>
        </w:rPr>
        <w:t>得分相同的，按最后报价由低到高顺序排列；得分且最后报价相同的，按技术指</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2"/>
          <w:sz w:val="24"/>
          <w:szCs w:val="24"/>
        </w:rPr>
        <w:t>标优劣顺序排列。</w:t>
      </w:r>
    </w:p>
    <w:p w14:paraId="2CD07974">
      <w:pPr>
        <w:pStyle w:val="4"/>
        <w:spacing w:before="78" w:line="218" w:lineRule="auto"/>
        <w:outlineLvl w:val="1"/>
        <w:rPr>
          <w:rFonts w:hint="eastAsia" w:ascii="宋体" w:hAnsi="宋体" w:eastAsia="宋体" w:cs="宋体"/>
          <w:color w:val="auto"/>
          <w:sz w:val="24"/>
          <w:szCs w:val="24"/>
        </w:rPr>
      </w:pPr>
      <w:bookmarkStart w:id="15" w:name="bookmark149"/>
      <w:bookmarkEnd w:id="15"/>
      <w:bookmarkStart w:id="16" w:name="bookmark150"/>
      <w:bookmarkEnd w:id="16"/>
      <w:r>
        <w:rPr>
          <w:rFonts w:hint="eastAsia" w:ascii="宋体" w:hAnsi="宋体" w:eastAsia="宋体" w:cs="宋体"/>
          <w:b/>
          <w:bCs/>
          <w:color w:val="auto"/>
          <w:spacing w:val="-3"/>
          <w:sz w:val="24"/>
          <w:szCs w:val="24"/>
        </w:rPr>
        <w:t>三、编写评审报告</w:t>
      </w:r>
    </w:p>
    <w:p w14:paraId="3036E9C4">
      <w:pPr>
        <w:pStyle w:val="4"/>
        <w:spacing w:before="184" w:line="218" w:lineRule="auto"/>
        <w:ind w:left="512"/>
        <w:outlineLvl w:val="1"/>
        <w:rPr>
          <w:rFonts w:hint="eastAsia" w:ascii="宋体" w:hAnsi="宋体" w:eastAsia="宋体" w:cs="宋体"/>
          <w:color w:val="auto"/>
          <w:sz w:val="24"/>
          <w:szCs w:val="24"/>
        </w:rPr>
      </w:pPr>
      <w:bookmarkStart w:id="17" w:name="bookmark152"/>
      <w:bookmarkEnd w:id="17"/>
      <w:bookmarkStart w:id="18" w:name="bookmark151"/>
      <w:bookmarkEnd w:id="18"/>
      <w:r>
        <w:rPr>
          <w:rFonts w:hint="eastAsia" w:ascii="宋体" w:hAnsi="宋体" w:eastAsia="宋体" w:cs="宋体"/>
          <w:b/>
          <w:bCs/>
          <w:color w:val="auto"/>
          <w:spacing w:val="-4"/>
          <w:sz w:val="24"/>
          <w:szCs w:val="24"/>
          <w:lang w:val="en-US" w:eastAsia="zh-CN"/>
        </w:rPr>
        <w:t>1、</w:t>
      </w:r>
      <w:r>
        <w:rPr>
          <w:rFonts w:hint="eastAsia" w:ascii="宋体" w:hAnsi="宋体" w:eastAsia="宋体" w:cs="宋体"/>
          <w:b/>
          <w:bCs/>
          <w:color w:val="auto"/>
          <w:spacing w:val="-4"/>
          <w:sz w:val="24"/>
          <w:szCs w:val="24"/>
        </w:rPr>
        <w:t>评审报告的内容</w:t>
      </w:r>
    </w:p>
    <w:p w14:paraId="7C400CD6">
      <w:pPr>
        <w:pStyle w:val="4"/>
        <w:spacing w:before="183" w:line="218" w:lineRule="auto"/>
        <w:ind w:left="499"/>
        <w:rPr>
          <w:rFonts w:hint="eastAsia" w:ascii="宋体" w:hAnsi="宋体" w:eastAsia="宋体" w:cs="宋体"/>
          <w:color w:val="auto"/>
          <w:sz w:val="24"/>
          <w:szCs w:val="24"/>
        </w:rPr>
      </w:pPr>
      <w:r>
        <w:rPr>
          <w:rFonts w:hint="eastAsia" w:ascii="宋体" w:hAnsi="宋体" w:eastAsia="宋体" w:cs="宋体"/>
          <w:color w:val="auto"/>
          <w:spacing w:val="-1"/>
          <w:sz w:val="24"/>
          <w:szCs w:val="24"/>
        </w:rPr>
        <w:t>评审报告应当包括以下主要内容：</w:t>
      </w:r>
    </w:p>
    <w:p w14:paraId="67D4F356">
      <w:pPr>
        <w:pStyle w:val="4"/>
        <w:spacing w:before="184" w:line="219" w:lineRule="auto"/>
        <w:ind w:left="512"/>
        <w:rPr>
          <w:rFonts w:hint="eastAsia" w:ascii="宋体" w:hAnsi="宋体" w:eastAsia="宋体" w:cs="宋体"/>
          <w:color w:val="auto"/>
          <w:sz w:val="24"/>
          <w:szCs w:val="24"/>
        </w:rPr>
      </w:pPr>
      <w:r>
        <w:rPr>
          <w:rFonts w:hint="eastAsia" w:ascii="宋体" w:hAnsi="宋体" w:eastAsia="宋体" w:cs="宋体"/>
          <w:color w:val="auto"/>
          <w:spacing w:val="-1"/>
          <w:sz w:val="24"/>
          <w:szCs w:val="24"/>
        </w:rPr>
        <w:t>（1）邀请供应商参加采购活动的具体方式和相关情况。</w:t>
      </w:r>
    </w:p>
    <w:p w14:paraId="11F95C9C">
      <w:pPr>
        <w:pStyle w:val="4"/>
        <w:spacing w:before="182" w:line="219" w:lineRule="auto"/>
        <w:ind w:left="512"/>
        <w:rPr>
          <w:rFonts w:hint="eastAsia" w:ascii="宋体" w:hAnsi="宋体" w:eastAsia="宋体" w:cs="宋体"/>
          <w:color w:val="auto"/>
          <w:sz w:val="24"/>
          <w:szCs w:val="24"/>
        </w:rPr>
      </w:pPr>
      <w:r>
        <w:rPr>
          <w:rFonts w:hint="eastAsia" w:ascii="宋体" w:hAnsi="宋体" w:eastAsia="宋体" w:cs="宋体"/>
          <w:color w:val="auto"/>
          <w:spacing w:val="-2"/>
          <w:sz w:val="24"/>
          <w:szCs w:val="24"/>
        </w:rPr>
        <w:t>（2）响应文件开启日期和地点。</w:t>
      </w:r>
    </w:p>
    <w:p w14:paraId="4194E350">
      <w:pPr>
        <w:pStyle w:val="4"/>
        <w:spacing w:before="182" w:line="219" w:lineRule="auto"/>
        <w:ind w:left="512"/>
        <w:rPr>
          <w:rFonts w:hint="eastAsia" w:ascii="宋体" w:hAnsi="宋体" w:eastAsia="宋体" w:cs="宋体"/>
          <w:color w:val="auto"/>
          <w:sz w:val="24"/>
          <w:szCs w:val="24"/>
        </w:rPr>
      </w:pPr>
      <w:r>
        <w:rPr>
          <w:rFonts w:hint="eastAsia" w:ascii="宋体" w:hAnsi="宋体" w:eastAsia="宋体" w:cs="宋体"/>
          <w:color w:val="auto"/>
          <w:spacing w:val="-1"/>
          <w:sz w:val="24"/>
          <w:szCs w:val="24"/>
        </w:rPr>
        <w:t>（3）获取磋商文件的供应商名单和磋商小组成员名单。</w:t>
      </w:r>
    </w:p>
    <w:p w14:paraId="76BE65AF">
      <w:pPr>
        <w:pStyle w:val="4"/>
        <w:spacing w:before="181" w:line="289" w:lineRule="auto"/>
        <w:ind w:left="19" w:right="197" w:firstLine="492"/>
        <w:rPr>
          <w:rFonts w:hint="eastAsia" w:ascii="宋体" w:hAnsi="宋体" w:eastAsia="宋体" w:cs="宋体"/>
          <w:color w:val="auto"/>
          <w:sz w:val="24"/>
          <w:szCs w:val="24"/>
        </w:rPr>
      </w:pPr>
      <w:r>
        <w:rPr>
          <w:rFonts w:hint="eastAsia" w:ascii="宋体" w:hAnsi="宋体" w:eastAsia="宋体" w:cs="宋体"/>
          <w:color w:val="auto"/>
          <w:sz w:val="24"/>
          <w:szCs w:val="24"/>
        </w:rPr>
        <w:t>（4）评审情况记录和说明，包括对供应商的资格审查情况、供应商响应文</w:t>
      </w:r>
      <w:r>
        <w:rPr>
          <w:rFonts w:hint="eastAsia" w:ascii="宋体" w:hAnsi="宋体" w:eastAsia="宋体" w:cs="宋体"/>
          <w:color w:val="auto"/>
          <w:spacing w:val="11"/>
          <w:sz w:val="24"/>
          <w:szCs w:val="24"/>
        </w:rPr>
        <w:t xml:space="preserve"> </w:t>
      </w:r>
      <w:r>
        <w:rPr>
          <w:rFonts w:hint="eastAsia" w:ascii="宋体" w:hAnsi="宋体" w:eastAsia="宋体" w:cs="宋体"/>
          <w:color w:val="auto"/>
          <w:spacing w:val="-1"/>
          <w:sz w:val="24"/>
          <w:szCs w:val="24"/>
        </w:rPr>
        <w:t>件评审情况、磋商情况、报价情况等。</w:t>
      </w:r>
    </w:p>
    <w:p w14:paraId="14547811">
      <w:pPr>
        <w:pStyle w:val="4"/>
        <w:spacing w:before="182" w:line="219" w:lineRule="auto"/>
        <w:ind w:left="512"/>
        <w:rPr>
          <w:rFonts w:hint="eastAsia" w:ascii="宋体" w:hAnsi="宋体" w:eastAsia="宋体" w:cs="宋体"/>
          <w:color w:val="auto"/>
          <w:sz w:val="24"/>
          <w:szCs w:val="24"/>
        </w:rPr>
      </w:pPr>
      <w:r>
        <w:rPr>
          <w:rFonts w:hint="eastAsia" w:ascii="宋体" w:hAnsi="宋体" w:eastAsia="宋体" w:cs="宋体"/>
          <w:color w:val="auto"/>
          <w:spacing w:val="-1"/>
          <w:sz w:val="24"/>
          <w:szCs w:val="24"/>
        </w:rPr>
        <w:t>（5）提出的成交候选供应商的排序名单及理由。</w:t>
      </w:r>
    </w:p>
    <w:p w14:paraId="5A85266B">
      <w:pPr>
        <w:pStyle w:val="4"/>
        <w:spacing w:before="184" w:line="218" w:lineRule="auto"/>
        <w:ind w:left="512"/>
        <w:outlineLvl w:val="1"/>
        <w:rPr>
          <w:rFonts w:hint="eastAsia" w:ascii="宋体" w:hAnsi="宋体" w:eastAsia="宋体" w:cs="宋体"/>
          <w:color w:val="auto"/>
          <w:sz w:val="24"/>
          <w:szCs w:val="24"/>
        </w:rPr>
      </w:pPr>
      <w:bookmarkStart w:id="19" w:name="bookmark154"/>
      <w:bookmarkEnd w:id="19"/>
      <w:bookmarkStart w:id="20" w:name="bookmark153"/>
      <w:bookmarkEnd w:id="20"/>
      <w:r>
        <w:rPr>
          <w:rFonts w:hint="eastAsia" w:ascii="宋体" w:hAnsi="宋体" w:eastAsia="宋体" w:cs="宋体"/>
          <w:b/>
          <w:bCs/>
          <w:color w:val="auto"/>
          <w:spacing w:val="-4"/>
          <w:sz w:val="24"/>
          <w:szCs w:val="24"/>
          <w:lang w:val="en-US" w:eastAsia="zh-CN"/>
        </w:rPr>
        <w:t>2、</w:t>
      </w:r>
      <w:r>
        <w:rPr>
          <w:rFonts w:hint="eastAsia" w:ascii="宋体" w:hAnsi="宋体" w:eastAsia="宋体" w:cs="宋体"/>
          <w:b/>
          <w:bCs/>
          <w:color w:val="auto"/>
          <w:spacing w:val="-4"/>
          <w:sz w:val="24"/>
          <w:szCs w:val="24"/>
        </w:rPr>
        <w:t>评审报告的签署</w:t>
      </w:r>
    </w:p>
    <w:p w14:paraId="76DFC0B4">
      <w:pPr>
        <w:pStyle w:val="4"/>
        <w:spacing w:before="188" w:line="353" w:lineRule="auto"/>
        <w:ind w:left="22" w:right="138" w:firstLine="477"/>
        <w:jc w:val="both"/>
        <w:rPr>
          <w:rFonts w:hint="eastAsia" w:ascii="宋体" w:hAnsi="宋体" w:eastAsia="宋体" w:cs="宋体"/>
          <w:color w:val="auto"/>
          <w:sz w:val="24"/>
          <w:szCs w:val="24"/>
        </w:rPr>
      </w:pPr>
      <w:r>
        <w:rPr>
          <w:rFonts w:hint="eastAsia" w:ascii="宋体" w:hAnsi="宋体" w:eastAsia="宋体" w:cs="宋体"/>
          <w:color w:val="auto"/>
          <w:spacing w:val="-3"/>
          <w:sz w:val="24"/>
          <w:szCs w:val="24"/>
        </w:rPr>
        <w:t>评审报告应当由磋商小组全体人员签字认可。磋商小组成员对评审报告有异</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议的，磋商小组按照少数服从多数的原则推荐成交候选供应商，采购程序继续进</w:t>
      </w: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8"/>
          <w:sz w:val="24"/>
          <w:szCs w:val="24"/>
        </w:rPr>
        <w:t>行。对评审报告有异议的磋商小组成员，应当在报告上签署不同意见并说明理由，</w:t>
      </w:r>
      <w:r>
        <w:rPr>
          <w:rFonts w:hint="eastAsia" w:ascii="宋体" w:hAnsi="宋体" w:eastAsia="宋体" w:cs="宋体"/>
          <w:color w:val="auto"/>
          <w:spacing w:val="8"/>
          <w:sz w:val="24"/>
          <w:szCs w:val="24"/>
        </w:rPr>
        <w:t xml:space="preserve"> </w:t>
      </w:r>
      <w:r>
        <w:rPr>
          <w:rFonts w:hint="eastAsia" w:ascii="宋体" w:hAnsi="宋体" w:eastAsia="宋体" w:cs="宋体"/>
          <w:color w:val="auto"/>
          <w:spacing w:val="-3"/>
          <w:sz w:val="24"/>
          <w:szCs w:val="24"/>
        </w:rPr>
        <w:t>由磋商小组书面记录相关情况。磋商小组成员拒绝在报告上签字又不书面说明其</w:t>
      </w: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1"/>
          <w:sz w:val="24"/>
          <w:szCs w:val="24"/>
        </w:rPr>
        <w:t>不同意见和理由的，视为同意评审报告。</w:t>
      </w:r>
    </w:p>
    <w:p w14:paraId="613AB8F0">
      <w:pPr>
        <w:spacing w:line="353" w:lineRule="auto"/>
        <w:rPr>
          <w:rFonts w:hint="eastAsia" w:ascii="宋体" w:hAnsi="宋体" w:eastAsia="宋体" w:cs="宋体"/>
          <w:color w:val="auto"/>
          <w:sz w:val="24"/>
          <w:szCs w:val="24"/>
        </w:rPr>
        <w:sectPr>
          <w:headerReference r:id="rId8" w:type="default"/>
          <w:footerReference r:id="rId9" w:type="default"/>
          <w:pgSz w:w="11907" w:h="16840"/>
          <w:pgMar w:top="1196" w:right="1598" w:bottom="1171" w:left="1786" w:header="911" w:footer="898" w:gutter="0"/>
          <w:pgNumType w:fmt="decimal"/>
          <w:cols w:space="720" w:num="1"/>
        </w:sectPr>
      </w:pPr>
    </w:p>
    <w:p w14:paraId="7BC8DE1D">
      <w:pPr>
        <w:pStyle w:val="4"/>
        <w:spacing w:before="37" w:line="219" w:lineRule="auto"/>
        <w:ind w:left="102"/>
        <w:outlineLvl w:val="1"/>
        <w:rPr>
          <w:rFonts w:hint="eastAsia" w:ascii="黑体" w:hAnsi="宋体" w:eastAsia="黑体" w:cs="黑体"/>
          <w:b/>
          <w:bCs/>
          <w:color w:val="auto"/>
          <w:kern w:val="0"/>
          <w:sz w:val="28"/>
          <w:szCs w:val="28"/>
          <w:lang w:val="en-US" w:eastAsia="zh-CN" w:bidi="ar"/>
        </w:rPr>
      </w:pPr>
      <w:r>
        <w:rPr>
          <w:rFonts w:hint="eastAsia" w:ascii="黑体" w:hAnsi="宋体" w:eastAsia="黑体" w:cs="黑体"/>
          <w:b/>
          <w:bCs/>
          <w:color w:val="auto"/>
          <w:kern w:val="0"/>
          <w:sz w:val="28"/>
          <w:szCs w:val="28"/>
          <w:lang w:val="en-US" w:eastAsia="zh-CN" w:bidi="ar"/>
        </w:rPr>
        <w:t>第五部分 合同书(参考)</w:t>
      </w:r>
    </w:p>
    <w:p w14:paraId="7C2EA76F">
      <w:pPr>
        <w:spacing w:line="440" w:lineRule="auto"/>
        <w:rPr>
          <w:rFonts w:hint="eastAsia" w:ascii="宋体" w:hAnsi="宋体" w:eastAsia="宋体" w:cs="宋体"/>
          <w:color w:val="auto"/>
          <w:sz w:val="21"/>
        </w:rPr>
      </w:pPr>
    </w:p>
    <w:p w14:paraId="1F48BBDC">
      <w:pPr>
        <w:spacing w:line="440" w:lineRule="auto"/>
        <w:rPr>
          <w:rFonts w:hint="eastAsia" w:ascii="宋体" w:hAnsi="宋体" w:eastAsia="宋体" w:cs="宋体"/>
          <w:color w:val="auto"/>
          <w:sz w:val="21"/>
        </w:rPr>
      </w:pPr>
    </w:p>
    <w:p w14:paraId="31C1A04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合同格式（仅作参考）</w:t>
      </w:r>
    </w:p>
    <w:p w14:paraId="0AEB0ADF">
      <w:pPr>
        <w:pStyle w:val="3"/>
        <w:spacing w:line="360" w:lineRule="auto"/>
        <w:ind w:firstLine="480"/>
        <w:jc w:val="center"/>
        <w:rPr>
          <w:rFonts w:hint="eastAsia" w:ascii="宋体" w:hAnsi="宋体" w:eastAsia="宋体" w:cs="宋体"/>
          <w:b/>
          <w:color w:val="auto"/>
          <w:sz w:val="24"/>
          <w:szCs w:val="24"/>
          <w:highlight w:val="none"/>
          <w:lang w:val="en-US"/>
        </w:rPr>
      </w:pPr>
    </w:p>
    <w:p w14:paraId="135ACBFD">
      <w:pPr>
        <w:pStyle w:val="3"/>
        <w:spacing w:line="360" w:lineRule="auto"/>
        <w:ind w:firstLine="480"/>
        <w:jc w:val="center"/>
        <w:rPr>
          <w:rFonts w:hint="eastAsia" w:ascii="宋体" w:hAnsi="宋体" w:eastAsia="宋体" w:cs="宋体"/>
          <w:b/>
          <w:color w:val="auto"/>
          <w:sz w:val="24"/>
          <w:szCs w:val="24"/>
          <w:highlight w:val="none"/>
        </w:rPr>
      </w:pPr>
    </w:p>
    <w:p w14:paraId="48397E04">
      <w:pPr>
        <w:pStyle w:val="3"/>
        <w:spacing w:line="360" w:lineRule="auto"/>
        <w:ind w:firstLine="480"/>
        <w:jc w:val="center"/>
        <w:rPr>
          <w:rFonts w:hint="eastAsia" w:ascii="宋体" w:hAnsi="宋体" w:eastAsia="宋体" w:cs="宋体"/>
          <w:b/>
          <w:color w:val="auto"/>
          <w:sz w:val="24"/>
          <w:szCs w:val="24"/>
          <w:highlight w:val="none"/>
        </w:rPr>
      </w:pPr>
    </w:p>
    <w:p w14:paraId="2F2A904E">
      <w:pPr>
        <w:pStyle w:val="3"/>
        <w:spacing w:line="360" w:lineRule="auto"/>
        <w:ind w:firstLine="480"/>
        <w:jc w:val="center"/>
        <w:rPr>
          <w:rFonts w:hint="eastAsia" w:ascii="宋体" w:hAnsi="宋体" w:eastAsia="宋体" w:cs="宋体"/>
          <w:b/>
          <w:color w:val="auto"/>
          <w:sz w:val="24"/>
          <w:szCs w:val="24"/>
          <w:highlight w:val="none"/>
        </w:rPr>
      </w:pPr>
    </w:p>
    <w:p w14:paraId="26E6706D">
      <w:pPr>
        <w:pStyle w:val="3"/>
        <w:spacing w:line="360" w:lineRule="auto"/>
        <w:ind w:firstLine="480"/>
        <w:jc w:val="center"/>
        <w:rPr>
          <w:rFonts w:hint="eastAsia" w:ascii="宋体" w:hAnsi="宋体" w:eastAsia="宋体" w:cs="宋体"/>
          <w:b/>
          <w:color w:val="auto"/>
          <w:sz w:val="24"/>
          <w:szCs w:val="24"/>
          <w:highlight w:val="none"/>
        </w:rPr>
      </w:pPr>
    </w:p>
    <w:p w14:paraId="691A214B">
      <w:pPr>
        <w:pStyle w:val="3"/>
        <w:spacing w:line="360" w:lineRule="auto"/>
        <w:ind w:firstLine="480"/>
        <w:jc w:val="center"/>
        <w:rPr>
          <w:rFonts w:hint="eastAsia" w:ascii="宋体" w:hAnsi="宋体" w:eastAsia="宋体" w:cs="宋体"/>
          <w:b/>
          <w:color w:val="auto"/>
          <w:sz w:val="24"/>
          <w:szCs w:val="24"/>
          <w:highlight w:val="none"/>
        </w:rPr>
      </w:pPr>
    </w:p>
    <w:p w14:paraId="4A50A2F9">
      <w:pPr>
        <w:pStyle w:val="3"/>
        <w:spacing w:line="360" w:lineRule="auto"/>
        <w:ind w:firstLine="48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采购合同</w:t>
      </w:r>
    </w:p>
    <w:p w14:paraId="384A0904">
      <w:pPr>
        <w:pStyle w:val="3"/>
        <w:spacing w:line="360" w:lineRule="auto"/>
        <w:ind w:firstLine="0"/>
        <w:rPr>
          <w:rFonts w:hint="eastAsia" w:ascii="宋体" w:hAnsi="宋体" w:eastAsia="宋体" w:cs="宋体"/>
          <w:color w:val="auto"/>
          <w:sz w:val="24"/>
          <w:szCs w:val="24"/>
          <w:highlight w:val="none"/>
        </w:rPr>
      </w:pPr>
    </w:p>
    <w:p w14:paraId="1ED3F8F9">
      <w:pPr>
        <w:spacing w:before="120" w:line="360" w:lineRule="auto"/>
        <w:ind w:firstLine="1920" w:firstLineChars="8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w:t>
      </w:r>
    </w:p>
    <w:p w14:paraId="67A926D2">
      <w:pPr>
        <w:spacing w:before="120" w:line="360" w:lineRule="auto"/>
        <w:ind w:firstLine="1920" w:firstLineChars="8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w:t>
      </w:r>
    </w:p>
    <w:p w14:paraId="6FB05CBF">
      <w:pPr>
        <w:spacing w:before="120" w:line="360" w:lineRule="auto"/>
        <w:ind w:firstLine="1920" w:firstLineChars="8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服务内容：</w:t>
      </w:r>
      <w:r>
        <w:rPr>
          <w:rFonts w:hint="eastAsia" w:ascii="宋体" w:hAnsi="宋体" w:eastAsia="宋体" w:cs="宋体"/>
          <w:color w:val="auto"/>
          <w:sz w:val="24"/>
          <w:szCs w:val="24"/>
          <w:highlight w:val="none"/>
          <w:u w:val="single"/>
        </w:rPr>
        <w:t>　　　　　　 　　　　　　　　　　　</w:t>
      </w:r>
    </w:p>
    <w:p w14:paraId="1855215C">
      <w:pPr>
        <w:pStyle w:val="8"/>
        <w:spacing w:before="120" w:line="360" w:lineRule="auto"/>
        <w:rPr>
          <w:rFonts w:hint="eastAsia" w:ascii="宋体" w:hAnsi="宋体" w:eastAsia="宋体" w:cs="宋体"/>
          <w:color w:val="auto"/>
          <w:sz w:val="24"/>
          <w:szCs w:val="24"/>
          <w:highlight w:val="none"/>
        </w:rPr>
      </w:pPr>
    </w:p>
    <w:p w14:paraId="2E2A17FE">
      <w:pPr>
        <w:spacing w:before="120" w:line="360" w:lineRule="auto"/>
        <w:ind w:firstLine="1920" w:firstLineChars="8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 购 人：</w:t>
      </w:r>
      <w:r>
        <w:rPr>
          <w:rFonts w:hint="eastAsia" w:ascii="宋体" w:hAnsi="宋体" w:eastAsia="宋体" w:cs="宋体"/>
          <w:color w:val="auto"/>
          <w:sz w:val="24"/>
          <w:szCs w:val="24"/>
          <w:highlight w:val="none"/>
          <w:u w:val="single"/>
        </w:rPr>
        <w:t>　　　　　　 　　　　　　　　　　　</w:t>
      </w:r>
    </w:p>
    <w:p w14:paraId="54AC3A45">
      <w:pPr>
        <w:spacing w:before="120" w:line="360" w:lineRule="auto"/>
        <w:ind w:firstLine="1920" w:firstLineChars="8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供 应 商：</w:t>
      </w:r>
      <w:r>
        <w:rPr>
          <w:rFonts w:hint="eastAsia" w:ascii="宋体" w:hAnsi="宋体" w:eastAsia="宋体" w:cs="宋体"/>
          <w:color w:val="auto"/>
          <w:sz w:val="24"/>
          <w:szCs w:val="24"/>
          <w:highlight w:val="none"/>
          <w:u w:val="single"/>
        </w:rPr>
        <w:t>　　　　　　 　　　　　　　　　　　</w:t>
      </w:r>
    </w:p>
    <w:p w14:paraId="78411CF2">
      <w:pPr>
        <w:spacing w:before="120" w:line="360" w:lineRule="auto"/>
        <w:ind w:firstLine="1920" w:firstLineChars="8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签署日期：</w:t>
      </w:r>
      <w:r>
        <w:rPr>
          <w:rFonts w:hint="eastAsia" w:ascii="宋体" w:hAnsi="宋体" w:eastAsia="宋体" w:cs="宋体"/>
          <w:color w:val="auto"/>
          <w:sz w:val="24"/>
          <w:szCs w:val="24"/>
          <w:highlight w:val="none"/>
          <w:u w:val="single"/>
        </w:rPr>
        <w:t>　　　　　　 　　　　　　　　　　　</w:t>
      </w:r>
    </w:p>
    <w:p w14:paraId="380C6A98">
      <w:pPr>
        <w:spacing w:before="70" w:line="353" w:lineRule="exact"/>
        <w:ind w:left="3694"/>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41FCCA53">
      <w:pPr>
        <w:pStyle w:val="2"/>
        <w:keepNext/>
        <w:keepLines/>
        <w:pageBreakBefore w:val="0"/>
        <w:widowControl w:val="0"/>
        <w:kinsoku/>
        <w:wordWrap/>
        <w:overflowPunct/>
        <w:topLinePunct w:val="0"/>
        <w:autoSpaceDE/>
        <w:autoSpaceDN/>
        <w:bidi w:val="0"/>
        <w:adjustRightInd/>
        <w:snapToGrid/>
        <w:spacing w:before="304" w:line="600" w:lineRule="exact"/>
        <w:ind w:left="1043"/>
        <w:jc w:val="center"/>
        <w:textAlignment w:val="auto"/>
        <w:rPr>
          <w:rFonts w:hint="eastAsia"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lang w:val="en-US" w:eastAsia="zh-CN"/>
        </w:rPr>
        <w:t>合同格式及合同条款（参考）</w:t>
      </w:r>
    </w:p>
    <w:p w14:paraId="0DE5F0CE">
      <w:pPr>
        <w:pStyle w:val="5"/>
        <w:rPr>
          <w:rFonts w:hint="eastAsia" w:ascii="宋体" w:hAnsi="宋体" w:eastAsia="宋体" w:cs="宋体"/>
          <w:b/>
          <w:color w:val="auto"/>
          <w:sz w:val="24"/>
          <w:szCs w:val="24"/>
          <w:highlight w:val="none"/>
        </w:rPr>
      </w:pPr>
    </w:p>
    <w:p w14:paraId="069C6E28">
      <w:pPr>
        <w:widowControl/>
        <w:spacing w:line="520" w:lineRule="exact"/>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甲方：</w:t>
      </w:r>
      <w:r>
        <w:rPr>
          <w:rFonts w:hint="eastAsia" w:ascii="宋体" w:hAnsi="宋体" w:eastAsia="宋体" w:cs="宋体"/>
          <w:b/>
          <w:bCs/>
          <w:color w:val="auto"/>
          <w:sz w:val="24"/>
          <w:szCs w:val="24"/>
          <w:lang w:eastAsia="zh-CN"/>
        </w:rPr>
        <w:t>武汉市东西湖区人民政府长青街道办事处</w:t>
      </w:r>
    </w:p>
    <w:p w14:paraId="5B7F7A31">
      <w:pPr>
        <w:widowControl/>
        <w:spacing w:line="52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乙方：</w:t>
      </w:r>
    </w:p>
    <w:p w14:paraId="7FCDF0AC">
      <w:pPr>
        <w:spacing w:before="78" w:line="353" w:lineRule="auto"/>
        <w:ind w:left="46" w:right="26" w:firstLine="481"/>
        <w:jc w:val="both"/>
        <w:rPr>
          <w:rFonts w:hint="eastAsia" w:ascii="宋体" w:hAnsi="宋体" w:eastAsia="宋体" w:cs="宋体"/>
          <w:color w:val="auto"/>
          <w:sz w:val="24"/>
          <w:szCs w:val="24"/>
        </w:rPr>
      </w:pPr>
      <w:r>
        <w:rPr>
          <w:rFonts w:hint="eastAsia" w:ascii="宋体" w:hAnsi="宋体" w:eastAsia="宋体" w:cs="宋体"/>
          <w:color w:val="auto"/>
          <w:sz w:val="24"/>
          <w:szCs w:val="24"/>
        </w:rPr>
        <w:t>本合同由甲乙双方根据《中华人民共和国政府采购</w:t>
      </w:r>
      <w:r>
        <w:rPr>
          <w:rFonts w:hint="eastAsia" w:ascii="宋体" w:hAnsi="宋体" w:eastAsia="宋体" w:cs="宋体"/>
          <w:color w:val="auto"/>
          <w:spacing w:val="-1"/>
          <w:sz w:val="24"/>
          <w:szCs w:val="24"/>
        </w:rPr>
        <w:t>法》《中华人民共和国政府</w:t>
      </w:r>
      <w:r>
        <w:rPr>
          <w:rFonts w:hint="eastAsia" w:ascii="宋体" w:hAnsi="宋体" w:eastAsia="宋体" w:cs="宋体"/>
          <w:color w:val="auto"/>
          <w:sz w:val="24"/>
          <w:szCs w:val="24"/>
        </w:rPr>
        <w:t xml:space="preserve">  </w:t>
      </w:r>
      <w:r>
        <w:rPr>
          <w:rFonts w:hint="eastAsia" w:ascii="宋体" w:hAnsi="宋体" w:eastAsia="宋体" w:cs="宋体"/>
          <w:color w:val="auto"/>
          <w:spacing w:val="-2"/>
          <w:sz w:val="24"/>
          <w:szCs w:val="24"/>
        </w:rPr>
        <w:t>采购法实施条例》《中华人民共和国民法典》等相关法律法规规定，按平等</w:t>
      </w:r>
      <w:r>
        <w:rPr>
          <w:rFonts w:hint="eastAsia" w:ascii="宋体" w:hAnsi="宋体" w:eastAsia="宋体" w:cs="宋体"/>
          <w:color w:val="auto"/>
          <w:spacing w:val="-3"/>
          <w:sz w:val="24"/>
          <w:szCs w:val="24"/>
        </w:rPr>
        <w:t>、自愿、</w:t>
      </w:r>
      <w:r>
        <w:rPr>
          <w:rFonts w:hint="eastAsia" w:ascii="宋体" w:hAnsi="宋体" w:eastAsia="宋体" w:cs="宋体"/>
          <w:color w:val="auto"/>
          <w:sz w:val="24"/>
          <w:szCs w:val="24"/>
        </w:rPr>
        <w:t xml:space="preserve"> 诚实信用的原则拟定，甲、乙双方均应遵守法律规定和合同</w:t>
      </w:r>
      <w:r>
        <w:rPr>
          <w:rFonts w:hint="eastAsia" w:ascii="宋体" w:hAnsi="宋体" w:eastAsia="宋体" w:cs="宋体"/>
          <w:color w:val="auto"/>
          <w:spacing w:val="-1"/>
          <w:sz w:val="24"/>
          <w:szCs w:val="24"/>
        </w:rPr>
        <w:t>约定，并各自履行应负</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的全部责任和义务。</w:t>
      </w:r>
    </w:p>
    <w:p w14:paraId="170D9C1D">
      <w:pPr>
        <w:spacing w:before="92" w:line="219" w:lineRule="auto"/>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一、</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项目基本情况</w:t>
      </w:r>
    </w:p>
    <w:p w14:paraId="2870B377">
      <w:pPr>
        <w:spacing w:before="183" w:line="212" w:lineRule="auto"/>
        <w:ind w:left="1022"/>
        <w:rPr>
          <w:rFonts w:hint="eastAsia" w:ascii="宋体" w:hAnsi="宋体" w:eastAsia="宋体" w:cs="宋体"/>
          <w:color w:val="auto"/>
          <w:sz w:val="25"/>
          <w:szCs w:val="25"/>
        </w:rPr>
      </w:pPr>
      <w:r>
        <w:rPr>
          <w:rFonts w:hint="eastAsia" w:ascii="宋体" w:hAnsi="宋体" w:eastAsia="宋体" w:cs="宋体"/>
          <w:color w:val="auto"/>
          <w:spacing w:val="-3"/>
          <w:sz w:val="24"/>
          <w:szCs w:val="24"/>
        </w:rPr>
        <w:t>1．项目名称：</w:t>
      </w:r>
      <w:r>
        <w:rPr>
          <w:rFonts w:hint="eastAsia" w:ascii="宋体" w:hAnsi="宋体" w:eastAsia="宋体" w:cs="宋体"/>
          <w:color w:val="auto"/>
          <w:spacing w:val="-3"/>
          <w:sz w:val="25"/>
          <w:szCs w:val="25"/>
          <w:u w:val="single" w:color="auto"/>
        </w:rPr>
        <w:t xml:space="preserve">         </w:t>
      </w:r>
      <w:r>
        <w:rPr>
          <w:rFonts w:hint="eastAsia" w:ascii="宋体" w:hAnsi="宋体" w:eastAsia="宋体" w:cs="宋体"/>
          <w:i/>
          <w:iCs/>
          <w:color w:val="auto"/>
          <w:spacing w:val="-3"/>
          <w:sz w:val="25"/>
          <w:szCs w:val="25"/>
          <w:u w:val="single" w:color="auto"/>
        </w:rPr>
        <w:t>(见招标文件)</w:t>
      </w:r>
      <w:r>
        <w:rPr>
          <w:rFonts w:hint="eastAsia" w:ascii="宋体" w:hAnsi="宋体" w:eastAsia="宋体" w:cs="宋体"/>
          <w:color w:val="auto"/>
          <w:sz w:val="25"/>
          <w:szCs w:val="25"/>
          <w:u w:val="single" w:color="auto"/>
        </w:rPr>
        <w:t xml:space="preserve">              </w:t>
      </w:r>
    </w:p>
    <w:p w14:paraId="04A6A2B0">
      <w:pPr>
        <w:spacing w:before="181" w:line="212" w:lineRule="auto"/>
        <w:ind w:left="1008"/>
        <w:rPr>
          <w:rFonts w:hint="eastAsia" w:ascii="宋体" w:hAnsi="宋体" w:eastAsia="宋体" w:cs="宋体"/>
          <w:color w:val="auto"/>
          <w:sz w:val="25"/>
          <w:szCs w:val="25"/>
        </w:rPr>
      </w:pPr>
      <w:r>
        <w:rPr>
          <w:rFonts w:hint="eastAsia" w:ascii="宋体" w:hAnsi="宋体" w:eastAsia="宋体" w:cs="宋体"/>
          <w:color w:val="auto"/>
          <w:spacing w:val="-3"/>
          <w:sz w:val="24"/>
          <w:szCs w:val="24"/>
        </w:rPr>
        <w:t>2．项目编号：</w:t>
      </w:r>
      <w:r>
        <w:rPr>
          <w:rFonts w:hint="eastAsia" w:ascii="宋体" w:hAnsi="宋体" w:eastAsia="宋体" w:cs="宋体"/>
          <w:color w:val="auto"/>
          <w:spacing w:val="-3"/>
          <w:sz w:val="25"/>
          <w:szCs w:val="25"/>
          <w:u w:val="single" w:color="auto"/>
        </w:rPr>
        <w:t xml:space="preserve">          </w:t>
      </w:r>
      <w:r>
        <w:rPr>
          <w:rFonts w:hint="eastAsia" w:ascii="宋体" w:hAnsi="宋体" w:eastAsia="宋体" w:cs="宋体"/>
          <w:i/>
          <w:iCs/>
          <w:color w:val="auto"/>
          <w:spacing w:val="-3"/>
          <w:sz w:val="25"/>
          <w:szCs w:val="25"/>
          <w:u w:val="single" w:color="auto"/>
        </w:rPr>
        <w:t>(见招标文件)</w:t>
      </w:r>
      <w:r>
        <w:rPr>
          <w:rFonts w:hint="eastAsia" w:ascii="宋体" w:hAnsi="宋体" w:eastAsia="宋体" w:cs="宋体"/>
          <w:color w:val="auto"/>
          <w:spacing w:val="1"/>
          <w:sz w:val="25"/>
          <w:szCs w:val="25"/>
          <w:u w:val="single" w:color="auto"/>
        </w:rPr>
        <w:t xml:space="preserve">            </w:t>
      </w:r>
    </w:p>
    <w:p w14:paraId="6D0B80DD">
      <w:pPr>
        <w:spacing w:before="178" w:line="212" w:lineRule="auto"/>
        <w:ind w:left="1009"/>
        <w:rPr>
          <w:rFonts w:hint="eastAsia" w:ascii="宋体" w:hAnsi="宋体" w:eastAsia="宋体" w:cs="宋体"/>
          <w:color w:val="auto"/>
          <w:sz w:val="25"/>
          <w:szCs w:val="25"/>
        </w:rPr>
      </w:pPr>
      <w:r>
        <w:rPr>
          <w:rFonts w:hint="eastAsia" w:ascii="宋体" w:hAnsi="宋体" w:eastAsia="宋体" w:cs="宋体"/>
          <w:color w:val="auto"/>
          <w:spacing w:val="-1"/>
          <w:sz w:val="24"/>
          <w:szCs w:val="24"/>
        </w:rPr>
        <w:t>3．政府采购计划备案号：</w:t>
      </w:r>
      <w:r>
        <w:rPr>
          <w:rFonts w:hint="eastAsia" w:ascii="宋体" w:hAnsi="宋体" w:eastAsia="宋体" w:cs="宋体"/>
          <w:color w:val="auto"/>
          <w:spacing w:val="-1"/>
          <w:sz w:val="25"/>
          <w:szCs w:val="25"/>
          <w:u w:val="single" w:color="auto"/>
        </w:rPr>
        <w:t xml:space="preserve">  </w:t>
      </w:r>
      <w:r>
        <w:rPr>
          <w:rFonts w:hint="eastAsia" w:ascii="宋体" w:hAnsi="宋体" w:eastAsia="宋体" w:cs="宋体"/>
          <w:i/>
          <w:iCs/>
          <w:color w:val="auto"/>
          <w:spacing w:val="-1"/>
          <w:sz w:val="25"/>
          <w:szCs w:val="25"/>
          <w:u w:val="single" w:color="auto"/>
        </w:rPr>
        <w:t>(见招标文件)</w:t>
      </w:r>
      <w:r>
        <w:rPr>
          <w:rFonts w:hint="eastAsia" w:ascii="宋体" w:hAnsi="宋体" w:eastAsia="宋体" w:cs="宋体"/>
          <w:color w:val="auto"/>
          <w:sz w:val="25"/>
          <w:szCs w:val="25"/>
          <w:u w:val="single" w:color="auto"/>
        </w:rPr>
        <w:t xml:space="preserve">           </w:t>
      </w:r>
    </w:p>
    <w:p w14:paraId="1A78C9F6">
      <w:pPr>
        <w:spacing w:before="179" w:line="212" w:lineRule="auto"/>
        <w:ind w:left="1004"/>
        <w:rPr>
          <w:rFonts w:hint="eastAsia" w:ascii="宋体" w:hAnsi="宋体" w:eastAsia="宋体" w:cs="宋体"/>
          <w:color w:val="auto"/>
          <w:sz w:val="25"/>
          <w:szCs w:val="25"/>
        </w:rPr>
      </w:pPr>
      <w:r>
        <w:rPr>
          <w:rFonts w:hint="eastAsia" w:ascii="宋体" w:hAnsi="宋体" w:eastAsia="宋体" w:cs="宋体"/>
          <w:color w:val="auto"/>
          <w:spacing w:val="-4"/>
          <w:sz w:val="24"/>
          <w:szCs w:val="24"/>
        </w:rPr>
        <w:t>4．项目概况：</w:t>
      </w:r>
      <w:r>
        <w:rPr>
          <w:rFonts w:hint="eastAsia" w:ascii="宋体" w:hAnsi="宋体" w:eastAsia="宋体" w:cs="宋体"/>
          <w:color w:val="auto"/>
          <w:spacing w:val="8"/>
          <w:sz w:val="25"/>
          <w:szCs w:val="25"/>
          <w:u w:val="single" w:color="auto"/>
        </w:rPr>
        <w:t xml:space="preserve">             </w:t>
      </w:r>
      <w:r>
        <w:rPr>
          <w:rFonts w:hint="eastAsia" w:ascii="宋体" w:hAnsi="宋体" w:eastAsia="宋体" w:cs="宋体"/>
          <w:i/>
          <w:iCs/>
          <w:color w:val="auto"/>
          <w:spacing w:val="-4"/>
          <w:sz w:val="25"/>
          <w:szCs w:val="25"/>
          <w:u w:val="single" w:color="auto"/>
        </w:rPr>
        <w:t>(见招标文件)</w:t>
      </w:r>
      <w:r>
        <w:rPr>
          <w:rFonts w:hint="eastAsia" w:ascii="宋体" w:hAnsi="宋体" w:eastAsia="宋体" w:cs="宋体"/>
          <w:color w:val="auto"/>
          <w:sz w:val="25"/>
          <w:szCs w:val="25"/>
          <w:u w:val="single" w:color="auto"/>
        </w:rPr>
        <w:t xml:space="preserve">          </w:t>
      </w:r>
    </w:p>
    <w:p w14:paraId="1F0E3826">
      <w:pPr>
        <w:spacing w:before="241" w:line="219" w:lineRule="auto"/>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二、</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标的名称、数量（规模）</w:t>
      </w:r>
    </w:p>
    <w:p w14:paraId="4B9B42A4">
      <w:pPr>
        <w:spacing w:line="147" w:lineRule="exact"/>
        <w:rPr>
          <w:rFonts w:hint="eastAsia" w:ascii="宋体" w:hAnsi="宋体" w:eastAsia="宋体" w:cs="宋体"/>
          <w:color w:val="auto"/>
        </w:rPr>
      </w:pPr>
    </w:p>
    <w:tbl>
      <w:tblPr>
        <w:tblStyle w:val="12"/>
        <w:tblW w:w="87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2"/>
        <w:gridCol w:w="2377"/>
        <w:gridCol w:w="1131"/>
        <w:gridCol w:w="654"/>
        <w:gridCol w:w="627"/>
        <w:gridCol w:w="858"/>
        <w:gridCol w:w="2560"/>
      </w:tblGrid>
      <w:tr w14:paraId="75871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592" w:type="dxa"/>
            <w:vAlign w:val="top"/>
          </w:tcPr>
          <w:p w14:paraId="41275E8D">
            <w:pPr>
              <w:pStyle w:val="13"/>
              <w:spacing w:before="35" w:line="221" w:lineRule="auto"/>
              <w:ind w:left="60"/>
              <w:rPr>
                <w:rFonts w:hint="eastAsia" w:ascii="宋体" w:hAnsi="宋体" w:eastAsia="宋体" w:cs="宋体"/>
                <w:color w:val="auto"/>
                <w:sz w:val="24"/>
                <w:szCs w:val="24"/>
              </w:rPr>
            </w:pPr>
            <w:r>
              <w:rPr>
                <w:rFonts w:hint="eastAsia" w:ascii="宋体" w:hAnsi="宋体" w:eastAsia="宋体" w:cs="宋体"/>
                <w:color w:val="auto"/>
              </w:rPr>
              <w:drawing>
                <wp:anchor distT="0" distB="0" distL="0" distR="0" simplePos="0" relativeHeight="251663360" behindDoc="1" locked="0" layoutInCell="1" allowOverlap="1">
                  <wp:simplePos x="0" y="0"/>
                  <wp:positionH relativeFrom="column">
                    <wp:posOffset>-1270</wp:posOffset>
                  </wp:positionH>
                  <wp:positionV relativeFrom="paragraph">
                    <wp:posOffset>-1905</wp:posOffset>
                  </wp:positionV>
                  <wp:extent cx="375285" cy="297180"/>
                  <wp:effectExtent l="0" t="0" r="5715" b="7620"/>
                  <wp:wrapNone/>
                  <wp:docPr id="10" name="IM 2"/>
                  <wp:cNvGraphicFramePr/>
                  <a:graphic xmlns:a="http://schemas.openxmlformats.org/drawingml/2006/main">
                    <a:graphicData uri="http://schemas.openxmlformats.org/drawingml/2006/picture">
                      <pic:pic xmlns:pic="http://schemas.openxmlformats.org/drawingml/2006/picture">
                        <pic:nvPicPr>
                          <pic:cNvPr id="10" name="IM 2"/>
                          <pic:cNvPicPr/>
                        </pic:nvPicPr>
                        <pic:blipFill>
                          <a:blip r:embed="rId11"/>
                          <a:stretch>
                            <a:fillRect/>
                          </a:stretch>
                        </pic:blipFill>
                        <pic:spPr>
                          <a:xfrm>
                            <a:off x="0" y="0"/>
                            <a:ext cx="375284" cy="297179"/>
                          </a:xfrm>
                          <a:prstGeom prst="rect">
                            <a:avLst/>
                          </a:prstGeom>
                        </pic:spPr>
                      </pic:pic>
                    </a:graphicData>
                  </a:graphic>
                </wp:anchor>
              </w:drawing>
            </w:r>
            <w:r>
              <w:rPr>
                <w:rFonts w:hint="eastAsia" w:ascii="宋体" w:hAnsi="宋体" w:eastAsia="宋体" w:cs="宋体"/>
                <w:b/>
                <w:bCs/>
                <w:color w:val="auto"/>
                <w:spacing w:val="-7"/>
                <w:sz w:val="24"/>
                <w:szCs w:val="24"/>
              </w:rPr>
              <w:t>序号</w:t>
            </w:r>
          </w:p>
        </w:tc>
        <w:tc>
          <w:tcPr>
            <w:tcW w:w="2377" w:type="dxa"/>
            <w:shd w:val="clear" w:color="auto" w:fill="CCCACB"/>
            <w:vAlign w:val="top"/>
          </w:tcPr>
          <w:p w14:paraId="72A17847">
            <w:pPr>
              <w:pStyle w:val="13"/>
              <w:spacing w:before="36" w:line="221" w:lineRule="auto"/>
              <w:ind w:left="963"/>
              <w:rPr>
                <w:rFonts w:hint="eastAsia" w:ascii="宋体" w:hAnsi="宋体" w:eastAsia="宋体" w:cs="宋体"/>
                <w:color w:val="auto"/>
                <w:sz w:val="24"/>
                <w:szCs w:val="24"/>
              </w:rPr>
            </w:pPr>
            <w:r>
              <w:rPr>
                <w:rFonts w:hint="eastAsia" w:ascii="宋体" w:hAnsi="宋体" w:eastAsia="宋体" w:cs="宋体"/>
                <w:b/>
                <w:bCs/>
                <w:color w:val="auto"/>
                <w:spacing w:val="-9"/>
                <w:sz w:val="24"/>
                <w:szCs w:val="24"/>
              </w:rPr>
              <w:t>名称</w:t>
            </w:r>
          </w:p>
        </w:tc>
        <w:tc>
          <w:tcPr>
            <w:tcW w:w="1131" w:type="dxa"/>
            <w:vAlign w:val="top"/>
          </w:tcPr>
          <w:p w14:paraId="750CA139">
            <w:pPr>
              <w:pStyle w:val="13"/>
              <w:spacing w:before="36" w:line="219" w:lineRule="auto"/>
              <w:ind w:left="97"/>
              <w:rPr>
                <w:rFonts w:hint="eastAsia" w:ascii="宋体" w:hAnsi="宋体" w:eastAsia="宋体" w:cs="宋体"/>
                <w:color w:val="auto"/>
                <w:sz w:val="24"/>
                <w:szCs w:val="24"/>
              </w:rPr>
            </w:pPr>
            <w:r>
              <w:rPr>
                <w:rFonts w:hint="eastAsia" w:ascii="宋体" w:hAnsi="宋体" w:eastAsia="宋体" w:cs="宋体"/>
                <w:color w:val="auto"/>
              </w:rPr>
              <w:drawing>
                <wp:anchor distT="0" distB="0" distL="0" distR="0" simplePos="0" relativeHeight="251662336" behindDoc="1" locked="0" layoutInCell="1" allowOverlap="1">
                  <wp:simplePos x="0" y="0"/>
                  <wp:positionH relativeFrom="column">
                    <wp:posOffset>-1905</wp:posOffset>
                  </wp:positionH>
                  <wp:positionV relativeFrom="paragraph">
                    <wp:posOffset>-1270</wp:posOffset>
                  </wp:positionV>
                  <wp:extent cx="719455" cy="297180"/>
                  <wp:effectExtent l="0" t="0" r="12065" b="7620"/>
                  <wp:wrapNone/>
                  <wp:docPr id="20" name="IM 4"/>
                  <wp:cNvGraphicFramePr/>
                  <a:graphic xmlns:a="http://schemas.openxmlformats.org/drawingml/2006/main">
                    <a:graphicData uri="http://schemas.openxmlformats.org/drawingml/2006/picture">
                      <pic:pic xmlns:pic="http://schemas.openxmlformats.org/drawingml/2006/picture">
                        <pic:nvPicPr>
                          <pic:cNvPr id="20" name="IM 4"/>
                          <pic:cNvPicPr/>
                        </pic:nvPicPr>
                        <pic:blipFill>
                          <a:blip r:embed="rId12"/>
                          <a:stretch>
                            <a:fillRect/>
                          </a:stretch>
                        </pic:blipFill>
                        <pic:spPr>
                          <a:xfrm>
                            <a:off x="0" y="0"/>
                            <a:ext cx="719455" cy="297179"/>
                          </a:xfrm>
                          <a:prstGeom prst="rect">
                            <a:avLst/>
                          </a:prstGeom>
                        </pic:spPr>
                      </pic:pic>
                    </a:graphicData>
                  </a:graphic>
                </wp:anchor>
              </w:drawing>
            </w:r>
            <w:r>
              <w:rPr>
                <w:rFonts w:hint="eastAsia" w:ascii="宋体" w:hAnsi="宋体" w:eastAsia="宋体" w:cs="宋体"/>
                <w:b/>
                <w:bCs/>
                <w:color w:val="auto"/>
                <w:spacing w:val="-5"/>
                <w:sz w:val="24"/>
                <w:szCs w:val="24"/>
              </w:rPr>
              <w:t>服务内容</w:t>
            </w:r>
          </w:p>
        </w:tc>
        <w:tc>
          <w:tcPr>
            <w:tcW w:w="654" w:type="dxa"/>
            <w:vAlign w:val="top"/>
          </w:tcPr>
          <w:p w14:paraId="66A364E6">
            <w:pPr>
              <w:pStyle w:val="13"/>
              <w:spacing w:before="36" w:line="219" w:lineRule="auto"/>
              <w:ind w:left="103"/>
              <w:rPr>
                <w:rFonts w:hint="eastAsia" w:ascii="宋体" w:hAnsi="宋体" w:eastAsia="宋体" w:cs="宋体"/>
                <w:color w:val="auto"/>
                <w:sz w:val="24"/>
                <w:szCs w:val="24"/>
              </w:rPr>
            </w:pPr>
            <w:r>
              <w:rPr>
                <w:rFonts w:hint="eastAsia" w:ascii="宋体" w:hAnsi="宋体" w:eastAsia="宋体" w:cs="宋体"/>
                <w:color w:val="auto"/>
              </w:rPr>
              <w:drawing>
                <wp:anchor distT="0" distB="0" distL="0" distR="0" simplePos="0" relativeHeight="251664384" behindDoc="1" locked="0" layoutInCell="1" allowOverlap="1">
                  <wp:simplePos x="0" y="0"/>
                  <wp:positionH relativeFrom="column">
                    <wp:posOffset>-1270</wp:posOffset>
                  </wp:positionH>
                  <wp:positionV relativeFrom="paragraph">
                    <wp:posOffset>-1270</wp:posOffset>
                  </wp:positionV>
                  <wp:extent cx="414655" cy="297180"/>
                  <wp:effectExtent l="0" t="0" r="12065" b="7620"/>
                  <wp:wrapNone/>
                  <wp:docPr id="21" name="IM 6"/>
                  <wp:cNvGraphicFramePr/>
                  <a:graphic xmlns:a="http://schemas.openxmlformats.org/drawingml/2006/main">
                    <a:graphicData uri="http://schemas.openxmlformats.org/drawingml/2006/picture">
                      <pic:pic xmlns:pic="http://schemas.openxmlformats.org/drawingml/2006/picture">
                        <pic:nvPicPr>
                          <pic:cNvPr id="21" name="IM 6"/>
                          <pic:cNvPicPr/>
                        </pic:nvPicPr>
                        <pic:blipFill>
                          <a:blip r:embed="rId13"/>
                          <a:stretch>
                            <a:fillRect/>
                          </a:stretch>
                        </pic:blipFill>
                        <pic:spPr>
                          <a:xfrm>
                            <a:off x="0" y="0"/>
                            <a:ext cx="414654" cy="297179"/>
                          </a:xfrm>
                          <a:prstGeom prst="rect">
                            <a:avLst/>
                          </a:prstGeom>
                        </pic:spPr>
                      </pic:pic>
                    </a:graphicData>
                  </a:graphic>
                </wp:anchor>
              </w:drawing>
            </w:r>
            <w:r>
              <w:rPr>
                <w:rFonts w:hint="eastAsia" w:ascii="宋体" w:hAnsi="宋体" w:eastAsia="宋体" w:cs="宋体"/>
                <w:b/>
                <w:bCs/>
                <w:color w:val="auto"/>
                <w:spacing w:val="-9"/>
                <w:sz w:val="24"/>
                <w:szCs w:val="24"/>
              </w:rPr>
              <w:t>数量</w:t>
            </w:r>
          </w:p>
        </w:tc>
        <w:tc>
          <w:tcPr>
            <w:tcW w:w="627" w:type="dxa"/>
            <w:vAlign w:val="top"/>
          </w:tcPr>
          <w:p w14:paraId="16CF4201">
            <w:pPr>
              <w:pStyle w:val="13"/>
              <w:spacing w:before="35" w:line="220" w:lineRule="auto"/>
              <w:ind w:left="90"/>
              <w:rPr>
                <w:rFonts w:hint="eastAsia" w:ascii="宋体" w:hAnsi="宋体" w:eastAsia="宋体" w:cs="宋体"/>
                <w:color w:val="auto"/>
                <w:sz w:val="24"/>
                <w:szCs w:val="24"/>
              </w:rPr>
            </w:pPr>
            <w:r>
              <w:rPr>
                <w:rFonts w:hint="eastAsia" w:ascii="宋体" w:hAnsi="宋体" w:eastAsia="宋体" w:cs="宋体"/>
                <w:color w:val="auto"/>
              </w:rPr>
              <w:drawing>
                <wp:anchor distT="0" distB="0" distL="0" distR="0" simplePos="0" relativeHeight="251665408" behindDoc="1" locked="0" layoutInCell="1" allowOverlap="1">
                  <wp:simplePos x="0" y="0"/>
                  <wp:positionH relativeFrom="column">
                    <wp:posOffset>635</wp:posOffset>
                  </wp:positionH>
                  <wp:positionV relativeFrom="paragraph">
                    <wp:posOffset>-1270</wp:posOffset>
                  </wp:positionV>
                  <wp:extent cx="396875" cy="297180"/>
                  <wp:effectExtent l="0" t="0" r="14605" b="7620"/>
                  <wp:wrapNone/>
                  <wp:docPr id="22" name="IM 8"/>
                  <wp:cNvGraphicFramePr/>
                  <a:graphic xmlns:a="http://schemas.openxmlformats.org/drawingml/2006/main">
                    <a:graphicData uri="http://schemas.openxmlformats.org/drawingml/2006/picture">
                      <pic:pic xmlns:pic="http://schemas.openxmlformats.org/drawingml/2006/picture">
                        <pic:nvPicPr>
                          <pic:cNvPr id="22" name="IM 8"/>
                          <pic:cNvPicPr/>
                        </pic:nvPicPr>
                        <pic:blipFill>
                          <a:blip r:embed="rId14"/>
                          <a:stretch>
                            <a:fillRect/>
                          </a:stretch>
                        </pic:blipFill>
                        <pic:spPr>
                          <a:xfrm>
                            <a:off x="0" y="0"/>
                            <a:ext cx="396875" cy="297179"/>
                          </a:xfrm>
                          <a:prstGeom prst="rect">
                            <a:avLst/>
                          </a:prstGeom>
                        </pic:spPr>
                      </pic:pic>
                    </a:graphicData>
                  </a:graphic>
                </wp:anchor>
              </w:drawing>
            </w:r>
            <w:r>
              <w:rPr>
                <w:rFonts w:hint="eastAsia" w:ascii="宋体" w:hAnsi="宋体" w:eastAsia="宋体" w:cs="宋体"/>
                <w:b/>
                <w:bCs/>
                <w:color w:val="auto"/>
                <w:spacing w:val="-9"/>
                <w:sz w:val="24"/>
                <w:szCs w:val="24"/>
              </w:rPr>
              <w:t>单位</w:t>
            </w:r>
          </w:p>
        </w:tc>
        <w:tc>
          <w:tcPr>
            <w:tcW w:w="858" w:type="dxa"/>
            <w:vAlign w:val="top"/>
          </w:tcPr>
          <w:p w14:paraId="4EFA005A">
            <w:pPr>
              <w:pStyle w:val="13"/>
              <w:spacing w:before="35" w:line="218" w:lineRule="auto"/>
              <w:ind w:left="207"/>
              <w:rPr>
                <w:rFonts w:hint="eastAsia" w:ascii="宋体" w:hAnsi="宋体" w:eastAsia="宋体" w:cs="宋体"/>
                <w:color w:val="auto"/>
                <w:sz w:val="24"/>
                <w:szCs w:val="24"/>
              </w:rPr>
            </w:pPr>
            <w:r>
              <w:rPr>
                <w:rFonts w:hint="eastAsia" w:ascii="宋体" w:hAnsi="宋体" w:eastAsia="宋体" w:cs="宋体"/>
                <w:color w:val="auto"/>
              </w:rPr>
              <w:drawing>
                <wp:anchor distT="0" distB="0" distL="0" distR="0" simplePos="0" relativeHeight="251667456" behindDoc="1" locked="0" layoutInCell="1" allowOverlap="1">
                  <wp:simplePos x="0" y="0"/>
                  <wp:positionH relativeFrom="column">
                    <wp:posOffset>-635</wp:posOffset>
                  </wp:positionH>
                  <wp:positionV relativeFrom="paragraph">
                    <wp:posOffset>-1905</wp:posOffset>
                  </wp:positionV>
                  <wp:extent cx="546100" cy="297180"/>
                  <wp:effectExtent l="0" t="0" r="2540" b="7620"/>
                  <wp:wrapNone/>
                  <wp:docPr id="11" name="IM 10"/>
                  <wp:cNvGraphicFramePr/>
                  <a:graphic xmlns:a="http://schemas.openxmlformats.org/drawingml/2006/main">
                    <a:graphicData uri="http://schemas.openxmlformats.org/drawingml/2006/picture">
                      <pic:pic xmlns:pic="http://schemas.openxmlformats.org/drawingml/2006/picture">
                        <pic:nvPicPr>
                          <pic:cNvPr id="11" name="IM 10"/>
                          <pic:cNvPicPr/>
                        </pic:nvPicPr>
                        <pic:blipFill>
                          <a:blip r:embed="rId15"/>
                          <a:stretch>
                            <a:fillRect/>
                          </a:stretch>
                        </pic:blipFill>
                        <pic:spPr>
                          <a:xfrm>
                            <a:off x="0" y="0"/>
                            <a:ext cx="546100" cy="297179"/>
                          </a:xfrm>
                          <a:prstGeom prst="rect">
                            <a:avLst/>
                          </a:prstGeom>
                        </pic:spPr>
                      </pic:pic>
                    </a:graphicData>
                  </a:graphic>
                </wp:anchor>
              </w:drawing>
            </w:r>
            <w:r>
              <w:rPr>
                <w:rFonts w:hint="eastAsia" w:ascii="宋体" w:hAnsi="宋体" w:eastAsia="宋体" w:cs="宋体"/>
                <w:b/>
                <w:bCs/>
                <w:color w:val="auto"/>
                <w:spacing w:val="-9"/>
                <w:sz w:val="24"/>
                <w:szCs w:val="24"/>
              </w:rPr>
              <w:t>单价</w:t>
            </w:r>
          </w:p>
        </w:tc>
        <w:tc>
          <w:tcPr>
            <w:tcW w:w="2560" w:type="dxa"/>
            <w:vAlign w:val="top"/>
          </w:tcPr>
          <w:p w14:paraId="5555EB7E">
            <w:pPr>
              <w:pStyle w:val="13"/>
              <w:spacing w:before="35" w:line="220" w:lineRule="auto"/>
              <w:ind w:left="828"/>
              <w:rPr>
                <w:rFonts w:hint="eastAsia" w:ascii="宋体" w:hAnsi="宋体" w:eastAsia="宋体" w:cs="宋体"/>
                <w:color w:val="auto"/>
                <w:sz w:val="24"/>
                <w:szCs w:val="24"/>
              </w:rPr>
            </w:pPr>
            <w:r>
              <w:rPr>
                <w:rFonts w:hint="eastAsia" w:ascii="宋体" w:hAnsi="宋体" w:eastAsia="宋体" w:cs="宋体"/>
                <w:color w:val="auto"/>
              </w:rPr>
              <w:drawing>
                <wp:anchor distT="0" distB="0" distL="0" distR="0" simplePos="0" relativeHeight="251666432" behindDoc="1" locked="0" layoutInCell="1" allowOverlap="1">
                  <wp:simplePos x="0" y="0"/>
                  <wp:positionH relativeFrom="column">
                    <wp:posOffset>0</wp:posOffset>
                  </wp:positionH>
                  <wp:positionV relativeFrom="paragraph">
                    <wp:posOffset>-1270</wp:posOffset>
                  </wp:positionV>
                  <wp:extent cx="1625600" cy="297180"/>
                  <wp:effectExtent l="0" t="0" r="5080" b="762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6"/>
                          <a:stretch>
                            <a:fillRect/>
                          </a:stretch>
                        </pic:blipFill>
                        <pic:spPr>
                          <a:xfrm>
                            <a:off x="0" y="0"/>
                            <a:ext cx="1625600" cy="297179"/>
                          </a:xfrm>
                          <a:prstGeom prst="rect">
                            <a:avLst/>
                          </a:prstGeom>
                        </pic:spPr>
                      </pic:pic>
                    </a:graphicData>
                  </a:graphic>
                </wp:anchor>
              </w:drawing>
            </w:r>
            <w:r>
              <w:rPr>
                <w:rFonts w:hint="eastAsia" w:ascii="宋体" w:hAnsi="宋体" w:eastAsia="宋体" w:cs="宋体"/>
                <w:b/>
                <w:bCs/>
                <w:color w:val="auto"/>
                <w:spacing w:val="-5"/>
                <w:sz w:val="24"/>
                <w:szCs w:val="24"/>
              </w:rPr>
              <w:t>分项合计</w:t>
            </w:r>
          </w:p>
        </w:tc>
      </w:tr>
      <w:tr w14:paraId="6CCBA2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592" w:type="dxa"/>
            <w:vAlign w:val="top"/>
          </w:tcPr>
          <w:p w14:paraId="507BD841">
            <w:pPr>
              <w:pStyle w:val="13"/>
              <w:spacing w:before="69" w:line="184" w:lineRule="auto"/>
              <w:ind w:left="266"/>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1</w:t>
            </w:r>
          </w:p>
        </w:tc>
        <w:tc>
          <w:tcPr>
            <w:tcW w:w="2377" w:type="dxa"/>
            <w:vAlign w:val="top"/>
          </w:tcPr>
          <w:p w14:paraId="1BD746DD">
            <w:pPr>
              <w:rPr>
                <w:rFonts w:hint="eastAsia" w:ascii="宋体" w:hAnsi="宋体" w:eastAsia="宋体" w:cs="宋体"/>
                <w:color w:val="auto"/>
                <w:sz w:val="21"/>
              </w:rPr>
            </w:pPr>
          </w:p>
        </w:tc>
        <w:tc>
          <w:tcPr>
            <w:tcW w:w="1131" w:type="dxa"/>
            <w:vAlign w:val="top"/>
          </w:tcPr>
          <w:p w14:paraId="3A1B648A">
            <w:pPr>
              <w:rPr>
                <w:rFonts w:hint="eastAsia" w:ascii="宋体" w:hAnsi="宋体" w:eastAsia="宋体" w:cs="宋体"/>
                <w:color w:val="auto"/>
                <w:sz w:val="21"/>
              </w:rPr>
            </w:pPr>
          </w:p>
        </w:tc>
        <w:tc>
          <w:tcPr>
            <w:tcW w:w="654" w:type="dxa"/>
            <w:vAlign w:val="top"/>
          </w:tcPr>
          <w:p w14:paraId="12D1DBF0">
            <w:pPr>
              <w:rPr>
                <w:rFonts w:hint="eastAsia" w:ascii="宋体" w:hAnsi="宋体" w:eastAsia="宋体" w:cs="宋体"/>
                <w:color w:val="auto"/>
                <w:sz w:val="21"/>
              </w:rPr>
            </w:pPr>
          </w:p>
        </w:tc>
        <w:tc>
          <w:tcPr>
            <w:tcW w:w="627" w:type="dxa"/>
            <w:vAlign w:val="top"/>
          </w:tcPr>
          <w:p w14:paraId="745B26B8">
            <w:pPr>
              <w:rPr>
                <w:rFonts w:hint="eastAsia" w:ascii="宋体" w:hAnsi="宋体" w:eastAsia="宋体" w:cs="宋体"/>
                <w:color w:val="auto"/>
                <w:sz w:val="21"/>
              </w:rPr>
            </w:pPr>
          </w:p>
        </w:tc>
        <w:tc>
          <w:tcPr>
            <w:tcW w:w="858" w:type="dxa"/>
            <w:vAlign w:val="top"/>
          </w:tcPr>
          <w:p w14:paraId="2CF15409">
            <w:pPr>
              <w:rPr>
                <w:rFonts w:hint="eastAsia" w:ascii="宋体" w:hAnsi="宋体" w:eastAsia="宋体" w:cs="宋体"/>
                <w:color w:val="auto"/>
                <w:sz w:val="21"/>
              </w:rPr>
            </w:pPr>
          </w:p>
        </w:tc>
        <w:tc>
          <w:tcPr>
            <w:tcW w:w="2560" w:type="dxa"/>
            <w:vAlign w:val="top"/>
          </w:tcPr>
          <w:p w14:paraId="2C16F686">
            <w:pPr>
              <w:rPr>
                <w:rFonts w:hint="eastAsia" w:ascii="宋体" w:hAnsi="宋体" w:eastAsia="宋体" w:cs="宋体"/>
                <w:color w:val="auto"/>
                <w:sz w:val="21"/>
              </w:rPr>
            </w:pPr>
          </w:p>
        </w:tc>
      </w:tr>
      <w:tr w14:paraId="44287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6239" w:type="dxa"/>
            <w:gridSpan w:val="6"/>
            <w:vAlign w:val="top"/>
          </w:tcPr>
          <w:p w14:paraId="5C7F78D0">
            <w:pPr>
              <w:pStyle w:val="13"/>
              <w:spacing w:before="96" w:line="221" w:lineRule="auto"/>
              <w:ind w:left="2894"/>
              <w:rPr>
                <w:rFonts w:hint="eastAsia" w:ascii="宋体" w:hAnsi="宋体" w:eastAsia="宋体" w:cs="宋体"/>
                <w:color w:val="auto"/>
                <w:sz w:val="24"/>
                <w:szCs w:val="24"/>
              </w:rPr>
            </w:pPr>
            <w:r>
              <w:rPr>
                <w:rFonts w:hint="eastAsia" w:ascii="宋体" w:hAnsi="宋体" w:eastAsia="宋体" w:cs="宋体"/>
                <w:b/>
                <w:bCs/>
                <w:color w:val="auto"/>
                <w:spacing w:val="-8"/>
                <w:sz w:val="24"/>
                <w:szCs w:val="24"/>
              </w:rPr>
              <w:t>合计</w:t>
            </w:r>
          </w:p>
        </w:tc>
        <w:tc>
          <w:tcPr>
            <w:tcW w:w="2560" w:type="dxa"/>
            <w:vAlign w:val="top"/>
          </w:tcPr>
          <w:p w14:paraId="6CFE9D5C">
            <w:pPr>
              <w:rPr>
                <w:rFonts w:hint="eastAsia" w:ascii="宋体" w:hAnsi="宋体" w:eastAsia="宋体" w:cs="宋体"/>
                <w:color w:val="auto"/>
                <w:sz w:val="21"/>
              </w:rPr>
            </w:pPr>
          </w:p>
        </w:tc>
      </w:tr>
    </w:tbl>
    <w:p w14:paraId="7FED3F58">
      <w:pPr>
        <w:keepNext w:val="0"/>
        <w:keepLines w:val="0"/>
        <w:pageBreakBefore w:val="0"/>
        <w:widowControl/>
        <w:kinsoku w:val="0"/>
        <w:wordWrap/>
        <w:overflowPunct/>
        <w:topLinePunct w:val="0"/>
        <w:autoSpaceDE w:val="0"/>
        <w:autoSpaceDN w:val="0"/>
        <w:bidi w:val="0"/>
        <w:adjustRightInd w:val="0"/>
        <w:snapToGrid w:val="0"/>
        <w:spacing w:before="96"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三、货物（服务）质量</w:t>
      </w:r>
    </w:p>
    <w:p w14:paraId="50270711">
      <w:pPr>
        <w:keepNext w:val="0"/>
        <w:keepLines w:val="0"/>
        <w:pageBreakBefore w:val="0"/>
        <w:widowControl/>
        <w:kinsoku w:val="0"/>
        <w:wordWrap/>
        <w:overflowPunct/>
        <w:topLinePunct w:val="0"/>
        <w:autoSpaceDE w:val="0"/>
        <w:autoSpaceDN w:val="0"/>
        <w:bidi w:val="0"/>
        <w:adjustRightInd w:val="0"/>
        <w:snapToGrid w:val="0"/>
        <w:spacing w:before="181" w:line="400" w:lineRule="exact"/>
        <w:ind w:left="2356"/>
        <w:textAlignment w:val="baseline"/>
        <w:rPr>
          <w:rFonts w:hint="eastAsia" w:ascii="宋体" w:hAnsi="宋体" w:eastAsia="宋体" w:cs="宋体"/>
          <w:color w:val="auto"/>
          <w:sz w:val="25"/>
          <w:szCs w:val="25"/>
        </w:rPr>
      </w:pPr>
      <w:r>
        <w:rPr>
          <w:rFonts w:hint="eastAsia" w:ascii="宋体" w:hAnsi="宋体" w:eastAsia="宋体" w:cs="宋体"/>
          <w:i/>
          <w:iCs/>
          <w:color w:val="auto"/>
          <w:spacing w:val="-8"/>
          <w:sz w:val="25"/>
          <w:szCs w:val="25"/>
        </w:rPr>
        <w:t>(以招标文件要求以及投标文件的响应)</w:t>
      </w:r>
    </w:p>
    <w:p w14:paraId="78F148B3">
      <w:pPr>
        <w:keepNext w:val="0"/>
        <w:keepLines w:val="0"/>
        <w:pageBreakBefore w:val="0"/>
        <w:widowControl/>
        <w:kinsoku w:val="0"/>
        <w:wordWrap/>
        <w:overflowPunct/>
        <w:topLinePunct w:val="0"/>
        <w:autoSpaceDE w:val="0"/>
        <w:autoSpaceDN w:val="0"/>
        <w:bidi w:val="0"/>
        <w:adjustRightInd w:val="0"/>
        <w:snapToGrid w:val="0"/>
        <w:spacing w:before="298" w:line="400" w:lineRule="exact"/>
        <w:textAlignment w:val="baseline"/>
        <w:rPr>
          <w:rFonts w:hint="eastAsia" w:ascii="宋体" w:hAnsi="宋体" w:eastAsia="宋体" w:cs="宋体"/>
          <w:color w:val="auto"/>
          <w:sz w:val="24"/>
          <w:szCs w:val="24"/>
        </w:rPr>
      </w:pPr>
      <w:r>
        <w:rPr>
          <w:rFonts w:hint="eastAsia" w:ascii="宋体" w:hAnsi="宋体" w:eastAsia="宋体" w:cs="宋体"/>
          <w:color w:val="auto"/>
        </w:rPr>
        <mc:AlternateContent>
          <mc:Choice Requires="wps">
            <w:drawing>
              <wp:anchor distT="0" distB="0" distL="114300" distR="114300" simplePos="0" relativeHeight="251669504" behindDoc="0" locked="0" layoutInCell="1" allowOverlap="1">
                <wp:simplePos x="0" y="0"/>
                <wp:positionH relativeFrom="column">
                  <wp:posOffset>708025</wp:posOffset>
                </wp:positionH>
                <wp:positionV relativeFrom="paragraph">
                  <wp:posOffset>71755</wp:posOffset>
                </wp:positionV>
                <wp:extent cx="4800600" cy="7620"/>
                <wp:effectExtent l="0" t="0" r="0" b="0"/>
                <wp:wrapNone/>
                <wp:docPr id="23" name="任意多边形 23"/>
                <wp:cNvGraphicFramePr/>
                <a:graphic xmlns:a="http://schemas.openxmlformats.org/drawingml/2006/main">
                  <a:graphicData uri="http://schemas.microsoft.com/office/word/2010/wordprocessingShape">
                    <wps:wsp>
                      <wps:cNvSpPr/>
                      <wps:spPr>
                        <a:xfrm>
                          <a:off x="0" y="0"/>
                          <a:ext cx="4800600" cy="7620"/>
                        </a:xfrm>
                        <a:custGeom>
                          <a:avLst/>
                          <a:gdLst/>
                          <a:ahLst/>
                          <a:cxnLst/>
                          <a:pathLst>
                            <a:path w="7560" h="12">
                              <a:moveTo>
                                <a:pt x="0" y="5"/>
                              </a:moveTo>
                              <a:lnTo>
                                <a:pt x="7560" y="5"/>
                              </a:lnTo>
                            </a:path>
                          </a:pathLst>
                        </a:custGeom>
                        <a:noFill/>
                        <a:ln w="7620"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55.75pt;margin-top:5.65pt;height:0.6pt;width:378pt;z-index:251669504;mso-width-relative:page;mso-height-relative:page;" filled="f" stroked="t" coordsize="7560,12" o:gfxdata="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AXSeY3ZAAAACQEAAA8AAAAAAAAAAQAgAAAAIgAAAGRycy9kb3du&#10;cmV2LnhtbFBLAQIUABQAAAAIAIdO4kCiukQTNwIAAJgEAAAOAAAAAAAAAAEAIAAAACgBAABkcnMv&#10;ZTJvRG9jLnhtbFBLBQYAAAAABgAGAFkBAADRBQAAAAA=&#10;" path="m0,5l7560,5e">
                <v:fill on="f" focussize="0,0"/>
                <v:stroke weight="0.6pt" color="#000000" joinstyle="bevel"/>
                <v:imagedata o:title=""/>
                <o:lock v:ext="edit" aspectratio="f"/>
              </v:shape>
            </w:pict>
          </mc:Fallback>
        </mc:AlternateContent>
      </w:r>
      <w:r>
        <w:rPr>
          <w:rFonts w:hint="eastAsia" w:ascii="宋体" w:hAnsi="宋体" w:eastAsia="宋体" w:cs="宋体"/>
          <w:b/>
          <w:bCs/>
          <w:color w:val="auto"/>
          <w:spacing w:val="-3"/>
          <w:sz w:val="24"/>
          <w:szCs w:val="24"/>
        </w:rPr>
        <w:t>四、合同履行时间（期限）、地点和方式</w:t>
      </w:r>
    </w:p>
    <w:p w14:paraId="6D3E0CDC">
      <w:pPr>
        <w:keepNext w:val="0"/>
        <w:keepLines w:val="0"/>
        <w:pageBreakBefore w:val="0"/>
        <w:widowControl/>
        <w:kinsoku w:val="0"/>
        <w:wordWrap/>
        <w:overflowPunct/>
        <w:topLinePunct w:val="0"/>
        <w:autoSpaceDE w:val="0"/>
        <w:autoSpaceDN w:val="0"/>
        <w:bidi w:val="0"/>
        <w:adjustRightInd w:val="0"/>
        <w:snapToGrid w:val="0"/>
        <w:spacing w:before="180" w:line="400" w:lineRule="exact"/>
        <w:ind w:left="526" w:right="200" w:firstLine="496"/>
        <w:textAlignment w:val="baseline"/>
        <w:rPr>
          <w:rFonts w:hint="eastAsia" w:ascii="宋体" w:hAnsi="宋体" w:eastAsia="宋体" w:cs="宋体"/>
          <w:color w:val="auto"/>
          <w:sz w:val="24"/>
          <w:szCs w:val="24"/>
        </w:rPr>
      </w:pPr>
      <w:r>
        <w:rPr>
          <w:rFonts w:hint="eastAsia" w:ascii="宋体" w:hAnsi="宋体" w:eastAsia="宋体" w:cs="宋体"/>
          <w:color w:val="auto"/>
          <w:spacing w:val="-11"/>
          <w:sz w:val="24"/>
          <w:szCs w:val="24"/>
        </w:rPr>
        <w:t>1．合同履行时间：</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11"/>
          <w:sz w:val="24"/>
          <w:szCs w:val="24"/>
        </w:rPr>
        <w:t>自</w:t>
      </w:r>
      <w:r>
        <w:rPr>
          <w:rFonts w:hint="eastAsia" w:ascii="宋体" w:hAnsi="宋体" w:eastAsia="宋体" w:cs="宋体"/>
          <w:color w:val="auto"/>
          <w:spacing w:val="17"/>
          <w:sz w:val="24"/>
          <w:szCs w:val="24"/>
          <w:u w:val="single" w:color="auto"/>
        </w:rPr>
        <w:t xml:space="preserve">       </w:t>
      </w:r>
      <w:r>
        <w:rPr>
          <w:rFonts w:hint="eastAsia" w:ascii="宋体" w:hAnsi="宋体" w:eastAsia="宋体" w:cs="宋体"/>
          <w:color w:val="auto"/>
          <w:spacing w:val="-109"/>
          <w:sz w:val="24"/>
          <w:szCs w:val="24"/>
        </w:rPr>
        <w:t xml:space="preserve"> </w:t>
      </w:r>
      <w:r>
        <w:rPr>
          <w:rFonts w:hint="eastAsia" w:ascii="宋体" w:hAnsi="宋体" w:eastAsia="宋体" w:cs="宋体"/>
          <w:color w:val="auto"/>
          <w:spacing w:val="-11"/>
          <w:sz w:val="24"/>
          <w:szCs w:val="24"/>
        </w:rPr>
        <w:t>年</w:t>
      </w:r>
      <w:r>
        <w:rPr>
          <w:rFonts w:hint="eastAsia" w:ascii="宋体" w:hAnsi="宋体" w:eastAsia="宋体" w:cs="宋体"/>
          <w:color w:val="auto"/>
          <w:spacing w:val="-11"/>
          <w:sz w:val="24"/>
          <w:szCs w:val="24"/>
          <w:u w:val="single" w:color="auto"/>
        </w:rPr>
        <w:t xml:space="preserve">    </w:t>
      </w:r>
      <w:r>
        <w:rPr>
          <w:rFonts w:hint="eastAsia" w:ascii="宋体" w:hAnsi="宋体" w:eastAsia="宋体" w:cs="宋体"/>
          <w:color w:val="auto"/>
          <w:spacing w:val="-104"/>
          <w:sz w:val="24"/>
          <w:szCs w:val="24"/>
        </w:rPr>
        <w:t xml:space="preserve"> </w:t>
      </w:r>
      <w:r>
        <w:rPr>
          <w:rFonts w:hint="eastAsia" w:ascii="宋体" w:hAnsi="宋体" w:eastAsia="宋体" w:cs="宋体"/>
          <w:color w:val="auto"/>
          <w:spacing w:val="-11"/>
          <w:sz w:val="24"/>
          <w:szCs w:val="24"/>
        </w:rPr>
        <w:t>月</w:t>
      </w:r>
      <w:r>
        <w:rPr>
          <w:rFonts w:hint="eastAsia" w:ascii="宋体" w:hAnsi="宋体" w:eastAsia="宋体" w:cs="宋体"/>
          <w:color w:val="auto"/>
          <w:spacing w:val="39"/>
          <w:sz w:val="24"/>
          <w:szCs w:val="24"/>
          <w:u w:val="single" w:color="auto"/>
        </w:rPr>
        <w:t xml:space="preserve">   </w:t>
      </w:r>
      <w:r>
        <w:rPr>
          <w:rFonts w:hint="eastAsia" w:ascii="宋体" w:hAnsi="宋体" w:eastAsia="宋体" w:cs="宋体"/>
          <w:color w:val="auto"/>
          <w:spacing w:val="-67"/>
          <w:sz w:val="24"/>
          <w:szCs w:val="24"/>
        </w:rPr>
        <w:t xml:space="preserve"> </w:t>
      </w:r>
      <w:r>
        <w:rPr>
          <w:rFonts w:hint="eastAsia" w:ascii="宋体" w:hAnsi="宋体" w:eastAsia="宋体" w:cs="宋体"/>
          <w:color w:val="auto"/>
          <w:spacing w:val="-11"/>
          <w:sz w:val="24"/>
          <w:szCs w:val="24"/>
        </w:rPr>
        <w:t>日至</w:t>
      </w:r>
      <w:r>
        <w:rPr>
          <w:rFonts w:hint="eastAsia" w:ascii="宋体" w:hAnsi="宋体" w:eastAsia="宋体" w:cs="宋体"/>
          <w:color w:val="auto"/>
          <w:spacing w:val="20"/>
          <w:sz w:val="24"/>
          <w:szCs w:val="24"/>
          <w:u w:val="single" w:color="auto"/>
        </w:rPr>
        <w:t xml:space="preserve">      </w:t>
      </w:r>
      <w:r>
        <w:rPr>
          <w:rFonts w:hint="eastAsia" w:ascii="宋体" w:hAnsi="宋体" w:eastAsia="宋体" w:cs="宋体"/>
          <w:color w:val="auto"/>
          <w:spacing w:val="-109"/>
          <w:sz w:val="24"/>
          <w:szCs w:val="24"/>
        </w:rPr>
        <w:t xml:space="preserve"> </w:t>
      </w:r>
      <w:r>
        <w:rPr>
          <w:rFonts w:hint="eastAsia" w:ascii="宋体" w:hAnsi="宋体" w:eastAsia="宋体" w:cs="宋体"/>
          <w:color w:val="auto"/>
          <w:spacing w:val="-11"/>
          <w:sz w:val="24"/>
          <w:szCs w:val="24"/>
        </w:rPr>
        <w:t>年</w:t>
      </w:r>
      <w:r>
        <w:rPr>
          <w:rFonts w:hint="eastAsia" w:ascii="宋体" w:hAnsi="宋体" w:eastAsia="宋体" w:cs="宋体"/>
          <w:color w:val="auto"/>
          <w:spacing w:val="39"/>
          <w:sz w:val="24"/>
          <w:szCs w:val="24"/>
          <w:u w:val="single" w:color="auto"/>
        </w:rPr>
        <w:t xml:space="preserve">   </w:t>
      </w:r>
      <w:r>
        <w:rPr>
          <w:rFonts w:hint="eastAsia" w:ascii="宋体" w:hAnsi="宋体" w:eastAsia="宋体" w:cs="宋体"/>
          <w:color w:val="auto"/>
          <w:spacing w:val="-102"/>
          <w:sz w:val="24"/>
          <w:szCs w:val="24"/>
        </w:rPr>
        <w:t xml:space="preserve"> </w:t>
      </w:r>
      <w:r>
        <w:rPr>
          <w:rFonts w:hint="eastAsia" w:ascii="宋体" w:hAnsi="宋体" w:eastAsia="宋体" w:cs="宋体"/>
          <w:color w:val="auto"/>
          <w:spacing w:val="-11"/>
          <w:sz w:val="24"/>
          <w:szCs w:val="24"/>
        </w:rPr>
        <w:t>月</w:t>
      </w:r>
      <w:r>
        <w:rPr>
          <w:rFonts w:hint="eastAsia" w:ascii="宋体" w:hAnsi="宋体" w:eastAsia="宋体" w:cs="宋体"/>
          <w:color w:val="auto"/>
          <w:spacing w:val="39"/>
          <w:sz w:val="24"/>
          <w:szCs w:val="24"/>
          <w:u w:val="single" w:color="auto"/>
        </w:rPr>
        <w:t xml:space="preserve">   </w:t>
      </w:r>
      <w:r>
        <w:rPr>
          <w:rFonts w:hint="eastAsia" w:ascii="宋体" w:hAnsi="宋体" w:eastAsia="宋体" w:cs="宋体"/>
          <w:color w:val="auto"/>
          <w:spacing w:val="-67"/>
          <w:sz w:val="24"/>
          <w:szCs w:val="24"/>
        </w:rPr>
        <w:t xml:space="preserve"> </w:t>
      </w:r>
      <w:r>
        <w:rPr>
          <w:rFonts w:hint="eastAsia" w:ascii="宋体" w:hAnsi="宋体" w:eastAsia="宋体" w:cs="宋体"/>
          <w:color w:val="auto"/>
          <w:spacing w:val="-11"/>
          <w:sz w:val="24"/>
          <w:szCs w:val="24"/>
        </w:rPr>
        <w:t>日</w:t>
      </w:r>
      <w:r>
        <w:rPr>
          <w:rFonts w:hint="eastAsia" w:ascii="宋体" w:hAnsi="宋体" w:eastAsia="宋体" w:cs="宋体"/>
          <w:color w:val="auto"/>
          <w:spacing w:val="-6"/>
          <w:sz w:val="24"/>
          <w:szCs w:val="24"/>
        </w:rPr>
        <w:t>止；</w:t>
      </w:r>
    </w:p>
    <w:p w14:paraId="4BBE794A">
      <w:pPr>
        <w:keepNext w:val="0"/>
        <w:keepLines w:val="0"/>
        <w:pageBreakBefore w:val="0"/>
        <w:widowControl/>
        <w:kinsoku w:val="0"/>
        <w:wordWrap/>
        <w:overflowPunct/>
        <w:topLinePunct w:val="0"/>
        <w:autoSpaceDE w:val="0"/>
        <w:autoSpaceDN w:val="0"/>
        <w:bidi w:val="0"/>
        <w:adjustRightInd w:val="0"/>
        <w:snapToGrid w:val="0"/>
        <w:spacing w:before="180" w:line="400" w:lineRule="exact"/>
        <w:jc w:val="right"/>
        <w:textAlignment w:val="baseline"/>
        <w:rPr>
          <w:rFonts w:hint="eastAsia" w:ascii="宋体" w:hAnsi="宋体" w:eastAsia="宋体" w:cs="宋体"/>
          <w:color w:val="auto"/>
          <w:sz w:val="25"/>
          <w:szCs w:val="25"/>
        </w:rPr>
      </w:pPr>
      <w:r>
        <w:rPr>
          <w:rFonts w:hint="eastAsia" w:ascii="宋体" w:hAnsi="宋体" w:eastAsia="宋体" w:cs="宋体"/>
          <w:color w:val="auto"/>
          <w:spacing w:val="-8"/>
          <w:sz w:val="24"/>
          <w:szCs w:val="24"/>
        </w:rPr>
        <w:t>2．交付或服务地点及方式：</w:t>
      </w:r>
      <w:r>
        <w:rPr>
          <w:rFonts w:hint="eastAsia" w:ascii="宋体" w:hAnsi="宋体" w:eastAsia="宋体" w:cs="宋体"/>
          <w:color w:val="auto"/>
          <w:spacing w:val="-8"/>
          <w:sz w:val="25"/>
          <w:szCs w:val="25"/>
          <w:u w:val="single" w:color="auto"/>
        </w:rPr>
        <w:t xml:space="preserve">       </w:t>
      </w:r>
      <w:r>
        <w:rPr>
          <w:rFonts w:hint="eastAsia" w:ascii="宋体" w:hAnsi="宋体" w:eastAsia="宋体" w:cs="宋体"/>
          <w:i/>
          <w:iCs/>
          <w:color w:val="auto"/>
          <w:spacing w:val="-8"/>
          <w:sz w:val="25"/>
          <w:szCs w:val="25"/>
          <w:u w:val="single" w:color="auto"/>
        </w:rPr>
        <w:t>(见招标文件)</w:t>
      </w:r>
      <w:r>
        <w:rPr>
          <w:rFonts w:hint="eastAsia" w:ascii="宋体" w:hAnsi="宋体" w:eastAsia="宋体" w:cs="宋体"/>
          <w:color w:val="auto"/>
          <w:spacing w:val="4"/>
          <w:sz w:val="25"/>
          <w:szCs w:val="25"/>
          <w:u w:val="single" w:color="auto"/>
        </w:rPr>
        <w:t xml:space="preserve">                   </w:t>
      </w:r>
      <w:r>
        <w:rPr>
          <w:rFonts w:hint="eastAsia" w:ascii="宋体" w:hAnsi="宋体" w:eastAsia="宋体" w:cs="宋体"/>
          <w:i/>
          <w:iCs/>
          <w:color w:val="auto"/>
          <w:spacing w:val="-8"/>
          <w:sz w:val="25"/>
          <w:szCs w:val="25"/>
        </w:rPr>
        <w:t>。</w:t>
      </w:r>
    </w:p>
    <w:p w14:paraId="6C6000D4">
      <w:pPr>
        <w:keepNext w:val="0"/>
        <w:keepLines w:val="0"/>
        <w:pageBreakBefore w:val="0"/>
        <w:widowControl/>
        <w:kinsoku w:val="0"/>
        <w:wordWrap/>
        <w:overflowPunct/>
        <w:topLinePunct w:val="0"/>
        <w:autoSpaceDE w:val="0"/>
        <w:autoSpaceDN w:val="0"/>
        <w:bidi w:val="0"/>
        <w:adjustRightInd w:val="0"/>
        <w:snapToGrid w:val="0"/>
        <w:spacing w:before="239"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五、包装及运输</w:t>
      </w:r>
    </w:p>
    <w:p w14:paraId="7604C22C">
      <w:pPr>
        <w:keepNext w:val="0"/>
        <w:keepLines w:val="0"/>
        <w:pageBreakBefore w:val="0"/>
        <w:widowControl/>
        <w:kinsoku w:val="0"/>
        <w:wordWrap/>
        <w:overflowPunct/>
        <w:topLinePunct w:val="0"/>
        <w:autoSpaceDE w:val="0"/>
        <w:autoSpaceDN w:val="0"/>
        <w:bidi w:val="0"/>
        <w:adjustRightInd w:val="0"/>
        <w:snapToGrid w:val="0"/>
        <w:spacing w:before="182" w:line="400" w:lineRule="exact"/>
        <w:ind w:left="4876"/>
        <w:textAlignment w:val="baseline"/>
        <w:rPr>
          <w:rFonts w:hint="eastAsia" w:ascii="宋体" w:hAnsi="宋体" w:eastAsia="宋体" w:cs="宋体"/>
          <w:color w:val="auto"/>
          <w:sz w:val="8"/>
          <w:szCs w:val="8"/>
        </w:rPr>
      </w:pPr>
      <w:r>
        <w:rPr>
          <w:rFonts w:hint="eastAsia" w:ascii="宋体" w:hAnsi="宋体" w:eastAsia="宋体" w:cs="宋体"/>
          <w:i/>
          <w:iCs/>
          <w:color w:val="auto"/>
          <w:spacing w:val="-5"/>
          <w:sz w:val="25"/>
          <w:szCs w:val="25"/>
        </w:rPr>
        <w:t>(见招标文件)</w:t>
      </w:r>
    </w:p>
    <w:p w14:paraId="185371FA">
      <w:pPr>
        <w:keepNext w:val="0"/>
        <w:keepLines w:val="0"/>
        <w:pageBreakBefore w:val="0"/>
        <w:widowControl/>
        <w:kinsoku w:val="0"/>
        <w:wordWrap/>
        <w:overflowPunct/>
        <w:topLinePunct w:val="0"/>
        <w:autoSpaceDE w:val="0"/>
        <w:autoSpaceDN w:val="0"/>
        <w:bidi w:val="0"/>
        <w:adjustRightInd w:val="0"/>
        <w:snapToGrid w:val="0"/>
        <w:spacing w:before="296" w:line="400" w:lineRule="exact"/>
        <w:textAlignment w:val="baseline"/>
        <w:rPr>
          <w:rFonts w:hint="eastAsia" w:ascii="宋体" w:hAnsi="宋体" w:eastAsia="宋体" w:cs="宋体"/>
          <w:color w:val="auto"/>
          <w:sz w:val="24"/>
          <w:szCs w:val="24"/>
        </w:rPr>
      </w:pPr>
      <w:r>
        <w:rPr>
          <w:rFonts w:hint="eastAsia" w:ascii="宋体" w:hAnsi="宋体" w:eastAsia="宋体" w:cs="宋体"/>
          <w:color w:val="auto"/>
        </w:rPr>
        <mc:AlternateContent>
          <mc:Choice Requires="wps">
            <w:drawing>
              <wp:anchor distT="0" distB="0" distL="114300" distR="114300" simplePos="0" relativeHeight="251668480" behindDoc="0" locked="0" layoutInCell="1" allowOverlap="1">
                <wp:simplePos x="0" y="0"/>
                <wp:positionH relativeFrom="column">
                  <wp:posOffset>708025</wp:posOffset>
                </wp:positionH>
                <wp:positionV relativeFrom="paragraph">
                  <wp:posOffset>76835</wp:posOffset>
                </wp:positionV>
                <wp:extent cx="4800600" cy="7620"/>
                <wp:effectExtent l="0" t="0" r="0" b="0"/>
                <wp:wrapNone/>
                <wp:docPr id="25" name="任意多边形 25"/>
                <wp:cNvGraphicFramePr/>
                <a:graphic xmlns:a="http://schemas.openxmlformats.org/drawingml/2006/main">
                  <a:graphicData uri="http://schemas.microsoft.com/office/word/2010/wordprocessingShape">
                    <wps:wsp>
                      <wps:cNvSpPr/>
                      <wps:spPr>
                        <a:xfrm>
                          <a:off x="0" y="0"/>
                          <a:ext cx="4800600" cy="7620"/>
                        </a:xfrm>
                        <a:custGeom>
                          <a:avLst/>
                          <a:gdLst/>
                          <a:ahLst/>
                          <a:cxnLst/>
                          <a:pathLst>
                            <a:path w="7560" h="12">
                              <a:moveTo>
                                <a:pt x="0" y="5"/>
                              </a:moveTo>
                              <a:lnTo>
                                <a:pt x="7560" y="5"/>
                              </a:lnTo>
                            </a:path>
                          </a:pathLst>
                        </a:custGeom>
                        <a:noFill/>
                        <a:ln w="7620"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55.75pt;margin-top:6.05pt;height:0.6pt;width:378pt;z-index:251668480;mso-width-relative:page;mso-height-relative:page;" filled="f" stroked="t" coordsize="7560,12" o:gfxdata="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3Iz3tkAAAAJAQAADwAAAAAAAAABACAAAAAiAAAAZHJzL2Rv&#10;d25yZXYueG1sUEsBAhQAFAAAAAgAh07iQF9TSuI5AgAAmAQAAA4AAAAAAAAAAQAgAAAAKAEAAGRy&#10;cy9lMm9Eb2MueG1sUEsFBgAAAAAGAAYAWQEAANMFAAAAAA==&#10;" path="m0,5l7560,5e">
                <v:fill on="f" focussize="0,0"/>
                <v:stroke weight="0.6pt" color="#000000" joinstyle="bevel"/>
                <v:imagedata o:title=""/>
                <o:lock v:ext="edit" aspectratio="f"/>
              </v:shape>
            </w:pict>
          </mc:Fallback>
        </mc:AlternateContent>
      </w:r>
      <w:r>
        <w:rPr>
          <w:rFonts w:hint="eastAsia" w:ascii="宋体" w:hAnsi="宋体" w:eastAsia="宋体" w:cs="宋体"/>
          <w:b/>
          <w:bCs/>
          <w:color w:val="auto"/>
          <w:spacing w:val="-3"/>
          <w:sz w:val="24"/>
          <w:szCs w:val="24"/>
        </w:rPr>
        <w:t>六、合同价款</w:t>
      </w:r>
    </w:p>
    <w:p w14:paraId="361A6E90">
      <w:pPr>
        <w:keepNext w:val="0"/>
        <w:keepLines w:val="0"/>
        <w:pageBreakBefore w:val="0"/>
        <w:widowControl/>
        <w:tabs>
          <w:tab w:val="left" w:pos="995"/>
        </w:tabs>
        <w:kinsoku w:val="0"/>
        <w:wordWrap/>
        <w:overflowPunct/>
        <w:topLinePunct w:val="0"/>
        <w:autoSpaceDE w:val="0"/>
        <w:autoSpaceDN w:val="0"/>
        <w:bidi w:val="0"/>
        <w:adjustRightInd w:val="0"/>
        <w:snapToGrid w:val="0"/>
        <w:spacing w:before="184" w:line="400" w:lineRule="exact"/>
        <w:ind w:left="515" w:right="106" w:firstLine="507"/>
        <w:textAlignment w:val="baseline"/>
        <w:rPr>
          <w:rFonts w:hint="eastAsia" w:ascii="宋体" w:hAnsi="宋体" w:eastAsia="宋体" w:cs="宋体"/>
          <w:color w:val="auto"/>
          <w:sz w:val="24"/>
          <w:szCs w:val="24"/>
        </w:rPr>
      </w:pPr>
      <w:r>
        <w:rPr>
          <w:rFonts w:hint="eastAsia" w:ascii="宋体" w:hAnsi="宋体" w:eastAsia="宋体" w:cs="宋体"/>
          <w:color w:val="auto"/>
          <w:spacing w:val="-5"/>
          <w:sz w:val="24"/>
          <w:szCs w:val="24"/>
        </w:rPr>
        <w:t>1．本合同金额为（大写</w:t>
      </w:r>
      <w:r>
        <w:rPr>
          <w:rFonts w:hint="eastAsia" w:ascii="宋体" w:hAnsi="宋体" w:eastAsia="宋体" w:cs="宋体"/>
          <w:color w:val="auto"/>
          <w:spacing w:val="8"/>
          <w:sz w:val="24"/>
          <w:szCs w:val="24"/>
        </w:rPr>
        <w:t>）：</w:t>
      </w:r>
      <w:r>
        <w:rPr>
          <w:rFonts w:hint="eastAsia" w:ascii="宋体" w:hAnsi="宋体" w:eastAsia="宋体" w:cs="宋体"/>
          <w:color w:val="auto"/>
          <w:spacing w:val="-5"/>
          <w:sz w:val="24"/>
          <w:szCs w:val="24"/>
        </w:rPr>
        <w:t>人民币</w:t>
      </w:r>
      <w:r>
        <w:rPr>
          <w:rFonts w:hint="eastAsia" w:ascii="宋体" w:hAnsi="宋体" w:eastAsia="宋体" w:cs="宋体"/>
          <w:color w:val="auto"/>
          <w:spacing w:val="-5"/>
          <w:sz w:val="25"/>
          <w:szCs w:val="25"/>
          <w:u w:val="single" w:color="auto"/>
        </w:rPr>
        <w:t xml:space="preserve">      </w:t>
      </w:r>
      <w:r>
        <w:rPr>
          <w:rFonts w:hint="eastAsia" w:ascii="宋体" w:hAnsi="宋体" w:eastAsia="宋体" w:cs="宋体"/>
          <w:i/>
          <w:iCs/>
          <w:color w:val="auto"/>
          <w:spacing w:val="-5"/>
          <w:sz w:val="25"/>
          <w:szCs w:val="25"/>
          <w:u w:val="single" w:color="auto"/>
        </w:rPr>
        <w:t>(见招标文件)</w:t>
      </w:r>
      <w:r>
        <w:rPr>
          <w:rFonts w:hint="eastAsia" w:ascii="宋体" w:hAnsi="宋体" w:eastAsia="宋体" w:cs="宋体"/>
          <w:color w:val="auto"/>
          <w:spacing w:val="22"/>
          <w:sz w:val="25"/>
          <w:szCs w:val="25"/>
          <w:u w:val="single" w:color="auto"/>
        </w:rPr>
        <w:t xml:space="preserve">  </w:t>
      </w:r>
      <w:r>
        <w:rPr>
          <w:rFonts w:hint="eastAsia" w:ascii="宋体" w:hAnsi="宋体" w:eastAsia="宋体" w:cs="宋体"/>
          <w:color w:val="auto"/>
          <w:spacing w:val="-113"/>
          <w:sz w:val="25"/>
          <w:szCs w:val="25"/>
        </w:rPr>
        <w:t xml:space="preserve"> </w:t>
      </w:r>
      <w:r>
        <w:rPr>
          <w:rFonts w:hint="eastAsia" w:ascii="宋体" w:hAnsi="宋体" w:eastAsia="宋体" w:cs="宋体"/>
          <w:color w:val="auto"/>
          <w:spacing w:val="-5"/>
          <w:sz w:val="24"/>
          <w:szCs w:val="24"/>
        </w:rPr>
        <w:t>元 (¥:</w:t>
      </w:r>
      <w:r>
        <w:rPr>
          <w:rFonts w:hint="eastAsia" w:ascii="宋体" w:hAnsi="宋体" w:eastAsia="宋体" w:cs="宋体"/>
          <w:color w:val="auto"/>
          <w:spacing w:val="53"/>
          <w:sz w:val="24"/>
          <w:szCs w:val="24"/>
        </w:rPr>
        <w:t xml:space="preserve"> </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color="auto"/>
        </w:rPr>
        <w:tab/>
      </w:r>
      <w:r>
        <w:rPr>
          <w:rFonts w:hint="eastAsia" w:ascii="宋体" w:hAnsi="宋体" w:eastAsia="宋体" w:cs="宋体"/>
          <w:color w:val="auto"/>
          <w:spacing w:val="-85"/>
          <w:sz w:val="24"/>
          <w:szCs w:val="24"/>
        </w:rPr>
        <w:t xml:space="preserve"> </w:t>
      </w:r>
      <w:r>
        <w:rPr>
          <w:rFonts w:hint="eastAsia" w:ascii="宋体" w:hAnsi="宋体" w:eastAsia="宋体" w:cs="宋体"/>
          <w:color w:val="auto"/>
          <w:spacing w:val="-26"/>
          <w:sz w:val="24"/>
          <w:szCs w:val="24"/>
        </w:rPr>
        <w:t>)</w:t>
      </w:r>
      <w:r>
        <w:rPr>
          <w:rFonts w:hint="eastAsia" w:ascii="宋体" w:hAnsi="宋体" w:eastAsia="宋体" w:cs="宋体"/>
          <w:color w:val="auto"/>
          <w:spacing w:val="46"/>
          <w:sz w:val="24"/>
          <w:szCs w:val="24"/>
        </w:rPr>
        <w:t xml:space="preserve"> </w:t>
      </w:r>
      <w:r>
        <w:rPr>
          <w:rFonts w:hint="eastAsia" w:ascii="宋体" w:hAnsi="宋体" w:eastAsia="宋体" w:cs="宋体"/>
          <w:color w:val="auto"/>
          <w:spacing w:val="-26"/>
          <w:sz w:val="24"/>
          <w:szCs w:val="24"/>
        </w:rPr>
        <w:t>;</w:t>
      </w:r>
    </w:p>
    <w:p w14:paraId="542306E4">
      <w:pPr>
        <w:keepNext w:val="0"/>
        <w:keepLines w:val="0"/>
        <w:pageBreakBefore w:val="0"/>
        <w:widowControl/>
        <w:kinsoku w:val="0"/>
        <w:wordWrap/>
        <w:overflowPunct/>
        <w:topLinePunct w:val="0"/>
        <w:autoSpaceDE w:val="0"/>
        <w:autoSpaceDN w:val="0"/>
        <w:bidi w:val="0"/>
        <w:adjustRightInd w:val="0"/>
        <w:snapToGrid w:val="0"/>
        <w:spacing w:before="181" w:line="400" w:lineRule="exact"/>
        <w:ind w:left="531" w:right="106" w:firstLine="476"/>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2．合同金额包括乙方完成本合同约定的全部工作可能发生</w:t>
      </w:r>
      <w:r>
        <w:rPr>
          <w:rFonts w:hint="eastAsia" w:ascii="宋体" w:hAnsi="宋体" w:eastAsia="宋体" w:cs="宋体"/>
          <w:color w:val="auto"/>
          <w:spacing w:val="-2"/>
          <w:sz w:val="24"/>
          <w:szCs w:val="24"/>
        </w:rPr>
        <w:t>的所有费用（含</w:t>
      </w:r>
      <w:r>
        <w:rPr>
          <w:rFonts w:hint="eastAsia" w:ascii="宋体" w:hAnsi="宋体" w:eastAsia="宋体" w:cs="宋体"/>
          <w:color w:val="auto"/>
          <w:sz w:val="24"/>
          <w:szCs w:val="24"/>
        </w:rPr>
        <w:t xml:space="preserve"> </w:t>
      </w:r>
      <w:r>
        <w:rPr>
          <w:rFonts w:hint="eastAsia" w:ascii="宋体" w:hAnsi="宋体" w:eastAsia="宋体" w:cs="宋体"/>
          <w:color w:val="auto"/>
          <w:spacing w:val="-2"/>
          <w:sz w:val="24"/>
          <w:szCs w:val="24"/>
        </w:rPr>
        <w:t>市场变化等可能发生的费用</w:t>
      </w:r>
      <w:r>
        <w:rPr>
          <w:rFonts w:hint="eastAsia" w:ascii="宋体" w:hAnsi="宋体" w:eastAsia="宋体" w:cs="宋体"/>
          <w:color w:val="auto"/>
          <w:spacing w:val="13"/>
          <w:sz w:val="24"/>
          <w:szCs w:val="24"/>
        </w:rPr>
        <w:t>），</w:t>
      </w:r>
      <w:r>
        <w:rPr>
          <w:rFonts w:hint="eastAsia" w:ascii="宋体" w:hAnsi="宋体" w:eastAsia="宋体" w:cs="宋体"/>
          <w:color w:val="auto"/>
          <w:spacing w:val="-2"/>
          <w:sz w:val="24"/>
          <w:szCs w:val="24"/>
        </w:rPr>
        <w:t>即总报价为“交钥</w:t>
      </w:r>
      <w:r>
        <w:rPr>
          <w:rFonts w:hint="eastAsia" w:ascii="宋体" w:hAnsi="宋体" w:eastAsia="宋体" w:cs="宋体"/>
          <w:color w:val="auto"/>
          <w:spacing w:val="-3"/>
          <w:sz w:val="24"/>
          <w:szCs w:val="24"/>
        </w:rPr>
        <w:t>匙</w:t>
      </w:r>
      <w:r>
        <w:rPr>
          <w:rFonts w:hint="eastAsia" w:ascii="宋体" w:hAnsi="宋体" w:eastAsia="宋体" w:cs="宋体"/>
          <w:color w:val="auto"/>
          <w:spacing w:val="-87"/>
          <w:sz w:val="24"/>
          <w:szCs w:val="24"/>
        </w:rPr>
        <w:t xml:space="preserve"> </w:t>
      </w:r>
      <w:r>
        <w:rPr>
          <w:rFonts w:hint="eastAsia" w:ascii="宋体" w:hAnsi="宋体" w:eastAsia="宋体" w:cs="宋体"/>
          <w:color w:val="auto"/>
          <w:spacing w:val="-3"/>
          <w:sz w:val="24"/>
          <w:szCs w:val="24"/>
        </w:rPr>
        <w:t>”价。甲方在支付此金额</w:t>
      </w:r>
      <w:r>
        <w:rPr>
          <w:rFonts w:hint="eastAsia" w:ascii="宋体" w:hAnsi="宋体" w:eastAsia="宋体" w:cs="宋体"/>
          <w:color w:val="auto"/>
          <w:spacing w:val="-1"/>
          <w:sz w:val="24"/>
          <w:szCs w:val="24"/>
        </w:rPr>
        <w:t>后，不再因本合同支付任何其它费用；</w:t>
      </w:r>
    </w:p>
    <w:p w14:paraId="0CDD8CFD">
      <w:pPr>
        <w:keepNext w:val="0"/>
        <w:keepLines w:val="0"/>
        <w:pageBreakBefore w:val="0"/>
        <w:widowControl/>
        <w:kinsoku w:val="0"/>
        <w:wordWrap/>
        <w:overflowPunct/>
        <w:topLinePunct w:val="0"/>
        <w:autoSpaceDE w:val="0"/>
        <w:autoSpaceDN w:val="0"/>
        <w:bidi w:val="0"/>
        <w:adjustRightInd w:val="0"/>
        <w:snapToGrid w:val="0"/>
        <w:spacing w:before="250"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七、资金支付方式及安排</w:t>
      </w:r>
    </w:p>
    <w:p w14:paraId="49E0C6B5">
      <w:pPr>
        <w:keepNext w:val="0"/>
        <w:keepLines w:val="0"/>
        <w:pageBreakBefore w:val="0"/>
        <w:widowControl/>
        <w:tabs>
          <w:tab w:val="left" w:pos="1838"/>
        </w:tabs>
        <w:kinsoku w:val="0"/>
        <w:wordWrap/>
        <w:overflowPunct/>
        <w:topLinePunct w:val="0"/>
        <w:autoSpaceDE w:val="0"/>
        <w:autoSpaceDN w:val="0"/>
        <w:bidi w:val="0"/>
        <w:adjustRightInd w:val="0"/>
        <w:snapToGrid w:val="0"/>
        <w:spacing w:before="182" w:line="400" w:lineRule="exact"/>
        <w:ind w:left="1198"/>
        <w:textAlignment w:val="baseline"/>
        <w:rPr>
          <w:rFonts w:hint="eastAsia" w:ascii="宋体" w:hAnsi="宋体" w:eastAsia="宋体" w:cs="宋体"/>
          <w:color w:val="auto"/>
          <w:sz w:val="24"/>
          <w:szCs w:val="24"/>
        </w:rPr>
      </w:pPr>
      <w:r>
        <w:rPr>
          <w:rFonts w:hint="eastAsia" w:ascii="宋体" w:hAnsi="宋体" w:eastAsia="宋体" w:cs="宋体"/>
          <w:color w:val="auto"/>
          <w:sz w:val="25"/>
          <w:szCs w:val="25"/>
          <w:u w:val="single" w:color="auto"/>
        </w:rPr>
        <w:tab/>
      </w:r>
      <w:r>
        <w:rPr>
          <w:rFonts w:hint="eastAsia" w:ascii="宋体" w:hAnsi="宋体" w:eastAsia="宋体" w:cs="宋体"/>
          <w:i/>
          <w:iCs/>
          <w:color w:val="auto"/>
          <w:spacing w:val="-6"/>
          <w:sz w:val="25"/>
          <w:szCs w:val="25"/>
          <w:u w:val="single" w:color="auto"/>
        </w:rPr>
        <w:t>(见竞争性招标文件)</w:t>
      </w:r>
      <w:r>
        <w:rPr>
          <w:rFonts w:hint="eastAsia" w:ascii="宋体" w:hAnsi="宋体" w:eastAsia="宋体" w:cs="宋体"/>
          <w:color w:val="auto"/>
          <w:sz w:val="25"/>
          <w:szCs w:val="25"/>
          <w:u w:val="single" w:color="auto"/>
        </w:rPr>
        <w:t xml:space="preserve">                               </w:t>
      </w:r>
      <w:r>
        <w:rPr>
          <w:rFonts w:hint="eastAsia" w:ascii="宋体" w:hAnsi="宋体" w:eastAsia="宋体" w:cs="宋体"/>
          <w:color w:val="auto"/>
          <w:spacing w:val="-6"/>
          <w:sz w:val="24"/>
          <w:szCs w:val="24"/>
        </w:rPr>
        <w:t>。</w:t>
      </w:r>
    </w:p>
    <w:p w14:paraId="2C5D4881">
      <w:pPr>
        <w:keepNext w:val="0"/>
        <w:keepLines w:val="0"/>
        <w:pageBreakBefore w:val="0"/>
        <w:widowControl/>
        <w:kinsoku w:val="0"/>
        <w:wordWrap/>
        <w:overflowPunct/>
        <w:topLinePunct w:val="0"/>
        <w:autoSpaceDE w:val="0"/>
        <w:autoSpaceDN w:val="0"/>
        <w:bidi w:val="0"/>
        <w:adjustRightInd w:val="0"/>
        <w:snapToGrid w:val="0"/>
        <w:spacing w:before="239"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八、</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交付标准、方法和验收方案</w:t>
      </w:r>
    </w:p>
    <w:p w14:paraId="2C09AA6E">
      <w:pPr>
        <w:keepNext w:val="0"/>
        <w:keepLines w:val="0"/>
        <w:pageBreakBefore w:val="0"/>
        <w:widowControl/>
        <w:kinsoku w:val="0"/>
        <w:wordWrap/>
        <w:overflowPunct/>
        <w:topLinePunct w:val="0"/>
        <w:autoSpaceDE w:val="0"/>
        <w:autoSpaceDN w:val="0"/>
        <w:bidi w:val="0"/>
        <w:adjustRightInd w:val="0"/>
        <w:snapToGrid w:val="0"/>
        <w:spacing w:before="183" w:line="400" w:lineRule="exact"/>
        <w:ind w:left="985"/>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1．交付标准、方法：</w:t>
      </w:r>
      <w:r>
        <w:rPr>
          <w:rFonts w:hint="eastAsia" w:ascii="宋体" w:hAnsi="宋体" w:eastAsia="宋体" w:cs="宋体"/>
          <w:color w:val="auto"/>
          <w:spacing w:val="-2"/>
          <w:sz w:val="25"/>
          <w:szCs w:val="25"/>
          <w:u w:val="single" w:color="auto"/>
        </w:rPr>
        <w:t xml:space="preserve">        </w:t>
      </w:r>
      <w:r>
        <w:rPr>
          <w:rFonts w:hint="eastAsia" w:ascii="宋体" w:hAnsi="宋体" w:eastAsia="宋体" w:cs="宋体"/>
          <w:i/>
          <w:iCs/>
          <w:color w:val="auto"/>
          <w:spacing w:val="-2"/>
          <w:sz w:val="25"/>
          <w:szCs w:val="25"/>
          <w:u w:val="single" w:color="auto"/>
        </w:rPr>
        <w:t>(见招标文件)</w:t>
      </w:r>
      <w:r>
        <w:rPr>
          <w:rFonts w:hint="eastAsia" w:ascii="宋体" w:hAnsi="宋体" w:eastAsia="宋体" w:cs="宋体"/>
          <w:color w:val="auto"/>
          <w:spacing w:val="-2"/>
          <w:sz w:val="25"/>
          <w:szCs w:val="25"/>
          <w:u w:val="single" w:color="auto"/>
        </w:rPr>
        <w:t xml:space="preserve">        </w:t>
      </w:r>
      <w:r>
        <w:rPr>
          <w:rFonts w:hint="eastAsia" w:ascii="宋体" w:hAnsi="宋体" w:eastAsia="宋体" w:cs="宋体"/>
          <w:color w:val="auto"/>
          <w:spacing w:val="-3"/>
          <w:sz w:val="25"/>
          <w:szCs w:val="25"/>
          <w:u w:val="single" w:color="auto"/>
        </w:rPr>
        <w:t xml:space="preserve">          </w:t>
      </w:r>
      <w:r>
        <w:rPr>
          <w:rFonts w:hint="eastAsia" w:ascii="宋体" w:hAnsi="宋体" w:eastAsia="宋体" w:cs="宋体"/>
          <w:color w:val="auto"/>
          <w:spacing w:val="-3"/>
          <w:sz w:val="24"/>
          <w:szCs w:val="24"/>
        </w:rPr>
        <w:t>；</w:t>
      </w:r>
    </w:p>
    <w:p w14:paraId="6B46735B">
      <w:pPr>
        <w:keepNext w:val="0"/>
        <w:keepLines w:val="0"/>
        <w:pageBreakBefore w:val="0"/>
        <w:widowControl/>
        <w:kinsoku w:val="0"/>
        <w:wordWrap/>
        <w:overflowPunct/>
        <w:topLinePunct w:val="0"/>
        <w:autoSpaceDE w:val="0"/>
        <w:autoSpaceDN w:val="0"/>
        <w:bidi w:val="0"/>
        <w:adjustRightInd w:val="0"/>
        <w:snapToGrid w:val="0"/>
        <w:spacing w:before="181" w:line="400" w:lineRule="exact"/>
        <w:ind w:left="970"/>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2．验收方案：</w:t>
      </w:r>
      <w:r>
        <w:rPr>
          <w:rFonts w:hint="eastAsia" w:ascii="宋体" w:hAnsi="宋体" w:eastAsia="宋体" w:cs="宋体"/>
          <w:color w:val="auto"/>
          <w:spacing w:val="-3"/>
          <w:sz w:val="25"/>
          <w:szCs w:val="25"/>
          <w:u w:val="single" w:color="auto"/>
        </w:rPr>
        <w:t xml:space="preserve">            </w:t>
      </w:r>
      <w:r>
        <w:rPr>
          <w:rFonts w:hint="eastAsia" w:ascii="宋体" w:hAnsi="宋体" w:eastAsia="宋体" w:cs="宋体"/>
          <w:i/>
          <w:iCs/>
          <w:color w:val="auto"/>
          <w:spacing w:val="-3"/>
          <w:sz w:val="25"/>
          <w:szCs w:val="25"/>
          <w:u w:val="single" w:color="auto"/>
        </w:rPr>
        <w:t>(见招标文件)</w:t>
      </w:r>
      <w:r>
        <w:rPr>
          <w:rFonts w:hint="eastAsia" w:ascii="宋体" w:hAnsi="宋体" w:eastAsia="宋体" w:cs="宋体"/>
          <w:color w:val="auto"/>
          <w:spacing w:val="4"/>
          <w:sz w:val="25"/>
          <w:szCs w:val="25"/>
          <w:u w:val="single" w:color="auto"/>
        </w:rPr>
        <w:t xml:space="preserve">                   </w:t>
      </w:r>
      <w:r>
        <w:rPr>
          <w:rFonts w:hint="eastAsia" w:ascii="宋体" w:hAnsi="宋体" w:eastAsia="宋体" w:cs="宋体"/>
          <w:color w:val="auto"/>
          <w:spacing w:val="-3"/>
          <w:sz w:val="24"/>
          <w:szCs w:val="24"/>
        </w:rPr>
        <w:t>。</w:t>
      </w:r>
    </w:p>
    <w:p w14:paraId="505D33B9">
      <w:pPr>
        <w:keepNext w:val="0"/>
        <w:keepLines w:val="0"/>
        <w:pageBreakBefore w:val="0"/>
        <w:widowControl/>
        <w:kinsoku w:val="0"/>
        <w:wordWrap/>
        <w:overflowPunct/>
        <w:topLinePunct w:val="0"/>
        <w:autoSpaceDE w:val="0"/>
        <w:autoSpaceDN w:val="0"/>
        <w:bidi w:val="0"/>
        <w:adjustRightInd w:val="0"/>
        <w:snapToGrid w:val="0"/>
        <w:spacing w:before="239"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九、质保（服务）期及质保（服务）</w:t>
      </w:r>
      <w:r>
        <w:rPr>
          <w:rFonts w:hint="eastAsia" w:ascii="宋体" w:hAnsi="宋体" w:eastAsia="宋体" w:cs="宋体"/>
          <w:b/>
          <w:bCs/>
          <w:color w:val="auto"/>
          <w:spacing w:val="-3"/>
          <w:sz w:val="24"/>
          <w:szCs w:val="24"/>
        </w:rPr>
        <w:t>范围和要求</w:t>
      </w:r>
    </w:p>
    <w:p w14:paraId="74263161">
      <w:pPr>
        <w:keepNext w:val="0"/>
        <w:keepLines w:val="0"/>
        <w:pageBreakBefore w:val="0"/>
        <w:widowControl/>
        <w:kinsoku w:val="0"/>
        <w:wordWrap/>
        <w:overflowPunct/>
        <w:topLinePunct w:val="0"/>
        <w:autoSpaceDE w:val="0"/>
        <w:autoSpaceDN w:val="0"/>
        <w:bidi w:val="0"/>
        <w:adjustRightInd w:val="0"/>
        <w:snapToGrid w:val="0"/>
        <w:spacing w:before="180" w:line="400" w:lineRule="exact"/>
        <w:ind w:left="985"/>
        <w:textAlignment w:val="baseline"/>
        <w:rPr>
          <w:rFonts w:hint="eastAsia" w:ascii="宋体" w:hAnsi="宋体" w:eastAsia="宋体" w:cs="宋体"/>
          <w:color w:val="auto"/>
          <w:sz w:val="25"/>
          <w:szCs w:val="25"/>
        </w:rPr>
      </w:pPr>
      <w:r>
        <w:rPr>
          <w:rFonts w:hint="eastAsia" w:ascii="宋体" w:hAnsi="宋体" w:eastAsia="宋体" w:cs="宋体"/>
          <w:color w:val="auto"/>
          <w:spacing w:val="-2"/>
          <w:sz w:val="24"/>
          <w:szCs w:val="24"/>
        </w:rPr>
        <w:t>1．质保（服务)期：</w:t>
      </w:r>
      <w:r>
        <w:rPr>
          <w:rFonts w:hint="eastAsia" w:ascii="宋体" w:hAnsi="宋体" w:eastAsia="宋体" w:cs="宋体"/>
          <w:color w:val="auto"/>
          <w:spacing w:val="-2"/>
          <w:sz w:val="25"/>
          <w:szCs w:val="25"/>
          <w:u w:val="single" w:color="auto"/>
        </w:rPr>
        <w:t xml:space="preserve">            </w:t>
      </w:r>
      <w:r>
        <w:rPr>
          <w:rFonts w:hint="eastAsia" w:ascii="宋体" w:hAnsi="宋体" w:eastAsia="宋体" w:cs="宋体"/>
          <w:i/>
          <w:iCs/>
          <w:color w:val="auto"/>
          <w:spacing w:val="-2"/>
          <w:sz w:val="25"/>
          <w:szCs w:val="25"/>
          <w:u w:val="single" w:color="auto"/>
        </w:rPr>
        <w:t>(见招标文件)</w:t>
      </w:r>
      <w:r>
        <w:rPr>
          <w:rFonts w:hint="eastAsia" w:ascii="宋体" w:hAnsi="宋体" w:eastAsia="宋体" w:cs="宋体"/>
          <w:color w:val="auto"/>
          <w:spacing w:val="-2"/>
          <w:sz w:val="25"/>
          <w:szCs w:val="25"/>
          <w:u w:val="single" w:color="auto"/>
        </w:rPr>
        <w:t xml:space="preserve">  </w:t>
      </w:r>
      <w:r>
        <w:rPr>
          <w:rFonts w:hint="eastAsia" w:ascii="宋体" w:hAnsi="宋体" w:eastAsia="宋体" w:cs="宋体"/>
          <w:color w:val="auto"/>
          <w:spacing w:val="-3"/>
          <w:sz w:val="25"/>
          <w:szCs w:val="25"/>
          <w:u w:val="single" w:color="auto"/>
        </w:rPr>
        <w:t xml:space="preserve">             </w:t>
      </w:r>
      <w:r>
        <w:rPr>
          <w:rFonts w:hint="eastAsia" w:ascii="宋体" w:hAnsi="宋体" w:eastAsia="宋体" w:cs="宋体"/>
          <w:color w:val="auto"/>
          <w:spacing w:val="-105"/>
          <w:sz w:val="25"/>
          <w:szCs w:val="25"/>
        </w:rPr>
        <w:t xml:space="preserve"> </w:t>
      </w:r>
      <w:r>
        <w:rPr>
          <w:rFonts w:hint="eastAsia" w:ascii="宋体" w:hAnsi="宋体" w:eastAsia="宋体" w:cs="宋体"/>
          <w:i/>
          <w:iCs/>
          <w:color w:val="auto"/>
          <w:spacing w:val="-3"/>
          <w:sz w:val="25"/>
          <w:szCs w:val="25"/>
        </w:rPr>
        <w:t>；</w:t>
      </w:r>
    </w:p>
    <w:p w14:paraId="1E7B207F">
      <w:pPr>
        <w:keepNext w:val="0"/>
        <w:keepLines w:val="0"/>
        <w:pageBreakBefore w:val="0"/>
        <w:widowControl/>
        <w:kinsoku w:val="0"/>
        <w:wordWrap/>
        <w:overflowPunct/>
        <w:topLinePunct w:val="0"/>
        <w:autoSpaceDE w:val="0"/>
        <w:autoSpaceDN w:val="0"/>
        <w:bidi w:val="0"/>
        <w:adjustRightInd w:val="0"/>
        <w:snapToGrid w:val="0"/>
        <w:spacing w:before="181" w:line="400" w:lineRule="exact"/>
        <w:ind w:left="970"/>
        <w:textAlignment w:val="baseline"/>
        <w:rPr>
          <w:rFonts w:hint="eastAsia" w:ascii="宋体" w:hAnsi="宋体" w:eastAsia="宋体" w:cs="宋体"/>
          <w:color w:val="auto"/>
          <w:sz w:val="25"/>
          <w:szCs w:val="25"/>
        </w:rPr>
      </w:pPr>
      <w:r>
        <w:rPr>
          <w:rFonts w:hint="eastAsia" w:ascii="宋体" w:hAnsi="宋体" w:eastAsia="宋体" w:cs="宋体"/>
          <w:color w:val="auto"/>
          <w:spacing w:val="-2"/>
          <w:sz w:val="24"/>
          <w:szCs w:val="24"/>
        </w:rPr>
        <w:t>2．质保（服务）范围：</w:t>
      </w:r>
      <w:r>
        <w:rPr>
          <w:rFonts w:hint="eastAsia" w:ascii="宋体" w:hAnsi="宋体" w:eastAsia="宋体" w:cs="宋体"/>
          <w:color w:val="auto"/>
          <w:spacing w:val="-2"/>
          <w:sz w:val="25"/>
          <w:szCs w:val="25"/>
          <w:u w:val="single" w:color="auto"/>
        </w:rPr>
        <w:t xml:space="preserve">          </w:t>
      </w:r>
      <w:r>
        <w:rPr>
          <w:rFonts w:hint="eastAsia" w:ascii="宋体" w:hAnsi="宋体" w:eastAsia="宋体" w:cs="宋体"/>
          <w:i/>
          <w:iCs/>
          <w:color w:val="auto"/>
          <w:spacing w:val="-2"/>
          <w:sz w:val="25"/>
          <w:szCs w:val="25"/>
          <w:u w:val="single" w:color="auto"/>
        </w:rPr>
        <w:t>(见招标文件)</w:t>
      </w:r>
      <w:r>
        <w:rPr>
          <w:rFonts w:hint="eastAsia" w:ascii="宋体" w:hAnsi="宋体" w:eastAsia="宋体" w:cs="宋体"/>
          <w:color w:val="auto"/>
          <w:spacing w:val="-2"/>
          <w:sz w:val="25"/>
          <w:szCs w:val="25"/>
          <w:u w:val="single" w:color="auto"/>
        </w:rPr>
        <w:t xml:space="preserve">              </w:t>
      </w:r>
      <w:r>
        <w:rPr>
          <w:rFonts w:hint="eastAsia" w:ascii="宋体" w:hAnsi="宋体" w:eastAsia="宋体" w:cs="宋体"/>
          <w:color w:val="auto"/>
          <w:spacing w:val="-94"/>
          <w:sz w:val="25"/>
          <w:szCs w:val="25"/>
        </w:rPr>
        <w:t xml:space="preserve"> </w:t>
      </w:r>
      <w:r>
        <w:rPr>
          <w:rFonts w:hint="eastAsia" w:ascii="宋体" w:hAnsi="宋体" w:eastAsia="宋体" w:cs="宋体"/>
          <w:i/>
          <w:iCs/>
          <w:color w:val="auto"/>
          <w:spacing w:val="-2"/>
          <w:sz w:val="25"/>
          <w:szCs w:val="25"/>
        </w:rPr>
        <w:t>；</w:t>
      </w:r>
    </w:p>
    <w:p w14:paraId="1D59FA25">
      <w:pPr>
        <w:keepNext w:val="0"/>
        <w:keepLines w:val="0"/>
        <w:pageBreakBefore w:val="0"/>
        <w:widowControl/>
        <w:kinsoku w:val="0"/>
        <w:wordWrap/>
        <w:overflowPunct/>
        <w:topLinePunct w:val="0"/>
        <w:autoSpaceDE w:val="0"/>
        <w:autoSpaceDN w:val="0"/>
        <w:bidi w:val="0"/>
        <w:adjustRightInd w:val="0"/>
        <w:snapToGrid w:val="0"/>
        <w:spacing w:before="181" w:line="400" w:lineRule="exact"/>
        <w:ind w:left="972"/>
        <w:textAlignment w:val="baseline"/>
        <w:rPr>
          <w:rFonts w:hint="eastAsia" w:ascii="宋体" w:hAnsi="宋体" w:eastAsia="宋体" w:cs="宋体"/>
          <w:color w:val="auto"/>
          <w:sz w:val="25"/>
          <w:szCs w:val="25"/>
        </w:rPr>
      </w:pPr>
      <w:r>
        <w:rPr>
          <w:rFonts w:hint="eastAsia" w:ascii="宋体" w:hAnsi="宋体" w:eastAsia="宋体" w:cs="宋体"/>
          <w:color w:val="auto"/>
          <w:spacing w:val="-2"/>
          <w:sz w:val="24"/>
          <w:szCs w:val="24"/>
        </w:rPr>
        <w:t>3．质保（服务）要求：</w:t>
      </w:r>
      <w:r>
        <w:rPr>
          <w:rFonts w:hint="eastAsia" w:ascii="宋体" w:hAnsi="宋体" w:eastAsia="宋体" w:cs="宋体"/>
          <w:color w:val="auto"/>
          <w:spacing w:val="-2"/>
          <w:sz w:val="25"/>
          <w:szCs w:val="25"/>
          <w:u w:val="single" w:color="auto"/>
        </w:rPr>
        <w:t xml:space="preserve">          </w:t>
      </w:r>
      <w:r>
        <w:rPr>
          <w:rFonts w:hint="eastAsia" w:ascii="宋体" w:hAnsi="宋体" w:eastAsia="宋体" w:cs="宋体"/>
          <w:i/>
          <w:iCs/>
          <w:color w:val="auto"/>
          <w:spacing w:val="-2"/>
          <w:sz w:val="25"/>
          <w:szCs w:val="25"/>
          <w:u w:val="single" w:color="auto"/>
        </w:rPr>
        <w:t>(见招标文件)</w:t>
      </w:r>
      <w:r>
        <w:rPr>
          <w:rFonts w:hint="eastAsia" w:ascii="宋体" w:hAnsi="宋体" w:eastAsia="宋体" w:cs="宋体"/>
          <w:color w:val="auto"/>
          <w:spacing w:val="-2"/>
          <w:sz w:val="25"/>
          <w:szCs w:val="25"/>
          <w:u w:val="single" w:color="auto"/>
        </w:rPr>
        <w:t xml:space="preserve">            </w:t>
      </w:r>
      <w:r>
        <w:rPr>
          <w:rFonts w:hint="eastAsia" w:ascii="宋体" w:hAnsi="宋体" w:eastAsia="宋体" w:cs="宋体"/>
          <w:i/>
          <w:iCs/>
          <w:color w:val="auto"/>
          <w:spacing w:val="-2"/>
          <w:sz w:val="25"/>
          <w:szCs w:val="25"/>
        </w:rPr>
        <w:t>。</w:t>
      </w:r>
    </w:p>
    <w:p w14:paraId="59258278">
      <w:pPr>
        <w:keepNext w:val="0"/>
        <w:keepLines w:val="0"/>
        <w:pageBreakBefore w:val="0"/>
        <w:widowControl/>
        <w:kinsoku w:val="0"/>
        <w:wordWrap/>
        <w:overflowPunct/>
        <w:topLinePunct w:val="0"/>
        <w:autoSpaceDE w:val="0"/>
        <w:autoSpaceDN w:val="0"/>
        <w:bidi w:val="0"/>
        <w:adjustRightInd w:val="0"/>
        <w:snapToGrid w:val="0"/>
        <w:spacing w:before="239"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7"/>
          <w:sz w:val="24"/>
          <w:szCs w:val="24"/>
        </w:rPr>
        <w:t>十、项目培训</w:t>
      </w:r>
    </w:p>
    <w:p w14:paraId="5342AE7C">
      <w:pPr>
        <w:keepNext w:val="0"/>
        <w:keepLines w:val="0"/>
        <w:pageBreakBefore w:val="0"/>
        <w:widowControl/>
        <w:tabs>
          <w:tab w:val="left" w:pos="3758"/>
        </w:tabs>
        <w:kinsoku w:val="0"/>
        <w:wordWrap/>
        <w:overflowPunct/>
        <w:topLinePunct w:val="0"/>
        <w:autoSpaceDE w:val="0"/>
        <w:autoSpaceDN w:val="0"/>
        <w:bidi w:val="0"/>
        <w:adjustRightInd w:val="0"/>
        <w:snapToGrid w:val="0"/>
        <w:spacing w:before="182" w:line="400" w:lineRule="exact"/>
        <w:ind w:left="1198"/>
        <w:textAlignment w:val="baseline"/>
        <w:rPr>
          <w:rFonts w:hint="eastAsia" w:ascii="宋体" w:hAnsi="宋体" w:eastAsia="宋体" w:cs="宋体"/>
          <w:color w:val="auto"/>
          <w:sz w:val="24"/>
          <w:szCs w:val="24"/>
        </w:rPr>
      </w:pPr>
      <w:r>
        <w:rPr>
          <w:rFonts w:hint="eastAsia" w:ascii="宋体" w:hAnsi="宋体" w:eastAsia="宋体" w:cs="宋体"/>
          <w:color w:val="auto"/>
          <w:sz w:val="25"/>
          <w:szCs w:val="25"/>
          <w:u w:val="single" w:color="auto"/>
        </w:rPr>
        <w:tab/>
      </w:r>
      <w:r>
        <w:rPr>
          <w:rFonts w:hint="eastAsia" w:ascii="宋体" w:hAnsi="宋体" w:eastAsia="宋体" w:cs="宋体"/>
          <w:i/>
          <w:iCs/>
          <w:color w:val="auto"/>
          <w:spacing w:val="-3"/>
          <w:sz w:val="25"/>
          <w:szCs w:val="25"/>
          <w:u w:val="single" w:color="auto"/>
        </w:rPr>
        <w:t>(见招标文件)</w:t>
      </w:r>
      <w:r>
        <w:rPr>
          <w:rFonts w:hint="eastAsia" w:ascii="宋体" w:hAnsi="宋体" w:eastAsia="宋体" w:cs="宋体"/>
          <w:color w:val="auto"/>
          <w:spacing w:val="-3"/>
          <w:sz w:val="25"/>
          <w:szCs w:val="25"/>
          <w:u w:val="single" w:color="auto"/>
        </w:rPr>
        <w:t xml:space="preserve">                     </w:t>
      </w:r>
      <w:r>
        <w:rPr>
          <w:rFonts w:hint="eastAsia" w:ascii="宋体" w:hAnsi="宋体" w:eastAsia="宋体" w:cs="宋体"/>
          <w:color w:val="auto"/>
          <w:spacing w:val="-3"/>
          <w:sz w:val="24"/>
          <w:szCs w:val="24"/>
        </w:rPr>
        <w:t>。</w:t>
      </w:r>
    </w:p>
    <w:p w14:paraId="27505D64">
      <w:pPr>
        <w:keepNext w:val="0"/>
        <w:keepLines w:val="0"/>
        <w:pageBreakBefore w:val="0"/>
        <w:widowControl/>
        <w:kinsoku w:val="0"/>
        <w:wordWrap/>
        <w:overflowPunct/>
        <w:topLinePunct w:val="0"/>
        <w:autoSpaceDE w:val="0"/>
        <w:autoSpaceDN w:val="0"/>
        <w:bidi w:val="0"/>
        <w:adjustRightInd w:val="0"/>
        <w:snapToGrid w:val="0"/>
        <w:spacing w:before="239"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十一、</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知识产权归属、处理方式</w:t>
      </w:r>
    </w:p>
    <w:p w14:paraId="2260D633">
      <w:pPr>
        <w:keepNext w:val="0"/>
        <w:keepLines w:val="0"/>
        <w:pageBreakBefore w:val="0"/>
        <w:widowControl/>
        <w:tabs>
          <w:tab w:val="left" w:pos="3638"/>
        </w:tabs>
        <w:kinsoku w:val="0"/>
        <w:wordWrap/>
        <w:overflowPunct/>
        <w:topLinePunct w:val="0"/>
        <w:autoSpaceDE w:val="0"/>
        <w:autoSpaceDN w:val="0"/>
        <w:bidi w:val="0"/>
        <w:adjustRightInd w:val="0"/>
        <w:snapToGrid w:val="0"/>
        <w:spacing w:before="183" w:line="400" w:lineRule="exact"/>
        <w:ind w:left="1198"/>
        <w:textAlignment w:val="baseline"/>
        <w:rPr>
          <w:rFonts w:hint="eastAsia" w:ascii="宋体" w:hAnsi="宋体" w:eastAsia="宋体" w:cs="宋体"/>
          <w:color w:val="auto"/>
          <w:sz w:val="25"/>
          <w:szCs w:val="25"/>
        </w:rPr>
      </w:pPr>
      <w:r>
        <w:rPr>
          <w:rFonts w:hint="eastAsia" w:ascii="宋体" w:hAnsi="宋体" w:eastAsia="宋体" w:cs="宋体"/>
          <w:color w:val="auto"/>
          <w:sz w:val="25"/>
          <w:szCs w:val="25"/>
          <w:u w:val="single" w:color="auto"/>
        </w:rPr>
        <w:tab/>
      </w:r>
      <w:r>
        <w:rPr>
          <w:rFonts w:hint="eastAsia" w:ascii="宋体" w:hAnsi="宋体" w:eastAsia="宋体" w:cs="宋体"/>
          <w:i/>
          <w:iCs/>
          <w:color w:val="auto"/>
          <w:spacing w:val="-5"/>
          <w:sz w:val="25"/>
          <w:szCs w:val="25"/>
          <w:u w:val="single" w:color="auto"/>
        </w:rPr>
        <w:t>(见招标文件)</w:t>
      </w:r>
      <w:r>
        <w:rPr>
          <w:rFonts w:hint="eastAsia" w:ascii="宋体" w:hAnsi="宋体" w:eastAsia="宋体" w:cs="宋体"/>
          <w:color w:val="auto"/>
          <w:spacing w:val="2"/>
          <w:sz w:val="25"/>
          <w:szCs w:val="25"/>
          <w:u w:val="single" w:color="auto"/>
        </w:rPr>
        <w:t xml:space="preserve">                        </w:t>
      </w:r>
      <w:r>
        <w:rPr>
          <w:rFonts w:hint="eastAsia" w:ascii="宋体" w:hAnsi="宋体" w:eastAsia="宋体" w:cs="宋体"/>
          <w:i/>
          <w:iCs/>
          <w:color w:val="auto"/>
          <w:spacing w:val="-5"/>
          <w:sz w:val="25"/>
          <w:szCs w:val="25"/>
        </w:rPr>
        <w:t>。</w:t>
      </w:r>
    </w:p>
    <w:p w14:paraId="27DBE96A">
      <w:pPr>
        <w:keepNext w:val="0"/>
        <w:keepLines w:val="0"/>
        <w:pageBreakBefore w:val="0"/>
        <w:widowControl/>
        <w:kinsoku w:val="0"/>
        <w:wordWrap/>
        <w:overflowPunct/>
        <w:topLinePunct w:val="0"/>
        <w:autoSpaceDE w:val="0"/>
        <w:autoSpaceDN w:val="0"/>
        <w:bidi w:val="0"/>
        <w:adjustRightInd w:val="0"/>
        <w:snapToGrid w:val="0"/>
        <w:spacing w:before="239"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十二、</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双方的权利和义务</w:t>
      </w:r>
    </w:p>
    <w:p w14:paraId="5E04015D">
      <w:pPr>
        <w:keepNext w:val="0"/>
        <w:keepLines w:val="0"/>
        <w:pageBreakBefore w:val="0"/>
        <w:widowControl/>
        <w:kinsoku w:val="0"/>
        <w:wordWrap/>
        <w:overflowPunct/>
        <w:topLinePunct w:val="0"/>
        <w:autoSpaceDE w:val="0"/>
        <w:autoSpaceDN w:val="0"/>
        <w:bidi w:val="0"/>
        <w:adjustRightInd w:val="0"/>
        <w:snapToGrid w:val="0"/>
        <w:spacing w:before="183" w:line="400" w:lineRule="exact"/>
        <w:ind w:left="985"/>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1．甲方的权利和义务</w:t>
      </w:r>
      <w:r>
        <w:rPr>
          <w:rFonts w:hint="eastAsia" w:ascii="宋体" w:hAnsi="宋体" w:eastAsia="宋体" w:cs="宋体"/>
          <w:color w:val="auto"/>
          <w:sz w:val="24"/>
          <w:szCs w:val="24"/>
        </w:rPr>
        <w:t>：</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rPr>
        <w:t>；</w:t>
      </w:r>
    </w:p>
    <w:p w14:paraId="1CC63CBC">
      <w:pPr>
        <w:keepNext w:val="0"/>
        <w:keepLines w:val="0"/>
        <w:pageBreakBefore w:val="0"/>
        <w:widowControl/>
        <w:kinsoku w:val="0"/>
        <w:wordWrap/>
        <w:overflowPunct/>
        <w:topLinePunct w:val="0"/>
        <w:autoSpaceDE w:val="0"/>
        <w:autoSpaceDN w:val="0"/>
        <w:bidi w:val="0"/>
        <w:adjustRightInd w:val="0"/>
        <w:snapToGrid w:val="0"/>
        <w:spacing w:before="181" w:line="400" w:lineRule="exact"/>
        <w:ind w:left="97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2．乙方的权利和义务：</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w:t>
      </w:r>
    </w:p>
    <w:p w14:paraId="77834447">
      <w:pPr>
        <w:keepNext w:val="0"/>
        <w:keepLines w:val="0"/>
        <w:pageBreakBefore w:val="0"/>
        <w:widowControl/>
        <w:kinsoku w:val="0"/>
        <w:wordWrap/>
        <w:overflowPunct/>
        <w:topLinePunct w:val="0"/>
        <w:autoSpaceDE w:val="0"/>
        <w:autoSpaceDN w:val="0"/>
        <w:bidi w:val="0"/>
        <w:adjustRightInd w:val="0"/>
        <w:snapToGrid w:val="0"/>
        <w:spacing w:before="243"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4"/>
          <w:sz w:val="24"/>
          <w:szCs w:val="24"/>
        </w:rPr>
        <w:t>十三、</w:t>
      </w:r>
      <w:r>
        <w:rPr>
          <w:rFonts w:hint="eastAsia" w:ascii="宋体" w:hAnsi="宋体" w:eastAsia="宋体" w:cs="宋体"/>
          <w:color w:val="auto"/>
          <w:spacing w:val="-4"/>
          <w:sz w:val="24"/>
          <w:szCs w:val="24"/>
        </w:rPr>
        <w:t xml:space="preserve"> </w:t>
      </w:r>
      <w:r>
        <w:rPr>
          <w:rFonts w:hint="eastAsia" w:ascii="宋体" w:hAnsi="宋体" w:eastAsia="宋体" w:cs="宋体"/>
          <w:b/>
          <w:bCs/>
          <w:color w:val="auto"/>
          <w:spacing w:val="-4"/>
          <w:sz w:val="24"/>
          <w:szCs w:val="24"/>
        </w:rPr>
        <w:t>违约责任</w:t>
      </w:r>
    </w:p>
    <w:p w14:paraId="7AB5EB98">
      <w:pPr>
        <w:keepNext w:val="0"/>
        <w:keepLines w:val="0"/>
        <w:pageBreakBefore w:val="0"/>
        <w:widowControl/>
        <w:kinsoku w:val="0"/>
        <w:wordWrap/>
        <w:overflowPunct/>
        <w:topLinePunct w:val="0"/>
        <w:autoSpaceDE w:val="0"/>
        <w:autoSpaceDN w:val="0"/>
        <w:bidi w:val="0"/>
        <w:adjustRightInd w:val="0"/>
        <w:snapToGrid w:val="0"/>
        <w:spacing w:before="181" w:line="400" w:lineRule="exact"/>
        <w:ind w:left="985"/>
        <w:textAlignment w:val="baseline"/>
        <w:rPr>
          <w:rFonts w:hint="eastAsia" w:ascii="宋体" w:hAnsi="宋体" w:eastAsia="宋体" w:cs="宋体"/>
          <w:color w:val="auto"/>
          <w:sz w:val="24"/>
          <w:szCs w:val="24"/>
        </w:rPr>
      </w:pPr>
      <w:r>
        <w:rPr>
          <w:rFonts w:hint="eastAsia" w:ascii="宋体" w:hAnsi="宋体" w:eastAsia="宋体" w:cs="宋体"/>
          <w:color w:val="auto"/>
          <w:spacing w:val="-4"/>
          <w:sz w:val="24"/>
          <w:szCs w:val="24"/>
        </w:rPr>
        <w:t>1．甲方的违约责任</w:t>
      </w:r>
      <w:r>
        <w:rPr>
          <w:rFonts w:hint="eastAsia" w:ascii="宋体" w:hAnsi="宋体" w:eastAsia="宋体" w:cs="宋体"/>
          <w:color w:val="auto"/>
          <w:spacing w:val="3"/>
          <w:sz w:val="24"/>
          <w:szCs w:val="24"/>
        </w:rPr>
        <w:t>：</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3"/>
          <w:sz w:val="24"/>
          <w:szCs w:val="24"/>
        </w:rPr>
        <w:t>；</w:t>
      </w:r>
    </w:p>
    <w:p w14:paraId="079370A4">
      <w:pPr>
        <w:keepNext w:val="0"/>
        <w:keepLines w:val="0"/>
        <w:pageBreakBefore w:val="0"/>
        <w:widowControl/>
        <w:kinsoku w:val="0"/>
        <w:wordWrap/>
        <w:overflowPunct/>
        <w:topLinePunct w:val="0"/>
        <w:autoSpaceDE w:val="0"/>
        <w:autoSpaceDN w:val="0"/>
        <w:bidi w:val="0"/>
        <w:adjustRightInd w:val="0"/>
        <w:snapToGrid w:val="0"/>
        <w:spacing w:before="183" w:line="400" w:lineRule="exact"/>
        <w:ind w:left="970"/>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2．乙方的违约责任：</w:t>
      </w:r>
      <w:r>
        <w:rPr>
          <w:rFonts w:hint="eastAsia" w:ascii="宋体" w:hAnsi="宋体" w:eastAsia="宋体" w:cs="宋体"/>
          <w:color w:val="auto"/>
          <w:spacing w:val="-2"/>
          <w:sz w:val="25"/>
          <w:szCs w:val="25"/>
          <w:u w:val="single" w:color="auto"/>
        </w:rPr>
        <w:t xml:space="preserve">        </w:t>
      </w:r>
      <w:r>
        <w:rPr>
          <w:rFonts w:hint="eastAsia" w:ascii="宋体" w:hAnsi="宋体" w:eastAsia="宋体" w:cs="宋体"/>
          <w:i/>
          <w:iCs/>
          <w:color w:val="auto"/>
          <w:spacing w:val="-2"/>
          <w:sz w:val="25"/>
          <w:szCs w:val="25"/>
          <w:u w:val="single" w:color="auto"/>
        </w:rPr>
        <w:t>(见招标文件)</w:t>
      </w:r>
      <w:r>
        <w:rPr>
          <w:rFonts w:hint="eastAsia" w:ascii="宋体" w:hAnsi="宋体" w:eastAsia="宋体" w:cs="宋体"/>
          <w:color w:val="auto"/>
          <w:spacing w:val="-2"/>
          <w:sz w:val="25"/>
          <w:szCs w:val="25"/>
          <w:u w:val="single" w:color="auto"/>
        </w:rPr>
        <w:t xml:space="preserve">                 </w:t>
      </w:r>
      <w:r>
        <w:rPr>
          <w:rFonts w:hint="eastAsia" w:ascii="宋体" w:hAnsi="宋体" w:eastAsia="宋体" w:cs="宋体"/>
          <w:color w:val="auto"/>
          <w:spacing w:val="-2"/>
          <w:sz w:val="24"/>
          <w:szCs w:val="24"/>
        </w:rPr>
        <w:t>。</w:t>
      </w:r>
    </w:p>
    <w:p w14:paraId="110F3C34">
      <w:pPr>
        <w:keepNext w:val="0"/>
        <w:keepLines w:val="0"/>
        <w:pageBreakBefore w:val="0"/>
        <w:widowControl/>
        <w:kinsoku w:val="0"/>
        <w:wordWrap/>
        <w:overflowPunct/>
        <w:topLinePunct w:val="0"/>
        <w:autoSpaceDE w:val="0"/>
        <w:autoSpaceDN w:val="0"/>
        <w:bidi w:val="0"/>
        <w:adjustRightInd w:val="0"/>
        <w:snapToGrid w:val="0"/>
        <w:spacing w:before="241"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4"/>
          <w:sz w:val="24"/>
          <w:szCs w:val="24"/>
        </w:rPr>
        <w:t>十四、</w:t>
      </w:r>
      <w:r>
        <w:rPr>
          <w:rFonts w:hint="eastAsia" w:ascii="宋体" w:hAnsi="宋体" w:eastAsia="宋体" w:cs="宋体"/>
          <w:color w:val="auto"/>
          <w:spacing w:val="-4"/>
          <w:sz w:val="24"/>
          <w:szCs w:val="24"/>
        </w:rPr>
        <w:t xml:space="preserve"> </w:t>
      </w:r>
      <w:r>
        <w:rPr>
          <w:rFonts w:hint="eastAsia" w:ascii="宋体" w:hAnsi="宋体" w:eastAsia="宋体" w:cs="宋体"/>
          <w:b/>
          <w:bCs/>
          <w:color w:val="auto"/>
          <w:spacing w:val="-4"/>
          <w:sz w:val="24"/>
          <w:szCs w:val="24"/>
        </w:rPr>
        <w:t>保密条款</w:t>
      </w:r>
    </w:p>
    <w:p w14:paraId="36BB6418">
      <w:pPr>
        <w:keepNext w:val="0"/>
        <w:keepLines w:val="0"/>
        <w:pageBreakBefore w:val="0"/>
        <w:widowControl/>
        <w:tabs>
          <w:tab w:val="left" w:pos="3878"/>
        </w:tabs>
        <w:kinsoku w:val="0"/>
        <w:wordWrap/>
        <w:overflowPunct/>
        <w:topLinePunct w:val="0"/>
        <w:autoSpaceDE w:val="0"/>
        <w:autoSpaceDN w:val="0"/>
        <w:bidi w:val="0"/>
        <w:adjustRightInd w:val="0"/>
        <w:snapToGrid w:val="0"/>
        <w:spacing w:before="181" w:line="400" w:lineRule="exact"/>
        <w:ind w:left="1198"/>
        <w:textAlignment w:val="baseline"/>
        <w:rPr>
          <w:rFonts w:hint="eastAsia" w:ascii="宋体" w:hAnsi="宋体" w:eastAsia="宋体" w:cs="宋体"/>
          <w:color w:val="auto"/>
          <w:sz w:val="24"/>
          <w:szCs w:val="24"/>
        </w:rPr>
      </w:pPr>
      <w:r>
        <w:rPr>
          <w:rFonts w:hint="eastAsia" w:ascii="宋体" w:hAnsi="宋体" w:eastAsia="宋体" w:cs="宋体"/>
          <w:color w:val="auto"/>
          <w:sz w:val="25"/>
          <w:szCs w:val="25"/>
          <w:u w:val="single" w:color="auto"/>
        </w:rPr>
        <w:tab/>
      </w:r>
      <w:r>
        <w:rPr>
          <w:rFonts w:hint="eastAsia" w:ascii="宋体" w:hAnsi="宋体" w:eastAsia="宋体" w:cs="宋体"/>
          <w:i/>
          <w:iCs/>
          <w:color w:val="auto"/>
          <w:spacing w:val="-3"/>
          <w:sz w:val="25"/>
          <w:szCs w:val="25"/>
          <w:u w:val="single" w:color="auto"/>
        </w:rPr>
        <w:t>(见招标文件)</w:t>
      </w:r>
      <w:r>
        <w:rPr>
          <w:rFonts w:hint="eastAsia" w:ascii="宋体" w:hAnsi="宋体" w:eastAsia="宋体" w:cs="宋体"/>
          <w:color w:val="auto"/>
          <w:spacing w:val="-3"/>
          <w:sz w:val="25"/>
          <w:szCs w:val="25"/>
          <w:u w:val="single" w:color="auto"/>
        </w:rPr>
        <w:t xml:space="preserve">                     </w:t>
      </w:r>
      <w:r>
        <w:rPr>
          <w:rFonts w:hint="eastAsia" w:ascii="宋体" w:hAnsi="宋体" w:eastAsia="宋体" w:cs="宋体"/>
          <w:color w:val="auto"/>
          <w:spacing w:val="-3"/>
          <w:sz w:val="24"/>
          <w:szCs w:val="24"/>
        </w:rPr>
        <w:t>。</w:t>
      </w:r>
    </w:p>
    <w:p w14:paraId="7FF6D230">
      <w:pPr>
        <w:keepNext w:val="0"/>
        <w:keepLines w:val="0"/>
        <w:pageBreakBefore w:val="0"/>
        <w:widowControl/>
        <w:kinsoku w:val="0"/>
        <w:wordWrap/>
        <w:overflowPunct/>
        <w:topLinePunct w:val="0"/>
        <w:autoSpaceDE w:val="0"/>
        <w:autoSpaceDN w:val="0"/>
        <w:bidi w:val="0"/>
        <w:adjustRightInd w:val="0"/>
        <w:snapToGrid w:val="0"/>
        <w:spacing w:before="241"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十五、</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其它补充条款</w:t>
      </w:r>
    </w:p>
    <w:p w14:paraId="17A2B8AE">
      <w:pPr>
        <w:pStyle w:val="4"/>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rPr>
      </w:pPr>
    </w:p>
    <w:p w14:paraId="2DB61F2B">
      <w:pPr>
        <w:keepNext w:val="0"/>
        <w:keepLines w:val="0"/>
        <w:pageBreakBefore w:val="0"/>
        <w:widowControl/>
        <w:tabs>
          <w:tab w:val="left" w:pos="7917"/>
        </w:tabs>
        <w:kinsoku w:val="0"/>
        <w:wordWrap/>
        <w:overflowPunct/>
        <w:topLinePunct w:val="0"/>
        <w:autoSpaceDE w:val="0"/>
        <w:autoSpaceDN w:val="0"/>
        <w:bidi w:val="0"/>
        <w:adjustRightInd w:val="0"/>
        <w:snapToGrid w:val="0"/>
        <w:spacing w:before="26" w:line="400" w:lineRule="exact"/>
        <w:ind w:left="1198"/>
        <w:textAlignment w:val="baseline"/>
        <w:rPr>
          <w:rFonts w:hint="eastAsia" w:ascii="宋体" w:hAnsi="宋体" w:eastAsia="宋体" w:cs="宋体"/>
          <w:color w:val="auto"/>
          <w:sz w:val="8"/>
          <w:szCs w:val="8"/>
        </w:rPr>
      </w:pPr>
      <w:r>
        <w:rPr>
          <w:rFonts w:hint="eastAsia" w:ascii="宋体" w:hAnsi="宋体" w:eastAsia="宋体" w:cs="宋体"/>
          <w:color w:val="auto"/>
          <w:sz w:val="8"/>
          <w:szCs w:val="8"/>
          <w:u w:val="single" w:color="auto"/>
        </w:rPr>
        <w:tab/>
      </w:r>
      <w:r>
        <w:rPr>
          <w:rFonts w:hint="eastAsia" w:ascii="宋体" w:hAnsi="宋体" w:eastAsia="宋体" w:cs="宋体"/>
          <w:color w:val="auto"/>
          <w:spacing w:val="-6"/>
          <w:sz w:val="8"/>
          <w:szCs w:val="8"/>
        </w:rPr>
        <w:t xml:space="preserve"> </w:t>
      </w:r>
      <w:r>
        <w:rPr>
          <w:rFonts w:hint="eastAsia" w:ascii="宋体" w:hAnsi="宋体" w:eastAsia="宋体" w:cs="宋体"/>
          <w:color w:val="auto"/>
          <w:spacing w:val="12"/>
          <w:sz w:val="8"/>
          <w:szCs w:val="8"/>
        </w:rPr>
        <w:t>。</w:t>
      </w:r>
    </w:p>
    <w:p w14:paraId="2ADF451A">
      <w:pPr>
        <w:keepNext w:val="0"/>
        <w:keepLines w:val="0"/>
        <w:pageBreakBefore w:val="0"/>
        <w:widowControl/>
        <w:kinsoku w:val="0"/>
        <w:wordWrap/>
        <w:overflowPunct/>
        <w:topLinePunct w:val="0"/>
        <w:autoSpaceDE w:val="0"/>
        <w:autoSpaceDN w:val="0"/>
        <w:bidi w:val="0"/>
        <w:adjustRightInd w:val="0"/>
        <w:snapToGrid w:val="0"/>
        <w:spacing w:before="297"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十六、</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不可抗力</w:t>
      </w:r>
    </w:p>
    <w:p w14:paraId="1257B26D">
      <w:pPr>
        <w:keepNext w:val="0"/>
        <w:keepLines w:val="0"/>
        <w:pageBreakBefore w:val="0"/>
        <w:widowControl/>
        <w:kinsoku w:val="0"/>
        <w:wordWrap/>
        <w:overflowPunct/>
        <w:topLinePunct w:val="0"/>
        <w:autoSpaceDE w:val="0"/>
        <w:autoSpaceDN w:val="0"/>
        <w:bidi w:val="0"/>
        <w:adjustRightInd w:val="0"/>
        <w:snapToGrid w:val="0"/>
        <w:spacing w:before="244" w:line="400" w:lineRule="exact"/>
        <w:ind w:left="39" w:firstLine="450"/>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任何一方由于不可抗力原因不能履行合同时，应在</w:t>
      </w:r>
      <w:r>
        <w:rPr>
          <w:rFonts w:hint="eastAsia" w:ascii="宋体" w:hAnsi="宋体" w:eastAsia="宋体" w:cs="宋体"/>
          <w:color w:val="auto"/>
          <w:spacing w:val="-3"/>
          <w:sz w:val="24"/>
          <w:szCs w:val="24"/>
        </w:rPr>
        <w:t>不可抗力事件结束后</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3"/>
          <w:sz w:val="24"/>
          <w:szCs w:val="24"/>
        </w:rPr>
        <w:t>日</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内以书面形式通知对方，以减轻可能给对方造成的损失，在取得有关机构</w:t>
      </w:r>
      <w:r>
        <w:rPr>
          <w:rFonts w:hint="eastAsia" w:ascii="宋体" w:hAnsi="宋体" w:eastAsia="宋体" w:cs="宋体"/>
          <w:color w:val="auto"/>
          <w:spacing w:val="-2"/>
          <w:sz w:val="24"/>
          <w:szCs w:val="24"/>
        </w:rPr>
        <w:t>的不可抗</w:t>
      </w:r>
      <w:r>
        <w:rPr>
          <w:rFonts w:hint="eastAsia" w:ascii="宋体" w:hAnsi="宋体" w:eastAsia="宋体" w:cs="宋体"/>
          <w:color w:val="auto"/>
          <w:sz w:val="24"/>
          <w:szCs w:val="24"/>
        </w:rPr>
        <w:t>力证明或双方谅解确认后，允许延期履行或修订</w:t>
      </w:r>
      <w:r>
        <w:rPr>
          <w:rFonts w:hint="eastAsia" w:ascii="宋体" w:hAnsi="宋体" w:eastAsia="宋体" w:cs="宋体"/>
          <w:color w:val="auto"/>
          <w:spacing w:val="-1"/>
          <w:sz w:val="24"/>
          <w:szCs w:val="24"/>
        </w:rPr>
        <w:t>合同，并根据情况可部分或全部免</w:t>
      </w:r>
      <w:r>
        <w:rPr>
          <w:rFonts w:hint="eastAsia" w:ascii="宋体" w:hAnsi="宋体" w:eastAsia="宋体" w:cs="宋体"/>
          <w:color w:val="auto"/>
          <w:sz w:val="24"/>
          <w:szCs w:val="24"/>
        </w:rPr>
        <w:t xml:space="preserve"> </w:t>
      </w:r>
      <w:r>
        <w:rPr>
          <w:rFonts w:hint="eastAsia" w:ascii="宋体" w:hAnsi="宋体" w:eastAsia="宋体" w:cs="宋体"/>
          <w:color w:val="auto"/>
          <w:spacing w:val="-2"/>
          <w:sz w:val="24"/>
          <w:szCs w:val="24"/>
        </w:rPr>
        <w:t>于承担违约责任。</w:t>
      </w:r>
    </w:p>
    <w:p w14:paraId="7EEF8A8A">
      <w:pPr>
        <w:keepNext w:val="0"/>
        <w:keepLines w:val="0"/>
        <w:pageBreakBefore w:val="0"/>
        <w:widowControl/>
        <w:kinsoku w:val="0"/>
        <w:wordWrap/>
        <w:overflowPunct/>
        <w:topLinePunct w:val="0"/>
        <w:autoSpaceDE w:val="0"/>
        <w:autoSpaceDN w:val="0"/>
        <w:bidi w:val="0"/>
        <w:adjustRightInd w:val="0"/>
        <w:snapToGrid w:val="0"/>
        <w:spacing w:before="97"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十七、</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解决争议的方法</w:t>
      </w:r>
    </w:p>
    <w:p w14:paraId="43298AB9">
      <w:pPr>
        <w:keepNext w:val="0"/>
        <w:keepLines w:val="0"/>
        <w:pageBreakBefore w:val="0"/>
        <w:widowControl/>
        <w:kinsoku w:val="0"/>
        <w:wordWrap/>
        <w:overflowPunct/>
        <w:topLinePunct w:val="0"/>
        <w:autoSpaceDE w:val="0"/>
        <w:autoSpaceDN w:val="0"/>
        <w:bidi w:val="0"/>
        <w:adjustRightInd w:val="0"/>
        <w:snapToGrid w:val="0"/>
        <w:spacing w:before="181" w:line="400" w:lineRule="exact"/>
        <w:ind w:left="11" w:right="152" w:firstLine="482"/>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一切由执行合同引起的或与本合同有关的争</w:t>
      </w:r>
      <w:r>
        <w:rPr>
          <w:rFonts w:hint="eastAsia" w:ascii="宋体" w:hAnsi="宋体" w:eastAsia="宋体" w:cs="宋体"/>
          <w:color w:val="auto"/>
          <w:spacing w:val="-1"/>
          <w:sz w:val="24"/>
          <w:szCs w:val="24"/>
        </w:rPr>
        <w:t>执，双方应通过友好协商解决，如</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协商不能解决应提交甲方所在地有管辖权的人民法院诉讼解决。</w:t>
      </w:r>
    </w:p>
    <w:p w14:paraId="7B795352">
      <w:pPr>
        <w:keepNext w:val="0"/>
        <w:keepLines w:val="0"/>
        <w:pageBreakBefore w:val="0"/>
        <w:widowControl/>
        <w:kinsoku w:val="0"/>
        <w:wordWrap/>
        <w:overflowPunct/>
        <w:topLinePunct w:val="0"/>
        <w:autoSpaceDE w:val="0"/>
        <w:autoSpaceDN w:val="0"/>
        <w:bidi w:val="0"/>
        <w:adjustRightInd w:val="0"/>
        <w:snapToGrid w:val="0"/>
        <w:spacing w:before="93"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4"/>
          <w:sz w:val="24"/>
          <w:szCs w:val="24"/>
        </w:rPr>
        <w:t>十八、</w:t>
      </w:r>
      <w:r>
        <w:rPr>
          <w:rFonts w:hint="eastAsia" w:ascii="宋体" w:hAnsi="宋体" w:eastAsia="宋体" w:cs="宋体"/>
          <w:color w:val="auto"/>
          <w:spacing w:val="-4"/>
          <w:sz w:val="24"/>
          <w:szCs w:val="24"/>
        </w:rPr>
        <w:t xml:space="preserve"> </w:t>
      </w:r>
      <w:r>
        <w:rPr>
          <w:rFonts w:hint="eastAsia" w:ascii="宋体" w:hAnsi="宋体" w:eastAsia="宋体" w:cs="宋体"/>
          <w:b/>
          <w:bCs/>
          <w:color w:val="auto"/>
          <w:spacing w:val="-4"/>
          <w:sz w:val="24"/>
          <w:szCs w:val="24"/>
        </w:rPr>
        <w:t>合同组成</w:t>
      </w:r>
    </w:p>
    <w:p w14:paraId="11819DA0">
      <w:pPr>
        <w:keepNext w:val="0"/>
        <w:keepLines w:val="0"/>
        <w:pageBreakBefore w:val="0"/>
        <w:widowControl/>
        <w:kinsoku w:val="0"/>
        <w:wordWrap/>
        <w:overflowPunct/>
        <w:topLinePunct w:val="0"/>
        <w:autoSpaceDE w:val="0"/>
        <w:autoSpaceDN w:val="0"/>
        <w:bidi w:val="0"/>
        <w:adjustRightInd w:val="0"/>
        <w:snapToGrid w:val="0"/>
        <w:spacing w:before="241" w:line="400" w:lineRule="exact"/>
        <w:ind w:left="977"/>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下列文件为本合同不可分割的部分：</w:t>
      </w:r>
    </w:p>
    <w:p w14:paraId="24328F46">
      <w:pPr>
        <w:keepNext w:val="0"/>
        <w:keepLines w:val="0"/>
        <w:pageBreakBefore w:val="0"/>
        <w:widowControl/>
        <w:kinsoku w:val="0"/>
        <w:wordWrap/>
        <w:overflowPunct/>
        <w:topLinePunct w:val="0"/>
        <w:autoSpaceDE w:val="0"/>
        <w:autoSpaceDN w:val="0"/>
        <w:bidi w:val="0"/>
        <w:adjustRightInd w:val="0"/>
        <w:snapToGrid w:val="0"/>
        <w:spacing w:before="183" w:line="400" w:lineRule="exact"/>
        <w:ind w:left="985"/>
        <w:textAlignment w:val="baseline"/>
        <w:rPr>
          <w:rFonts w:hint="eastAsia" w:ascii="宋体" w:hAnsi="宋体" w:eastAsia="宋体" w:cs="宋体"/>
          <w:color w:val="auto"/>
          <w:sz w:val="24"/>
          <w:szCs w:val="24"/>
        </w:rPr>
      </w:pPr>
      <w:r>
        <w:rPr>
          <w:rFonts w:hint="eastAsia" w:ascii="宋体" w:hAnsi="宋体" w:eastAsia="宋体" w:cs="宋体"/>
          <w:color w:val="auto"/>
          <w:spacing w:val="-5"/>
          <w:sz w:val="24"/>
          <w:szCs w:val="24"/>
        </w:rPr>
        <w:t>1．合同书；</w:t>
      </w:r>
    </w:p>
    <w:p w14:paraId="7783714E">
      <w:pPr>
        <w:keepNext w:val="0"/>
        <w:keepLines w:val="0"/>
        <w:pageBreakBefore w:val="0"/>
        <w:widowControl/>
        <w:kinsoku w:val="0"/>
        <w:wordWrap/>
        <w:overflowPunct/>
        <w:topLinePunct w:val="0"/>
        <w:autoSpaceDE w:val="0"/>
        <w:autoSpaceDN w:val="0"/>
        <w:bidi w:val="0"/>
        <w:adjustRightInd w:val="0"/>
        <w:snapToGrid w:val="0"/>
        <w:spacing w:before="181" w:line="400" w:lineRule="exact"/>
        <w:ind w:left="970"/>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2．代理机构发出的成交通知书；</w:t>
      </w:r>
    </w:p>
    <w:p w14:paraId="0CCC1252">
      <w:pPr>
        <w:keepNext w:val="0"/>
        <w:keepLines w:val="0"/>
        <w:pageBreakBefore w:val="0"/>
        <w:widowControl/>
        <w:kinsoku w:val="0"/>
        <w:wordWrap/>
        <w:overflowPunct/>
        <w:topLinePunct w:val="0"/>
        <w:autoSpaceDE w:val="0"/>
        <w:autoSpaceDN w:val="0"/>
        <w:bidi w:val="0"/>
        <w:adjustRightInd w:val="0"/>
        <w:snapToGrid w:val="0"/>
        <w:spacing w:before="182" w:line="400" w:lineRule="exact"/>
        <w:ind w:left="972"/>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3．经双方确认并共同签字的补充文件、技术协议等；</w:t>
      </w:r>
    </w:p>
    <w:p w14:paraId="17B3CDD8">
      <w:pPr>
        <w:keepNext w:val="0"/>
        <w:keepLines w:val="0"/>
        <w:pageBreakBefore w:val="0"/>
        <w:widowControl/>
        <w:kinsoku w:val="0"/>
        <w:wordWrap/>
        <w:overflowPunct/>
        <w:topLinePunct w:val="0"/>
        <w:autoSpaceDE w:val="0"/>
        <w:autoSpaceDN w:val="0"/>
        <w:bidi w:val="0"/>
        <w:adjustRightInd w:val="0"/>
        <w:snapToGrid w:val="0"/>
        <w:spacing w:before="182" w:line="400" w:lineRule="exact"/>
        <w:ind w:left="966"/>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4．乙方的投标文件（含附件、补充文件、图纸等</w:t>
      </w:r>
      <w:r>
        <w:rPr>
          <w:rFonts w:hint="eastAsia" w:ascii="宋体" w:hAnsi="宋体" w:eastAsia="宋体" w:cs="宋体"/>
          <w:color w:val="auto"/>
          <w:spacing w:val="6"/>
          <w:sz w:val="24"/>
          <w:szCs w:val="24"/>
        </w:rPr>
        <w:t>）；</w:t>
      </w:r>
    </w:p>
    <w:p w14:paraId="0EE43B7E">
      <w:pPr>
        <w:keepNext w:val="0"/>
        <w:keepLines w:val="0"/>
        <w:pageBreakBefore w:val="0"/>
        <w:widowControl/>
        <w:kinsoku w:val="0"/>
        <w:wordWrap/>
        <w:overflowPunct/>
        <w:topLinePunct w:val="0"/>
        <w:autoSpaceDE w:val="0"/>
        <w:autoSpaceDN w:val="0"/>
        <w:bidi w:val="0"/>
        <w:adjustRightInd w:val="0"/>
        <w:snapToGrid w:val="0"/>
        <w:spacing w:before="184" w:line="400" w:lineRule="exact"/>
        <w:ind w:left="972"/>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5．采购文件（含附件、补充文件、图纸等）。</w:t>
      </w:r>
    </w:p>
    <w:p w14:paraId="6E5CD9AC">
      <w:pPr>
        <w:keepNext w:val="0"/>
        <w:keepLines w:val="0"/>
        <w:pageBreakBefore w:val="0"/>
        <w:widowControl/>
        <w:kinsoku w:val="0"/>
        <w:wordWrap/>
        <w:overflowPunct/>
        <w:topLinePunct w:val="0"/>
        <w:autoSpaceDE w:val="0"/>
        <w:autoSpaceDN w:val="0"/>
        <w:bidi w:val="0"/>
        <w:adjustRightInd w:val="0"/>
        <w:snapToGrid w:val="0"/>
        <w:spacing w:before="241"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十九、</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合同生效与终止</w:t>
      </w:r>
    </w:p>
    <w:p w14:paraId="019952C3">
      <w:pPr>
        <w:keepNext w:val="0"/>
        <w:keepLines w:val="0"/>
        <w:pageBreakBefore w:val="0"/>
        <w:widowControl/>
        <w:kinsoku w:val="0"/>
        <w:wordWrap/>
        <w:overflowPunct/>
        <w:topLinePunct w:val="0"/>
        <w:autoSpaceDE w:val="0"/>
        <w:autoSpaceDN w:val="0"/>
        <w:bidi w:val="0"/>
        <w:adjustRightInd w:val="0"/>
        <w:snapToGrid w:val="0"/>
        <w:spacing w:before="183" w:line="400" w:lineRule="exact"/>
        <w:ind w:left="491" w:right="74" w:firstLine="493"/>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1．本合同经甲乙双方授权代表签字和加盖公章（或合同专用章）后生</w:t>
      </w:r>
      <w:r>
        <w:rPr>
          <w:rFonts w:hint="eastAsia" w:ascii="宋体" w:hAnsi="宋体" w:eastAsia="宋体" w:cs="宋体"/>
          <w:color w:val="auto"/>
          <w:spacing w:val="-3"/>
          <w:sz w:val="24"/>
          <w:szCs w:val="24"/>
        </w:rPr>
        <w:t>效。</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如竞争性磋商申请公证的，合同需经公证机构公证后生效；</w:t>
      </w:r>
    </w:p>
    <w:p w14:paraId="59288F75">
      <w:pPr>
        <w:keepNext w:val="0"/>
        <w:keepLines w:val="0"/>
        <w:pageBreakBefore w:val="0"/>
        <w:widowControl/>
        <w:kinsoku w:val="0"/>
        <w:wordWrap/>
        <w:overflowPunct/>
        <w:topLinePunct w:val="0"/>
        <w:autoSpaceDE w:val="0"/>
        <w:autoSpaceDN w:val="0"/>
        <w:bidi w:val="0"/>
        <w:adjustRightInd w:val="0"/>
        <w:snapToGrid w:val="0"/>
        <w:spacing w:before="184" w:line="400" w:lineRule="exact"/>
        <w:ind w:left="973"/>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2．双方履行完各自权利和义务后合同自行终止；</w:t>
      </w:r>
    </w:p>
    <w:p w14:paraId="0F0C6753">
      <w:pPr>
        <w:keepNext w:val="0"/>
        <w:keepLines w:val="0"/>
        <w:pageBreakBefore w:val="0"/>
        <w:widowControl/>
        <w:kinsoku w:val="0"/>
        <w:wordWrap/>
        <w:overflowPunct/>
        <w:topLinePunct w:val="0"/>
        <w:autoSpaceDE w:val="0"/>
        <w:autoSpaceDN w:val="0"/>
        <w:bidi w:val="0"/>
        <w:adjustRightInd w:val="0"/>
        <w:snapToGrid w:val="0"/>
        <w:spacing w:before="180" w:line="400" w:lineRule="exact"/>
        <w:ind w:left="974"/>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3．本合同规定可以终止合同的情形。</w:t>
      </w:r>
    </w:p>
    <w:p w14:paraId="6A5C157A">
      <w:pPr>
        <w:keepNext w:val="0"/>
        <w:keepLines w:val="0"/>
        <w:pageBreakBefore w:val="0"/>
        <w:widowControl/>
        <w:kinsoku w:val="0"/>
        <w:wordWrap/>
        <w:overflowPunct/>
        <w:topLinePunct w:val="0"/>
        <w:autoSpaceDE w:val="0"/>
        <w:autoSpaceDN w:val="0"/>
        <w:bidi w:val="0"/>
        <w:adjustRightInd w:val="0"/>
        <w:snapToGrid w:val="0"/>
        <w:spacing w:before="244"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4"/>
          <w:sz w:val="24"/>
          <w:szCs w:val="24"/>
        </w:rPr>
        <w:t>二十、</w:t>
      </w:r>
      <w:r>
        <w:rPr>
          <w:rFonts w:hint="eastAsia" w:ascii="宋体" w:hAnsi="宋体" w:eastAsia="宋体" w:cs="宋体"/>
          <w:color w:val="auto"/>
          <w:spacing w:val="-4"/>
          <w:sz w:val="24"/>
          <w:szCs w:val="24"/>
        </w:rPr>
        <w:t xml:space="preserve"> </w:t>
      </w:r>
      <w:r>
        <w:rPr>
          <w:rFonts w:hint="eastAsia" w:ascii="宋体" w:hAnsi="宋体" w:eastAsia="宋体" w:cs="宋体"/>
          <w:b/>
          <w:bCs/>
          <w:color w:val="auto"/>
          <w:spacing w:val="-4"/>
          <w:sz w:val="24"/>
          <w:szCs w:val="24"/>
        </w:rPr>
        <w:t>通知与送达</w:t>
      </w:r>
    </w:p>
    <w:p w14:paraId="6ADBE0B8">
      <w:pPr>
        <w:keepNext w:val="0"/>
        <w:keepLines w:val="0"/>
        <w:pageBreakBefore w:val="0"/>
        <w:widowControl/>
        <w:kinsoku w:val="0"/>
        <w:wordWrap/>
        <w:overflowPunct/>
        <w:topLinePunct w:val="0"/>
        <w:autoSpaceDE w:val="0"/>
        <w:autoSpaceDN w:val="0"/>
        <w:bidi w:val="0"/>
        <w:adjustRightInd w:val="0"/>
        <w:snapToGrid w:val="0"/>
        <w:spacing w:before="179" w:line="400" w:lineRule="exact"/>
        <w:ind w:left="487" w:right="61" w:firstLine="497"/>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1．就本合同有关事项，双方应通过本合同约定的联系方式向对方发送相关</w:t>
      </w:r>
      <w:r>
        <w:rPr>
          <w:rFonts w:hint="eastAsia" w:ascii="宋体" w:hAnsi="宋体" w:eastAsia="宋体" w:cs="宋体"/>
          <w:color w:val="auto"/>
          <w:spacing w:val="11"/>
          <w:sz w:val="24"/>
          <w:szCs w:val="24"/>
        </w:rPr>
        <w:t xml:space="preserve"> </w:t>
      </w:r>
      <w:r>
        <w:rPr>
          <w:rFonts w:hint="eastAsia" w:ascii="宋体" w:hAnsi="宋体" w:eastAsia="宋体" w:cs="宋体"/>
          <w:color w:val="auto"/>
          <w:spacing w:val="-1"/>
          <w:sz w:val="24"/>
          <w:szCs w:val="24"/>
        </w:rPr>
        <w:t>通知，本合同约定的送达地址同时作为有效司法送达地址；</w:t>
      </w:r>
    </w:p>
    <w:p w14:paraId="3BA3B1EC">
      <w:pPr>
        <w:keepNext w:val="0"/>
        <w:keepLines w:val="0"/>
        <w:pageBreakBefore w:val="0"/>
        <w:widowControl/>
        <w:kinsoku w:val="0"/>
        <w:wordWrap/>
        <w:overflowPunct/>
        <w:topLinePunct w:val="0"/>
        <w:autoSpaceDE w:val="0"/>
        <w:autoSpaceDN w:val="0"/>
        <w:bidi w:val="0"/>
        <w:adjustRightInd w:val="0"/>
        <w:snapToGrid w:val="0"/>
        <w:spacing w:before="181" w:line="400" w:lineRule="exact"/>
        <w:ind w:left="486" w:right="61" w:firstLine="483"/>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2．一方变更通知或通讯地址，应自变更之日起</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55"/>
          <w:sz w:val="24"/>
          <w:szCs w:val="24"/>
        </w:rPr>
        <w:t xml:space="preserve"> </w:t>
      </w:r>
      <w:r>
        <w:rPr>
          <w:rFonts w:hint="eastAsia" w:ascii="宋体" w:hAnsi="宋体" w:eastAsia="宋体" w:cs="宋体"/>
          <w:color w:val="auto"/>
          <w:spacing w:val="-3"/>
          <w:sz w:val="24"/>
          <w:szCs w:val="24"/>
        </w:rPr>
        <w:t>日内，以书面形式通知</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对方，否则，由未通知方承担由此而引起的相关责任。</w:t>
      </w:r>
    </w:p>
    <w:p w14:paraId="61A45F61">
      <w:pPr>
        <w:keepNext w:val="0"/>
        <w:keepLines w:val="0"/>
        <w:pageBreakBefore w:val="0"/>
        <w:widowControl/>
        <w:kinsoku w:val="0"/>
        <w:wordWrap/>
        <w:overflowPunct/>
        <w:topLinePunct w:val="0"/>
        <w:autoSpaceDE w:val="0"/>
        <w:autoSpaceDN w:val="0"/>
        <w:bidi w:val="0"/>
        <w:adjustRightInd w:val="0"/>
        <w:snapToGrid w:val="0"/>
        <w:spacing w:before="242" w:line="400" w:lineRule="exact"/>
        <w:textAlignment w:val="baseline"/>
        <w:rPr>
          <w:rFonts w:hint="eastAsia" w:ascii="宋体" w:hAnsi="宋体" w:eastAsia="宋体" w:cs="宋体"/>
          <w:color w:val="auto"/>
          <w:sz w:val="24"/>
          <w:szCs w:val="24"/>
        </w:rPr>
      </w:pPr>
      <w:r>
        <w:rPr>
          <w:rFonts w:hint="eastAsia" w:ascii="宋体" w:hAnsi="宋体" w:eastAsia="宋体" w:cs="宋体"/>
          <w:b/>
          <w:bCs/>
          <w:color w:val="auto"/>
          <w:spacing w:val="-7"/>
          <w:sz w:val="24"/>
          <w:szCs w:val="24"/>
        </w:rPr>
        <w:t>二十一、</w:t>
      </w:r>
      <w:r>
        <w:rPr>
          <w:rFonts w:hint="eastAsia" w:ascii="宋体" w:hAnsi="宋体" w:eastAsia="宋体" w:cs="宋体"/>
          <w:color w:val="auto"/>
          <w:spacing w:val="36"/>
          <w:sz w:val="24"/>
          <w:szCs w:val="24"/>
        </w:rPr>
        <w:t xml:space="preserve">  </w:t>
      </w:r>
      <w:r>
        <w:rPr>
          <w:rFonts w:hint="eastAsia" w:ascii="宋体" w:hAnsi="宋体" w:eastAsia="宋体" w:cs="宋体"/>
          <w:b/>
          <w:bCs/>
          <w:color w:val="auto"/>
          <w:spacing w:val="-7"/>
          <w:sz w:val="24"/>
          <w:szCs w:val="24"/>
        </w:rPr>
        <w:t>其它</w:t>
      </w:r>
    </w:p>
    <w:p w14:paraId="57A9D915">
      <w:pPr>
        <w:keepNext w:val="0"/>
        <w:keepLines w:val="0"/>
        <w:pageBreakBefore w:val="0"/>
        <w:widowControl/>
        <w:kinsoku w:val="0"/>
        <w:wordWrap/>
        <w:overflowPunct/>
        <w:topLinePunct w:val="0"/>
        <w:autoSpaceDE w:val="0"/>
        <w:autoSpaceDN w:val="0"/>
        <w:bidi w:val="0"/>
        <w:adjustRightInd w:val="0"/>
        <w:snapToGrid w:val="0"/>
        <w:spacing w:before="178" w:line="400" w:lineRule="exact"/>
        <w:ind w:left="518" w:firstLine="450"/>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本合同正本一式</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110"/>
          <w:sz w:val="24"/>
          <w:szCs w:val="24"/>
        </w:rPr>
        <w:t xml:space="preserve"> </w:t>
      </w:r>
      <w:r>
        <w:rPr>
          <w:rFonts w:hint="eastAsia" w:ascii="宋体" w:hAnsi="宋体" w:eastAsia="宋体" w:cs="宋体"/>
          <w:color w:val="auto"/>
          <w:spacing w:val="-3"/>
          <w:sz w:val="24"/>
          <w:szCs w:val="24"/>
        </w:rPr>
        <w:t>份，甲方执</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110"/>
          <w:sz w:val="24"/>
          <w:szCs w:val="24"/>
        </w:rPr>
        <w:t xml:space="preserve"> </w:t>
      </w:r>
      <w:r>
        <w:rPr>
          <w:rFonts w:hint="eastAsia" w:ascii="宋体" w:hAnsi="宋体" w:eastAsia="宋体" w:cs="宋体"/>
          <w:color w:val="auto"/>
          <w:spacing w:val="-3"/>
          <w:sz w:val="24"/>
          <w:szCs w:val="24"/>
        </w:rPr>
        <w:t>份，乙方执</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110"/>
          <w:sz w:val="24"/>
          <w:szCs w:val="24"/>
        </w:rPr>
        <w:t xml:space="preserve"> </w:t>
      </w:r>
      <w:r>
        <w:rPr>
          <w:rFonts w:hint="eastAsia" w:ascii="宋体" w:hAnsi="宋体" w:eastAsia="宋体" w:cs="宋体"/>
          <w:color w:val="auto"/>
          <w:spacing w:val="-4"/>
          <w:sz w:val="24"/>
          <w:szCs w:val="24"/>
        </w:rPr>
        <w:t>份；副本一式</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111"/>
          <w:sz w:val="24"/>
          <w:szCs w:val="24"/>
        </w:rPr>
        <w:t xml:space="preserve"> </w:t>
      </w:r>
      <w:r>
        <w:rPr>
          <w:rFonts w:hint="eastAsia" w:ascii="宋体" w:hAnsi="宋体" w:eastAsia="宋体" w:cs="宋体"/>
          <w:color w:val="auto"/>
          <w:spacing w:val="-4"/>
          <w:sz w:val="24"/>
          <w:szCs w:val="24"/>
        </w:rPr>
        <w:t>份，</w:t>
      </w:r>
      <w:r>
        <w:rPr>
          <w:rFonts w:hint="eastAsia" w:ascii="宋体" w:hAnsi="宋体" w:eastAsia="宋体" w:cs="宋体"/>
          <w:color w:val="auto"/>
          <w:sz w:val="24"/>
          <w:szCs w:val="24"/>
        </w:rPr>
        <w:t xml:space="preserve"> </w:t>
      </w:r>
      <w:r>
        <w:rPr>
          <w:rFonts w:hint="eastAsia" w:ascii="宋体" w:hAnsi="宋体" w:eastAsia="宋体" w:cs="宋体"/>
          <w:color w:val="auto"/>
          <w:spacing w:val="-4"/>
          <w:sz w:val="24"/>
          <w:szCs w:val="24"/>
        </w:rPr>
        <w:t>甲方执</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100"/>
          <w:sz w:val="24"/>
          <w:szCs w:val="24"/>
        </w:rPr>
        <w:t xml:space="preserve"> </w:t>
      </w:r>
      <w:r>
        <w:rPr>
          <w:rFonts w:hint="eastAsia" w:ascii="宋体" w:hAnsi="宋体" w:eastAsia="宋体" w:cs="宋体"/>
          <w:color w:val="auto"/>
          <w:spacing w:val="-4"/>
          <w:sz w:val="24"/>
          <w:szCs w:val="24"/>
        </w:rPr>
        <w:t>份，乙方执</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110"/>
          <w:sz w:val="24"/>
          <w:szCs w:val="24"/>
        </w:rPr>
        <w:t xml:space="preserve"> </w:t>
      </w:r>
      <w:r>
        <w:rPr>
          <w:rFonts w:hint="eastAsia" w:ascii="宋体" w:hAnsi="宋体" w:eastAsia="宋体" w:cs="宋体"/>
          <w:color w:val="auto"/>
          <w:spacing w:val="-4"/>
          <w:sz w:val="24"/>
          <w:szCs w:val="24"/>
        </w:rPr>
        <w:t>份。</w:t>
      </w:r>
    </w:p>
    <w:p w14:paraId="4AF728BC">
      <w:pPr>
        <w:pStyle w:val="4"/>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rPr>
      </w:pPr>
    </w:p>
    <w:p w14:paraId="5B76AF38">
      <w:pPr>
        <w:keepNext w:val="0"/>
        <w:keepLines w:val="0"/>
        <w:pageBreakBefore w:val="0"/>
        <w:widowControl/>
        <w:kinsoku w:val="0"/>
        <w:wordWrap/>
        <w:overflowPunct/>
        <w:topLinePunct w:val="0"/>
        <w:autoSpaceDE w:val="0"/>
        <w:autoSpaceDN w:val="0"/>
        <w:bidi w:val="0"/>
        <w:adjustRightInd w:val="0"/>
        <w:snapToGrid w:val="0"/>
        <w:spacing w:before="78" w:line="400" w:lineRule="exact"/>
        <w:ind w:left="1010"/>
        <w:textAlignment w:val="baseline"/>
        <w:rPr>
          <w:rFonts w:hint="eastAsia" w:ascii="宋体" w:hAnsi="宋体" w:eastAsia="宋体" w:cs="宋体"/>
          <w:color w:val="auto"/>
          <w:sz w:val="24"/>
          <w:szCs w:val="24"/>
        </w:rPr>
      </w:pPr>
      <w:r>
        <w:rPr>
          <w:rFonts w:hint="eastAsia" w:ascii="宋体" w:hAnsi="宋体" w:eastAsia="宋体" w:cs="宋体"/>
          <w:color w:val="auto"/>
          <w:spacing w:val="-21"/>
          <w:sz w:val="24"/>
          <w:szCs w:val="24"/>
        </w:rPr>
        <w:t>甲</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21"/>
          <w:sz w:val="24"/>
          <w:szCs w:val="24"/>
        </w:rPr>
        <w:t>方</w:t>
      </w:r>
      <w:r>
        <w:rPr>
          <w:rFonts w:hint="eastAsia" w:ascii="宋体" w:hAnsi="宋体" w:eastAsia="宋体" w:cs="宋体"/>
          <w:color w:val="auto"/>
          <w:spacing w:val="-87"/>
          <w:sz w:val="24"/>
          <w:szCs w:val="24"/>
        </w:rPr>
        <w:t xml:space="preserve"> </w:t>
      </w:r>
      <w:r>
        <w:rPr>
          <w:rFonts w:hint="eastAsia" w:ascii="宋体" w:hAnsi="宋体" w:eastAsia="宋体" w:cs="宋体"/>
          <w:color w:val="auto"/>
          <w:spacing w:val="-21"/>
          <w:sz w:val="24"/>
          <w:szCs w:val="24"/>
        </w:rPr>
        <w:t>：</w:t>
      </w:r>
      <w:r>
        <w:rPr>
          <w:rFonts w:hint="eastAsia" w:ascii="宋体" w:hAnsi="宋体" w:eastAsia="宋体" w:cs="宋体"/>
          <w:color w:val="auto"/>
          <w:spacing w:val="1"/>
          <w:sz w:val="24"/>
          <w:szCs w:val="24"/>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pacing w:val="-21"/>
          <w:sz w:val="24"/>
          <w:szCs w:val="24"/>
        </w:rPr>
        <w:t>乙</w:t>
      </w: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21"/>
          <w:sz w:val="24"/>
          <w:szCs w:val="24"/>
        </w:rPr>
        <w:t>方：</w:t>
      </w:r>
    </w:p>
    <w:p w14:paraId="19460853">
      <w:pPr>
        <w:keepNext w:val="0"/>
        <w:keepLines w:val="0"/>
        <w:pageBreakBefore w:val="0"/>
        <w:widowControl/>
        <w:kinsoku w:val="0"/>
        <w:wordWrap/>
        <w:overflowPunct/>
        <w:topLinePunct w:val="0"/>
        <w:autoSpaceDE w:val="0"/>
        <w:autoSpaceDN w:val="0"/>
        <w:bidi w:val="0"/>
        <w:adjustRightInd w:val="0"/>
        <w:snapToGrid w:val="0"/>
        <w:spacing w:before="180" w:line="400" w:lineRule="exact"/>
        <w:ind w:left="981"/>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单位名称（盖章</w:t>
      </w:r>
      <w:r>
        <w:rPr>
          <w:rFonts w:hint="eastAsia" w:ascii="宋体" w:hAnsi="宋体" w:eastAsia="宋体" w:cs="宋体"/>
          <w:color w:val="auto"/>
          <w:spacing w:val="1"/>
          <w:sz w:val="24"/>
          <w:szCs w:val="24"/>
        </w:rPr>
        <w:t>）：</w:t>
      </w:r>
      <w:r>
        <w:rPr>
          <w:rFonts w:hint="eastAsia" w:ascii="宋体" w:hAnsi="宋体" w:eastAsia="宋体" w:cs="宋体"/>
          <w:color w:val="auto"/>
          <w:sz w:val="24"/>
          <w:szCs w:val="24"/>
        </w:rPr>
        <w:t xml:space="preserve">                    </w:t>
      </w:r>
      <w:r>
        <w:rPr>
          <w:rFonts w:hint="eastAsia" w:ascii="宋体" w:hAnsi="宋体" w:eastAsia="宋体" w:cs="宋体"/>
          <w:color w:val="auto"/>
          <w:spacing w:val="-2"/>
          <w:sz w:val="24"/>
          <w:szCs w:val="24"/>
        </w:rPr>
        <w:t>单位名称（盖章</w:t>
      </w:r>
      <w:r>
        <w:rPr>
          <w:rFonts w:hint="eastAsia" w:ascii="宋体" w:hAnsi="宋体" w:eastAsia="宋体" w:cs="宋体"/>
          <w:color w:val="auto"/>
          <w:spacing w:val="1"/>
          <w:sz w:val="24"/>
          <w:szCs w:val="24"/>
        </w:rPr>
        <w:t>）：</w:t>
      </w:r>
    </w:p>
    <w:p w14:paraId="56BD148B">
      <w:pPr>
        <w:keepNext w:val="0"/>
        <w:keepLines w:val="0"/>
        <w:pageBreakBefore w:val="0"/>
        <w:widowControl/>
        <w:kinsoku w:val="0"/>
        <w:wordWrap/>
        <w:overflowPunct/>
        <w:topLinePunct w:val="0"/>
        <w:autoSpaceDE w:val="0"/>
        <w:autoSpaceDN w:val="0"/>
        <w:bidi w:val="0"/>
        <w:adjustRightInd w:val="0"/>
        <w:snapToGrid w:val="0"/>
        <w:spacing w:before="182" w:line="400" w:lineRule="exact"/>
        <w:ind w:left="981"/>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单位地址：                            单位地址：</w:t>
      </w:r>
    </w:p>
    <w:p w14:paraId="3E80E080">
      <w:pPr>
        <w:keepNext w:val="0"/>
        <w:keepLines w:val="0"/>
        <w:pageBreakBefore w:val="0"/>
        <w:widowControl/>
        <w:kinsoku w:val="0"/>
        <w:wordWrap/>
        <w:overflowPunct/>
        <w:topLinePunct w:val="0"/>
        <w:autoSpaceDE w:val="0"/>
        <w:autoSpaceDN w:val="0"/>
        <w:bidi w:val="0"/>
        <w:adjustRightInd w:val="0"/>
        <w:snapToGrid w:val="0"/>
        <w:spacing w:before="208" w:line="400" w:lineRule="exact"/>
        <w:ind w:left="980"/>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法人代表授权人(签字)：</w:t>
      </w:r>
      <w:r>
        <w:rPr>
          <w:rFonts w:hint="eastAsia" w:ascii="宋体" w:hAnsi="宋体" w:eastAsia="宋体" w:cs="宋体"/>
          <w:color w:val="auto"/>
          <w:spacing w:val="4"/>
          <w:sz w:val="24"/>
          <w:szCs w:val="24"/>
        </w:rPr>
        <w:t xml:space="preserve">               </w:t>
      </w:r>
      <w:r>
        <w:rPr>
          <w:rFonts w:hint="eastAsia" w:ascii="宋体" w:hAnsi="宋体" w:eastAsia="宋体" w:cs="宋体"/>
          <w:color w:val="auto"/>
          <w:spacing w:val="-1"/>
          <w:sz w:val="24"/>
          <w:szCs w:val="24"/>
        </w:rPr>
        <w:t>法人代表授权人(签字)：</w:t>
      </w:r>
    </w:p>
    <w:p w14:paraId="53B0AE75">
      <w:pPr>
        <w:keepNext w:val="0"/>
        <w:keepLines w:val="0"/>
        <w:pageBreakBefore w:val="0"/>
        <w:widowControl/>
        <w:kinsoku w:val="0"/>
        <w:wordWrap/>
        <w:overflowPunct/>
        <w:topLinePunct w:val="0"/>
        <w:autoSpaceDE w:val="0"/>
        <w:autoSpaceDN w:val="0"/>
        <w:bidi w:val="0"/>
        <w:adjustRightInd w:val="0"/>
        <w:snapToGrid w:val="0"/>
        <w:spacing w:before="181" w:line="400" w:lineRule="exact"/>
        <w:ind w:left="980"/>
        <w:textAlignment w:val="baseline"/>
        <w:rPr>
          <w:rFonts w:hint="eastAsia" w:ascii="宋体" w:hAnsi="宋体" w:eastAsia="宋体" w:cs="宋体"/>
          <w:color w:val="auto"/>
          <w:sz w:val="24"/>
          <w:szCs w:val="24"/>
        </w:rPr>
      </w:pPr>
      <w:r>
        <w:rPr>
          <w:rFonts w:hint="eastAsia" w:ascii="宋体" w:hAnsi="宋体" w:eastAsia="宋体" w:cs="宋体"/>
          <w:color w:val="auto"/>
          <w:spacing w:val="-11"/>
          <w:sz w:val="24"/>
          <w:szCs w:val="24"/>
        </w:rPr>
        <w:t>联</w:t>
      </w:r>
      <w:r>
        <w:rPr>
          <w:rFonts w:hint="eastAsia" w:ascii="宋体" w:hAnsi="宋体" w:eastAsia="宋体" w:cs="宋体"/>
          <w:color w:val="auto"/>
          <w:spacing w:val="22"/>
          <w:sz w:val="24"/>
          <w:szCs w:val="24"/>
        </w:rPr>
        <w:t xml:space="preserve"> </w:t>
      </w:r>
      <w:r>
        <w:rPr>
          <w:rFonts w:hint="eastAsia" w:ascii="宋体" w:hAnsi="宋体" w:eastAsia="宋体" w:cs="宋体"/>
          <w:color w:val="auto"/>
          <w:spacing w:val="-11"/>
          <w:sz w:val="24"/>
          <w:szCs w:val="24"/>
        </w:rPr>
        <w:t>系 人</w:t>
      </w:r>
      <w:r>
        <w:rPr>
          <w:rFonts w:hint="eastAsia" w:ascii="宋体" w:hAnsi="宋体" w:eastAsia="宋体" w:cs="宋体"/>
          <w:color w:val="auto"/>
          <w:spacing w:val="-90"/>
          <w:sz w:val="24"/>
          <w:szCs w:val="24"/>
        </w:rPr>
        <w:t xml:space="preserve"> </w:t>
      </w:r>
      <w:r>
        <w:rPr>
          <w:rFonts w:hint="eastAsia" w:ascii="宋体" w:hAnsi="宋体" w:eastAsia="宋体" w:cs="宋体"/>
          <w:color w:val="auto"/>
          <w:spacing w:val="-11"/>
          <w:sz w:val="24"/>
          <w:szCs w:val="24"/>
        </w:rPr>
        <w:t>：</w:t>
      </w:r>
      <w:r>
        <w:rPr>
          <w:rFonts w:hint="eastAsia" w:ascii="宋体" w:hAnsi="宋体" w:eastAsia="宋体" w:cs="宋体"/>
          <w:color w:val="auto"/>
          <w:sz w:val="24"/>
          <w:szCs w:val="24"/>
        </w:rPr>
        <w:t xml:space="preserve">                            </w:t>
      </w:r>
      <w:r>
        <w:rPr>
          <w:rFonts w:hint="eastAsia" w:ascii="宋体" w:hAnsi="宋体" w:eastAsia="宋体" w:cs="宋体"/>
          <w:color w:val="auto"/>
          <w:spacing w:val="-11"/>
          <w:sz w:val="24"/>
          <w:szCs w:val="24"/>
        </w:rPr>
        <w:t>联</w:t>
      </w:r>
      <w:r>
        <w:rPr>
          <w:rFonts w:hint="eastAsia" w:ascii="宋体" w:hAnsi="宋体" w:eastAsia="宋体" w:cs="宋体"/>
          <w:color w:val="auto"/>
          <w:spacing w:val="14"/>
          <w:sz w:val="24"/>
          <w:szCs w:val="24"/>
        </w:rPr>
        <w:t xml:space="preserve"> </w:t>
      </w:r>
      <w:r>
        <w:rPr>
          <w:rFonts w:hint="eastAsia" w:ascii="宋体" w:hAnsi="宋体" w:eastAsia="宋体" w:cs="宋体"/>
          <w:color w:val="auto"/>
          <w:spacing w:val="-11"/>
          <w:sz w:val="24"/>
          <w:szCs w:val="24"/>
        </w:rPr>
        <w:t>系</w:t>
      </w:r>
      <w:r>
        <w:rPr>
          <w:rFonts w:hint="eastAsia" w:ascii="宋体" w:hAnsi="宋体" w:eastAsia="宋体" w:cs="宋体"/>
          <w:color w:val="auto"/>
          <w:spacing w:val="12"/>
          <w:sz w:val="24"/>
          <w:szCs w:val="24"/>
        </w:rPr>
        <w:t xml:space="preserve"> </w:t>
      </w:r>
      <w:r>
        <w:rPr>
          <w:rFonts w:hint="eastAsia" w:ascii="宋体" w:hAnsi="宋体" w:eastAsia="宋体" w:cs="宋体"/>
          <w:color w:val="auto"/>
          <w:spacing w:val="-11"/>
          <w:sz w:val="24"/>
          <w:szCs w:val="24"/>
        </w:rPr>
        <w:t>人：</w:t>
      </w:r>
    </w:p>
    <w:p w14:paraId="4B0DBC2D">
      <w:pPr>
        <w:keepNext w:val="0"/>
        <w:keepLines w:val="0"/>
        <w:pageBreakBefore w:val="0"/>
        <w:widowControl/>
        <w:kinsoku w:val="0"/>
        <w:wordWrap/>
        <w:overflowPunct/>
        <w:topLinePunct w:val="0"/>
        <w:autoSpaceDE w:val="0"/>
        <w:autoSpaceDN w:val="0"/>
        <w:bidi w:val="0"/>
        <w:adjustRightInd w:val="0"/>
        <w:snapToGrid w:val="0"/>
        <w:spacing w:before="180" w:line="400" w:lineRule="exact"/>
        <w:ind w:left="1007"/>
        <w:textAlignment w:val="baseline"/>
        <w:rPr>
          <w:rFonts w:hint="eastAsia" w:ascii="宋体" w:hAnsi="宋体" w:eastAsia="宋体" w:cs="宋体"/>
          <w:color w:val="auto"/>
          <w:sz w:val="24"/>
          <w:szCs w:val="24"/>
        </w:rPr>
      </w:pPr>
      <w:r>
        <w:rPr>
          <w:rFonts w:hint="eastAsia" w:ascii="宋体" w:hAnsi="宋体" w:eastAsia="宋体" w:cs="宋体"/>
          <w:color w:val="auto"/>
          <w:spacing w:val="-11"/>
          <w:sz w:val="24"/>
          <w:szCs w:val="24"/>
        </w:rPr>
        <w:t>电</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1"/>
          <w:sz w:val="24"/>
          <w:szCs w:val="24"/>
        </w:rPr>
        <w:t>话</w:t>
      </w:r>
      <w:r>
        <w:rPr>
          <w:rFonts w:hint="eastAsia" w:ascii="宋体" w:hAnsi="宋体" w:eastAsia="宋体" w:cs="宋体"/>
          <w:color w:val="auto"/>
          <w:spacing w:val="-90"/>
          <w:sz w:val="24"/>
          <w:szCs w:val="24"/>
        </w:rPr>
        <w:t xml:space="preserve"> </w:t>
      </w:r>
      <w:r>
        <w:rPr>
          <w:rFonts w:hint="eastAsia" w:ascii="宋体" w:hAnsi="宋体" w:eastAsia="宋体" w:cs="宋体"/>
          <w:color w:val="auto"/>
          <w:spacing w:val="-11"/>
          <w:sz w:val="24"/>
          <w:szCs w:val="24"/>
        </w:rPr>
        <w:t>：                              电</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1"/>
          <w:sz w:val="24"/>
          <w:szCs w:val="24"/>
        </w:rPr>
        <w:t>话：</w:t>
      </w:r>
    </w:p>
    <w:p w14:paraId="731512B5">
      <w:pPr>
        <w:keepNext w:val="0"/>
        <w:keepLines w:val="0"/>
        <w:pageBreakBefore w:val="0"/>
        <w:widowControl/>
        <w:kinsoku w:val="0"/>
        <w:wordWrap/>
        <w:overflowPunct/>
        <w:topLinePunct w:val="0"/>
        <w:autoSpaceDE w:val="0"/>
        <w:autoSpaceDN w:val="0"/>
        <w:bidi w:val="0"/>
        <w:adjustRightInd w:val="0"/>
        <w:snapToGrid w:val="0"/>
        <w:spacing w:before="177" w:line="400" w:lineRule="exact"/>
        <w:ind w:left="977"/>
        <w:textAlignment w:val="baseline"/>
        <w:rPr>
          <w:rFonts w:hint="eastAsia" w:ascii="宋体" w:hAnsi="宋体" w:eastAsia="宋体" w:cs="宋体"/>
          <w:color w:val="auto"/>
          <w:sz w:val="24"/>
          <w:szCs w:val="24"/>
        </w:rPr>
      </w:pPr>
      <w:r>
        <w:rPr>
          <w:rFonts w:hint="eastAsia" w:ascii="宋体" w:hAnsi="宋体" w:eastAsia="宋体" w:cs="宋体"/>
          <w:color w:val="auto"/>
          <w:spacing w:val="-12"/>
          <w:sz w:val="24"/>
          <w:szCs w:val="24"/>
        </w:rPr>
        <w:t>传</w:t>
      </w: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12"/>
          <w:sz w:val="24"/>
          <w:szCs w:val="24"/>
        </w:rPr>
        <w:t>真</w:t>
      </w:r>
      <w:r>
        <w:rPr>
          <w:rFonts w:hint="eastAsia" w:ascii="宋体" w:hAnsi="宋体" w:eastAsia="宋体" w:cs="宋体"/>
          <w:color w:val="auto"/>
          <w:spacing w:val="-89"/>
          <w:sz w:val="24"/>
          <w:szCs w:val="24"/>
        </w:rPr>
        <w:t xml:space="preserve"> </w:t>
      </w:r>
      <w:r>
        <w:rPr>
          <w:rFonts w:hint="eastAsia" w:ascii="宋体" w:hAnsi="宋体" w:eastAsia="宋体" w:cs="宋体"/>
          <w:color w:val="auto"/>
          <w:spacing w:val="-12"/>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2"/>
          <w:sz w:val="24"/>
          <w:szCs w:val="24"/>
        </w:rPr>
        <w:t>传</w:t>
      </w:r>
      <w:r>
        <w:rPr>
          <w:rFonts w:hint="eastAsia" w:ascii="宋体" w:hAnsi="宋体" w:eastAsia="宋体" w:cs="宋体"/>
          <w:color w:val="auto"/>
          <w:spacing w:val="4"/>
          <w:sz w:val="24"/>
          <w:szCs w:val="24"/>
        </w:rPr>
        <w:t xml:space="preserve">    </w:t>
      </w:r>
      <w:r>
        <w:rPr>
          <w:rFonts w:hint="eastAsia" w:ascii="宋体" w:hAnsi="宋体" w:eastAsia="宋体" w:cs="宋体"/>
          <w:color w:val="auto"/>
          <w:spacing w:val="-12"/>
          <w:sz w:val="24"/>
          <w:szCs w:val="24"/>
        </w:rPr>
        <w:t>真：</w:t>
      </w:r>
    </w:p>
    <w:p w14:paraId="18635A75">
      <w:pPr>
        <w:keepNext w:val="0"/>
        <w:keepLines w:val="0"/>
        <w:pageBreakBefore w:val="0"/>
        <w:widowControl/>
        <w:kinsoku w:val="0"/>
        <w:wordWrap/>
        <w:overflowPunct/>
        <w:topLinePunct w:val="0"/>
        <w:autoSpaceDE w:val="0"/>
        <w:autoSpaceDN w:val="0"/>
        <w:bidi w:val="0"/>
        <w:adjustRightInd w:val="0"/>
        <w:snapToGrid w:val="0"/>
        <w:spacing w:before="184" w:line="400" w:lineRule="exact"/>
        <w:ind w:left="997"/>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邮政编码：                            邮政编码：</w:t>
      </w:r>
    </w:p>
    <w:p w14:paraId="7108FCF9">
      <w:pPr>
        <w:keepNext w:val="0"/>
        <w:keepLines w:val="0"/>
        <w:pageBreakBefore w:val="0"/>
        <w:widowControl/>
        <w:kinsoku w:val="0"/>
        <w:wordWrap/>
        <w:overflowPunct/>
        <w:topLinePunct w:val="0"/>
        <w:autoSpaceDE w:val="0"/>
        <w:autoSpaceDN w:val="0"/>
        <w:bidi w:val="0"/>
        <w:adjustRightInd w:val="0"/>
        <w:snapToGrid w:val="0"/>
        <w:spacing w:before="180" w:line="400" w:lineRule="exact"/>
        <w:ind w:left="980"/>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开户银行：</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3"/>
          <w:sz w:val="24"/>
          <w:szCs w:val="24"/>
        </w:rPr>
        <w:t>开户银行：</w:t>
      </w:r>
    </w:p>
    <w:p w14:paraId="6E749BB6">
      <w:pPr>
        <w:keepNext w:val="0"/>
        <w:keepLines w:val="0"/>
        <w:pageBreakBefore w:val="0"/>
        <w:widowControl/>
        <w:kinsoku w:val="0"/>
        <w:wordWrap/>
        <w:overflowPunct/>
        <w:topLinePunct w:val="0"/>
        <w:autoSpaceDE w:val="0"/>
        <w:autoSpaceDN w:val="0"/>
        <w:bidi w:val="0"/>
        <w:adjustRightInd w:val="0"/>
        <w:snapToGrid w:val="0"/>
        <w:spacing w:before="182" w:line="400" w:lineRule="exact"/>
        <w:ind w:left="989"/>
        <w:textAlignment w:val="baseline"/>
        <w:rPr>
          <w:rFonts w:hint="eastAsia" w:ascii="宋体" w:hAnsi="宋体" w:eastAsia="宋体" w:cs="宋体"/>
          <w:color w:val="auto"/>
          <w:sz w:val="24"/>
          <w:szCs w:val="24"/>
        </w:rPr>
      </w:pPr>
      <w:r>
        <w:rPr>
          <w:rFonts w:hint="eastAsia" w:ascii="宋体" w:hAnsi="宋体" w:eastAsia="宋体" w:cs="宋体"/>
          <w:color w:val="auto"/>
          <w:spacing w:val="-17"/>
          <w:sz w:val="24"/>
          <w:szCs w:val="24"/>
        </w:rPr>
        <w:t>帐</w:t>
      </w:r>
      <w:r>
        <w:rPr>
          <w:rFonts w:hint="eastAsia" w:ascii="宋体" w:hAnsi="宋体" w:eastAsia="宋体" w:cs="宋体"/>
          <w:color w:val="auto"/>
          <w:spacing w:val="4"/>
          <w:sz w:val="24"/>
          <w:szCs w:val="24"/>
        </w:rPr>
        <w:t xml:space="preserve">    </w:t>
      </w:r>
      <w:r>
        <w:rPr>
          <w:rFonts w:hint="eastAsia" w:ascii="宋体" w:hAnsi="宋体" w:eastAsia="宋体" w:cs="宋体"/>
          <w:color w:val="auto"/>
          <w:spacing w:val="-17"/>
          <w:sz w:val="24"/>
          <w:szCs w:val="24"/>
        </w:rPr>
        <w:t>号</w:t>
      </w:r>
      <w:r>
        <w:rPr>
          <w:rFonts w:hint="eastAsia" w:ascii="宋体" w:hAnsi="宋体" w:eastAsia="宋体" w:cs="宋体"/>
          <w:color w:val="auto"/>
          <w:spacing w:val="-88"/>
          <w:sz w:val="24"/>
          <w:szCs w:val="24"/>
        </w:rPr>
        <w:t xml:space="preserve"> </w:t>
      </w:r>
      <w:r>
        <w:rPr>
          <w:rFonts w:hint="eastAsia" w:ascii="宋体" w:hAnsi="宋体" w:eastAsia="宋体" w:cs="宋体"/>
          <w:color w:val="auto"/>
          <w:spacing w:val="-17"/>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7"/>
          <w:sz w:val="24"/>
          <w:szCs w:val="24"/>
        </w:rPr>
        <w:t>帐</w:t>
      </w:r>
      <w:r>
        <w:rPr>
          <w:rFonts w:hint="eastAsia" w:ascii="宋体" w:hAnsi="宋体" w:eastAsia="宋体" w:cs="宋体"/>
          <w:color w:val="auto"/>
          <w:spacing w:val="7"/>
          <w:sz w:val="24"/>
          <w:szCs w:val="24"/>
        </w:rPr>
        <w:t xml:space="preserve">    </w:t>
      </w:r>
      <w:r>
        <w:rPr>
          <w:rFonts w:hint="eastAsia" w:ascii="宋体" w:hAnsi="宋体" w:eastAsia="宋体" w:cs="宋体"/>
          <w:color w:val="auto"/>
          <w:spacing w:val="-17"/>
          <w:sz w:val="24"/>
          <w:szCs w:val="24"/>
        </w:rPr>
        <w:t>号：</w:t>
      </w:r>
    </w:p>
    <w:p w14:paraId="0B9F67DC">
      <w:pPr>
        <w:keepNext w:val="0"/>
        <w:keepLines w:val="0"/>
        <w:pageBreakBefore w:val="0"/>
        <w:widowControl/>
        <w:kinsoku w:val="0"/>
        <w:wordWrap/>
        <w:overflowPunct/>
        <w:topLinePunct w:val="0"/>
        <w:autoSpaceDE w:val="0"/>
        <w:autoSpaceDN w:val="0"/>
        <w:bidi w:val="0"/>
        <w:adjustRightInd w:val="0"/>
        <w:snapToGrid w:val="0"/>
        <w:spacing w:before="182" w:line="400" w:lineRule="exact"/>
        <w:ind w:left="978"/>
        <w:textAlignment w:val="baseline"/>
        <w:rPr>
          <w:rFonts w:hint="eastAsia" w:ascii="宋体" w:hAnsi="宋体" w:eastAsia="宋体" w:cs="宋体"/>
          <w:color w:val="auto"/>
          <w:sz w:val="24"/>
          <w:szCs w:val="24"/>
        </w:rPr>
      </w:pPr>
      <w:r>
        <w:rPr>
          <w:rFonts w:hint="eastAsia" w:ascii="宋体" w:hAnsi="宋体" w:eastAsia="宋体" w:cs="宋体"/>
          <w:color w:val="auto"/>
          <w:spacing w:val="-6"/>
          <w:sz w:val="24"/>
          <w:szCs w:val="24"/>
        </w:rPr>
        <w:t>税</w:t>
      </w: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6"/>
          <w:sz w:val="24"/>
          <w:szCs w:val="24"/>
        </w:rPr>
        <w:t>号</w:t>
      </w:r>
      <w:r>
        <w:rPr>
          <w:rFonts w:hint="eastAsia" w:ascii="宋体" w:hAnsi="宋体" w:eastAsia="宋体" w:cs="宋体"/>
          <w:color w:val="auto"/>
          <w:spacing w:val="-87"/>
          <w:sz w:val="24"/>
          <w:szCs w:val="24"/>
        </w:rPr>
        <w:t xml:space="preserve"> </w:t>
      </w:r>
      <w:r>
        <w:rPr>
          <w:rFonts w:hint="eastAsia" w:ascii="宋体" w:hAnsi="宋体" w:eastAsia="宋体" w:cs="宋体"/>
          <w:color w:val="auto"/>
          <w:spacing w:val="-6"/>
          <w:sz w:val="24"/>
          <w:szCs w:val="24"/>
        </w:rPr>
        <w:t xml:space="preserve">：                         </w:t>
      </w:r>
      <w:r>
        <w:rPr>
          <w:rFonts w:hint="eastAsia" w:ascii="宋体" w:hAnsi="宋体" w:eastAsia="宋体" w:cs="宋体"/>
          <w:color w:val="auto"/>
          <w:spacing w:val="-7"/>
          <w:sz w:val="24"/>
          <w:szCs w:val="24"/>
        </w:rPr>
        <w:t xml:space="preserve">    税    号：</w:t>
      </w:r>
    </w:p>
    <w:p w14:paraId="286EE8AF">
      <w:pPr>
        <w:pStyle w:val="4"/>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rPr>
      </w:pPr>
    </w:p>
    <w:p w14:paraId="0B93A7A9">
      <w:pPr>
        <w:pStyle w:val="4"/>
        <w:rPr>
          <w:rFonts w:hint="eastAsia" w:ascii="宋体" w:hAnsi="宋体" w:eastAsia="宋体" w:cs="宋体"/>
          <w:color w:val="auto"/>
        </w:rPr>
      </w:pPr>
    </w:p>
    <w:p w14:paraId="20F90C66">
      <w:pPr>
        <w:pStyle w:val="4"/>
        <w:rPr>
          <w:rFonts w:hint="eastAsia" w:ascii="宋体" w:hAnsi="宋体" w:eastAsia="宋体" w:cs="宋体"/>
          <w:color w:val="auto"/>
        </w:rPr>
      </w:pPr>
    </w:p>
    <w:p w14:paraId="32A90508">
      <w:pPr>
        <w:pStyle w:val="4"/>
        <w:rPr>
          <w:rFonts w:hint="eastAsia" w:ascii="宋体" w:hAnsi="宋体" w:eastAsia="宋体" w:cs="宋体"/>
          <w:color w:val="auto"/>
        </w:rPr>
      </w:pPr>
    </w:p>
    <w:p w14:paraId="5E92CE73">
      <w:pPr>
        <w:pStyle w:val="4"/>
        <w:rPr>
          <w:rFonts w:hint="eastAsia" w:ascii="宋体" w:hAnsi="宋体" w:eastAsia="宋体" w:cs="宋体"/>
          <w:color w:val="auto"/>
        </w:rPr>
      </w:pPr>
    </w:p>
    <w:p w14:paraId="3F3A16C2">
      <w:pPr>
        <w:pStyle w:val="5"/>
        <w:rPr>
          <w:rFonts w:hint="eastAsia" w:ascii="宋体" w:hAnsi="宋体" w:eastAsia="宋体" w:cs="宋体"/>
          <w:b/>
          <w:color w:val="auto"/>
          <w:sz w:val="24"/>
          <w:szCs w:val="24"/>
          <w:highlight w:val="none"/>
        </w:rPr>
      </w:pPr>
    </w:p>
    <w:p w14:paraId="0EA30873">
      <w:pPr>
        <w:spacing w:before="70" w:line="353" w:lineRule="exact"/>
        <w:ind w:left="3694"/>
        <w:outlineLvl w:val="1"/>
        <w:rPr>
          <w:rFonts w:hint="eastAsia" w:ascii="宋体" w:hAnsi="宋体" w:eastAsia="宋体" w:cs="宋体"/>
          <w:color w:val="auto"/>
          <w:spacing w:val="-12"/>
          <w:w w:val="96"/>
          <w:position w:val="-2"/>
          <w:sz w:val="35"/>
          <w:szCs w:val="35"/>
        </w:rPr>
      </w:pPr>
    </w:p>
    <w:p w14:paraId="6FCA6482">
      <w:pPr>
        <w:spacing w:before="70" w:line="353" w:lineRule="exact"/>
        <w:ind w:left="3694"/>
        <w:outlineLvl w:val="1"/>
        <w:rPr>
          <w:rFonts w:hint="eastAsia" w:ascii="宋体" w:hAnsi="宋体" w:eastAsia="宋体" w:cs="宋体"/>
          <w:color w:val="auto"/>
          <w:spacing w:val="-12"/>
          <w:w w:val="96"/>
          <w:position w:val="-2"/>
          <w:sz w:val="35"/>
          <w:szCs w:val="35"/>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F4B60">
    <w:pPr>
      <w:pStyle w:val="4"/>
      <w:spacing w:before="59" w:line="209" w:lineRule="auto"/>
      <w:rPr>
        <w:sz w:val="18"/>
        <w:szCs w:val="18"/>
      </w:rPr>
    </w:pPr>
    <w:r>
      <w:rPr>
        <w:sz w:val="3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3DBF43">
                          <w:pPr>
                            <w:pStyle w:val="5"/>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7E3DBF43">
                    <w:pPr>
                      <w:pStyle w:val="5"/>
                    </w:pPr>
                    <w:r>
                      <w:fldChar w:fldCharType="begin"/>
                    </w:r>
                    <w:r>
                      <w:instrText xml:space="preserve"> PAGE  \* MERGEFORMAT </w:instrText>
                    </w:r>
                    <w:r>
                      <w:fldChar w:fldCharType="separate"/>
                    </w:r>
                    <w:r>
                      <w:t>41</w:t>
                    </w:r>
                    <w:r>
                      <w:fldChar w:fldCharType="end"/>
                    </w:r>
                  </w:p>
                </w:txbxContent>
              </v:textbox>
            </v:shape>
          </w:pict>
        </mc:Fallback>
      </mc:AlternateContent>
    </w:r>
    <w:r>
      <mc:AlternateContent>
        <mc:Choice Requires="wps">
          <w:drawing>
            <wp:anchor distT="0" distB="0" distL="114300" distR="114300" simplePos="0" relativeHeight="251659264" behindDoc="0" locked="0" layoutInCell="0" allowOverlap="1">
              <wp:simplePos x="0" y="0"/>
              <wp:positionH relativeFrom="page">
                <wp:posOffset>996950</wp:posOffset>
              </wp:positionH>
              <wp:positionV relativeFrom="page">
                <wp:posOffset>9949180</wp:posOffset>
              </wp:positionV>
              <wp:extent cx="5567045" cy="7620"/>
              <wp:effectExtent l="0" t="0" r="0" b="0"/>
              <wp:wrapNone/>
              <wp:docPr id="3" name="任意多边形 3"/>
              <wp:cNvGraphicFramePr/>
              <a:graphic xmlns:a="http://schemas.openxmlformats.org/drawingml/2006/main">
                <a:graphicData uri="http://schemas.microsoft.com/office/word/2010/wordprocessingShape">
                  <wps:wsp>
                    <wps:cNvSpPr/>
                    <wps:spPr>
                      <a:xfrm>
                        <a:off x="0" y="0"/>
                        <a:ext cx="5567045" cy="7620"/>
                      </a:xfrm>
                      <a:custGeom>
                        <a:avLst/>
                        <a:gdLst/>
                        <a:ahLst/>
                        <a:cxnLst/>
                        <a:pathLst>
                          <a:path w="8767" h="12">
                            <a:moveTo>
                              <a:pt x="0" y="1"/>
                            </a:moveTo>
                            <a:lnTo>
                              <a:pt x="8766" y="1"/>
                            </a:lnTo>
                            <a:lnTo>
                              <a:pt x="8766" y="11"/>
                            </a:lnTo>
                            <a:lnTo>
                              <a:pt x="0" y="11"/>
                            </a:lnTo>
                            <a:lnTo>
                              <a:pt x="0" y="1"/>
                            </a:lnTo>
                            <a:close/>
                          </a:path>
                          <a:path w="8767" h="12">
                            <a:moveTo>
                              <a:pt x="3447" y="0"/>
                            </a:moveTo>
                            <a:lnTo>
                              <a:pt x="4245" y="0"/>
                            </a:lnTo>
                            <a:lnTo>
                              <a:pt x="4245" y="9"/>
                            </a:lnTo>
                            <a:lnTo>
                              <a:pt x="3447" y="9"/>
                            </a:lnTo>
                            <a:lnTo>
                              <a:pt x="3447" y="0"/>
                            </a:lnTo>
                            <a:close/>
                          </a:path>
                        </a:pathLst>
                      </a:custGeom>
                      <a:solidFill>
                        <a:srgbClr val="7F7F7F"/>
                      </a:solidFill>
                      <a:ln>
                        <a:noFill/>
                      </a:ln>
                    </wps:spPr>
                    <wps:bodyPr upright="1"/>
                  </wps:wsp>
                </a:graphicData>
              </a:graphic>
            </wp:anchor>
          </w:drawing>
        </mc:Choice>
        <mc:Fallback>
          <w:pict>
            <v:shape id="_x0000_s1026" o:spid="_x0000_s1026" o:spt="100" style="position:absolute;left:0pt;margin-left:78.5pt;margin-top:783.4pt;height:0.6pt;width:438.35pt;mso-position-horizontal-relative:page;mso-position-vertical-relative:page;z-index:251659264;mso-width-relative:page;mso-height-relative:page;" fillcolor="#7F7F7F" filled="t" stroked="f" coordsize="8767,12" o:allowincell="f" o:gfxdata="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&#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WkQfZAAAADgEAAA8AAAAAAAAAAQAgAAAAIgAAAGRy&#10;cy9kb3ducmV2LnhtbFBLAQIUABQAAAAIAIdO4kAs9VFSPQIAAG0FAAAOAAAAAAAAAAEAIAAAACgB&#10;AABkcnMvZTJvRG9jLnhtbFBLBQYAAAAABgAGAFkBAADXBQAAAAA=&#10;" path="m0,1l8766,1,8766,11,0,11,0,1xem3447,0l4245,0,4245,9,3447,9,3447,0xe">
              <v:fill on="t" focussize="0,0"/>
              <v:stroke on="f"/>
              <v:imagedata o:title=""/>
              <o:lock v:ext="edit" aspectratio="f"/>
            </v:shape>
          </w:pict>
        </mc:Fallback>
      </mc:AlternateContent>
    </w:r>
    <w:r>
      <w:rPr>
        <w:spacing w:val="1"/>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F7B48">
    <w:pPr>
      <w:pStyle w:val="4"/>
      <w:spacing w:before="59" w:line="209" w:lineRule="auto"/>
      <w:rPr>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F6D4E5">
                          <w:pPr>
                            <w:pStyle w:val="5"/>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58F6D4E5">
                    <w:pPr>
                      <w:pStyle w:val="5"/>
                    </w:pPr>
                    <w:r>
                      <w:fldChar w:fldCharType="begin"/>
                    </w:r>
                    <w:r>
                      <w:instrText xml:space="preserve"> PAGE  \* MERGEFORMAT </w:instrText>
                    </w:r>
                    <w:r>
                      <w:fldChar w:fldCharType="separate"/>
                    </w:r>
                    <w:r>
                      <w:t>44</w:t>
                    </w:r>
                    <w:r>
                      <w:fldChar w:fldCharType="end"/>
                    </w:r>
                  </w:p>
                </w:txbxContent>
              </v:textbox>
            </v:shape>
          </w:pict>
        </mc:Fallback>
      </mc:AlternateContent>
    </w:r>
    <w:r>
      <w:rPr>
        <w:rFonts w:hint="eastAsia"/>
        <w:b/>
        <w:bCs/>
        <w:i/>
        <w:iCs/>
        <w:spacing w:val="1"/>
        <w:sz w:val="18"/>
        <w:szCs w:val="18"/>
        <w:lang w:eastAsia="zh-CN"/>
      </w:rPr>
      <w:t xml:space="preserve"> </w:t>
    </w:r>
    <w:r>
      <w:rPr>
        <w:spacing w:val="1"/>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DAECA">
    <w:pPr>
      <w:pStyle w:val="4"/>
      <w:spacing w:before="59" w:line="209" w:lineRule="auto"/>
      <w:rPr>
        <w:sz w:val="18"/>
        <w:szCs w:val="18"/>
      </w:rPr>
    </w:pPr>
    <w:r>
      <w:rPr>
        <w:sz w:val="3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B9555D">
                          <w:pPr>
                            <w:pStyle w:val="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32B9555D">
                    <w:pPr>
                      <w:pStyle w:val="5"/>
                    </w:pPr>
                    <w:r>
                      <w:fldChar w:fldCharType="begin"/>
                    </w:r>
                    <w:r>
                      <w:instrText xml:space="preserve"> PAGE  \* MERGEFORMAT </w:instrText>
                    </w:r>
                    <w:r>
                      <w:fldChar w:fldCharType="separate"/>
                    </w:r>
                    <w:r>
                      <w:t>45</w:t>
                    </w:r>
                    <w:r>
                      <w:fldChar w:fldCharType="end"/>
                    </w:r>
                  </w:p>
                </w:txbxContent>
              </v:textbox>
            </v:shape>
          </w:pict>
        </mc:Fallback>
      </mc:AlternateContent>
    </w:r>
    <w:r>
      <mc:AlternateContent>
        <mc:Choice Requires="wps">
          <w:drawing>
            <wp:anchor distT="0" distB="0" distL="114300" distR="114300" simplePos="0" relativeHeight="251661312" behindDoc="0" locked="0" layoutInCell="0" allowOverlap="1">
              <wp:simplePos x="0" y="0"/>
              <wp:positionH relativeFrom="page">
                <wp:posOffset>1141095</wp:posOffset>
              </wp:positionH>
              <wp:positionV relativeFrom="page">
                <wp:posOffset>9949180</wp:posOffset>
              </wp:positionV>
              <wp:extent cx="5278755" cy="7620"/>
              <wp:effectExtent l="0" t="0" r="0" b="0"/>
              <wp:wrapNone/>
              <wp:docPr id="8" name="任意多边形 8"/>
              <wp:cNvGraphicFramePr/>
              <a:graphic xmlns:a="http://schemas.openxmlformats.org/drawingml/2006/main">
                <a:graphicData uri="http://schemas.microsoft.com/office/word/2010/wordprocessingShape">
                  <wps:wsp>
                    <wps:cNvSpPr/>
                    <wps:spPr>
                      <a:xfrm>
                        <a:off x="0" y="0"/>
                        <a:ext cx="5278755" cy="7620"/>
                      </a:xfrm>
                      <a:custGeom>
                        <a:avLst/>
                        <a:gdLst/>
                        <a:ahLst/>
                        <a:cxnLst/>
                        <a:pathLst>
                          <a:path w="8312" h="12">
                            <a:moveTo>
                              <a:pt x="0" y="1"/>
                            </a:moveTo>
                            <a:lnTo>
                              <a:pt x="8312" y="1"/>
                            </a:lnTo>
                            <a:lnTo>
                              <a:pt x="8312" y="11"/>
                            </a:lnTo>
                            <a:lnTo>
                              <a:pt x="0" y="11"/>
                            </a:lnTo>
                            <a:lnTo>
                              <a:pt x="0" y="1"/>
                            </a:lnTo>
                            <a:close/>
                          </a:path>
                          <a:path w="8312" h="12">
                            <a:moveTo>
                              <a:pt x="3447" y="0"/>
                            </a:moveTo>
                            <a:lnTo>
                              <a:pt x="4245" y="0"/>
                            </a:lnTo>
                            <a:lnTo>
                              <a:pt x="4245" y="9"/>
                            </a:lnTo>
                            <a:lnTo>
                              <a:pt x="3447" y="9"/>
                            </a:lnTo>
                            <a:lnTo>
                              <a:pt x="3447" y="0"/>
                            </a:lnTo>
                            <a:close/>
                          </a:path>
                        </a:pathLst>
                      </a:custGeom>
                      <a:solidFill>
                        <a:srgbClr val="7F7F7F"/>
                      </a:solidFill>
                      <a:ln>
                        <a:noFill/>
                      </a:ln>
                    </wps:spPr>
                    <wps:bodyPr upright="1"/>
                  </wps:wsp>
                </a:graphicData>
              </a:graphic>
            </wp:anchor>
          </w:drawing>
        </mc:Choice>
        <mc:Fallback>
          <w:pict>
            <v:shape id="_x0000_s1026" o:spid="_x0000_s1026" o:spt="100" style="position:absolute;left:0pt;margin-left:89.85pt;margin-top:783.4pt;height:0.6pt;width:415.65pt;mso-position-horizontal-relative:page;mso-position-vertical-relative:page;z-index:251661312;mso-width-relative:page;mso-height-relative:page;" fillcolor="#7F7F7F" filled="t" stroked="f" coordsize="8312,12" o:allowincell="f" o:gfxdata="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8xAt22QAAAA4BAAAPAAAAAAAAAAEAIAAAACIAAABk&#10;cnMvZG93bnJldi54bWxQSwECFAAUAAAACACHTuJACYNm0z4CAABtBQAADgAAAAAAAAABACAAAAAo&#10;AQAAZHJzL2Uyb0RvYy54bWxQSwUGAAAAAAYABgBZAQAA2AUAAAAA&#10;" path="m0,1l8312,1,8312,11,0,11,0,1xem3447,0l4245,0,4245,9,3447,9,3447,0xe">
              <v:fill on="t" focussize="0,0"/>
              <v:stroke on="f"/>
              <v:imagedata o:title=""/>
              <o:lock v:ext="edit" aspectratio="f"/>
            </v:shape>
          </w:pict>
        </mc:Fallback>
      </mc:AlternateContent>
    </w:r>
    <w:r>
      <w:rPr>
        <w:rFonts w:hint="eastAsia"/>
        <w:b/>
        <w:bCs/>
        <w:i/>
        <w:iCs/>
        <w:spacing w:val="1"/>
        <w:sz w:val="18"/>
        <w:szCs w:val="18"/>
        <w:lang w:eastAsia="zh-CN"/>
      </w:rPr>
      <w:t xml:space="preserve"> </w:t>
    </w:r>
    <w:r>
      <w:rPr>
        <w:spacing w:val="1"/>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EA630">
    <w:pPr>
      <w:pStyle w:val="4"/>
      <w:spacing w:before="22" w:line="219" w:lineRule="auto"/>
      <w:ind w:left="2"/>
      <w:rPr>
        <w:rFonts w:hint="eastAsia" w:eastAsia="宋体"/>
        <w:sz w:val="18"/>
        <w:szCs w:val="18"/>
        <w:lang w:eastAsia="zh-CN"/>
      </w:rPr>
    </w:pPr>
    <w:r>
      <w:rPr>
        <w:spacing w:val="2"/>
        <w:sz w:val="18"/>
        <w:szCs w:val="18"/>
      </w:rPr>
      <w:t xml:space="preserve">                              </w:t>
    </w:r>
    <w:r>
      <w:rPr>
        <w:rFonts w:hint="eastAsia"/>
        <w:b/>
        <w:bCs/>
        <w:i/>
        <w:iCs/>
        <w:spacing w:val="3"/>
        <w:sz w:val="18"/>
        <w:szCs w:val="18"/>
        <w:lang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3C3A8">
    <w:pPr>
      <w:pStyle w:val="4"/>
      <w:spacing w:before="22" w:line="219" w:lineRule="auto"/>
      <w:ind w:left="12"/>
      <w:rPr>
        <w:rFonts w:hint="eastAsia" w:eastAsia="宋体"/>
        <w:sz w:val="18"/>
        <w:szCs w:val="18"/>
        <w:lang w:eastAsia="zh-CN"/>
      </w:rPr>
    </w:pPr>
    <w:r>
      <mc:AlternateContent>
        <mc:Choice Requires="wps">
          <w:drawing>
            <wp:anchor distT="0" distB="0" distL="114300" distR="114300" simplePos="0" relativeHeight="251660288" behindDoc="0" locked="0" layoutInCell="0" allowOverlap="1">
              <wp:simplePos x="0" y="0"/>
              <wp:positionH relativeFrom="page">
                <wp:posOffset>1141095</wp:posOffset>
              </wp:positionH>
              <wp:positionV relativeFrom="page">
                <wp:posOffset>736600</wp:posOffset>
              </wp:positionV>
              <wp:extent cx="5278755" cy="9525"/>
              <wp:effectExtent l="0" t="0" r="0" b="0"/>
              <wp:wrapNone/>
              <wp:docPr id="9" name="任意多边形 9"/>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8pt;height:0.75pt;width:415.65pt;mso-position-horizontal-relative:page;mso-position-vertical-relative:page;z-index:251660288;mso-width-relative:page;mso-height-relative:page;" fillcolor="#000000" filled="t" stroked="f" coordsize="8312,15" o:allowincell="f" o:gfxdata="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zJz2d1wAAAAwBAAAPAAAAAAAA&#10;AAEAIAAAACIAAABkcnMvZG93bnJldi54bWxQSwECFAAUAAAACACHTuJALqwcjxMCAAB7BAAADgAA&#10;AAAAAAABACAAAAAmAQAAZHJzL2Uyb0RvYy54bWxQSwUGAAAAAAYABgBZAQAAqwUAAAAA&#10;" path="m0,0l8312,0,8312,14,0,14,0,0xe">
              <v:fill on="t" focussize="0,0"/>
              <v:stroke on="f"/>
              <v:imagedata o:title=""/>
              <o:lock v:ext="edit" aspectratio="f"/>
            </v:shape>
          </w:pict>
        </mc:Fallback>
      </mc:AlternateContent>
    </w:r>
    <w:r>
      <w:rPr>
        <w:rFonts w:hint="eastAsia"/>
        <w:b/>
        <w:bCs/>
        <w:i/>
        <w:iCs/>
        <w:spacing w:val="3"/>
        <w:sz w:val="18"/>
        <w:szCs w:val="18"/>
        <w:lang w:eastAsia="zh-CN"/>
      </w:rPr>
      <w:t xml:space="preserve">武汉市东西湖区人民政府长青街道办事处     </w:t>
    </w:r>
    <w:r>
      <w:rPr>
        <w:spacing w:val="2"/>
        <w:sz w:val="18"/>
        <w:szCs w:val="18"/>
      </w:rPr>
      <w:t xml:space="preserve">                          </w:t>
    </w:r>
    <w:r>
      <w:rPr>
        <w:rFonts w:hint="eastAsia"/>
        <w:b/>
        <w:bCs/>
        <w:i/>
        <w:iCs/>
        <w:spacing w:val="3"/>
        <w:sz w:val="18"/>
        <w:szCs w:val="18"/>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CAAC7"/>
    <w:multiLevelType w:val="singleLevel"/>
    <w:tmpl w:val="907CAAC7"/>
    <w:lvl w:ilvl="0" w:tentative="0">
      <w:start w:val="1"/>
      <w:numFmt w:val="decimal"/>
      <w:lvlText w:val="%1."/>
      <w:lvlJc w:val="left"/>
      <w:pPr>
        <w:ind w:left="425" w:hanging="425"/>
      </w:pPr>
      <w:rPr>
        <w:rFonts w:hint="default"/>
      </w:rPr>
    </w:lvl>
  </w:abstractNum>
  <w:abstractNum w:abstractNumId="1">
    <w:nsid w:val="079D8037"/>
    <w:multiLevelType w:val="singleLevel"/>
    <w:tmpl w:val="079D8037"/>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8C17BA"/>
    <w:rsid w:val="1F812871"/>
    <w:rsid w:val="271969B5"/>
    <w:rsid w:val="4FF0108C"/>
    <w:rsid w:val="61C64D38"/>
    <w:rsid w:val="701E7B8D"/>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Times New Roman" w:hAnsi="Times New Roman"/>
      <w:kern w:val="0"/>
      <w:sz w:val="20"/>
      <w:szCs w:val="20"/>
    </w:rPr>
  </w:style>
  <w:style w:type="paragraph" w:styleId="4">
    <w:name w:val="Body Text"/>
    <w:basedOn w:val="1"/>
    <w:semiHidden/>
    <w:qFormat/>
    <w:uiPriority w:val="0"/>
    <w:rPr>
      <w:rFonts w:ascii="宋体" w:hAnsi="宋体" w:eastAsia="宋体" w:cs="宋体"/>
      <w:sz w:val="40"/>
      <w:szCs w:val="40"/>
      <w:lang w:val="en-US" w:eastAsia="en-US" w:bidi="ar-SA"/>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8">
    <w:name w:val="index 1"/>
    <w:basedOn w:val="1"/>
    <w:next w:val="1"/>
    <w:qFormat/>
    <w:uiPriority w:val="0"/>
    <w:rPr>
      <w:rFonts w:ascii="Times New Roman" w:hAnsi="Times New Roman"/>
      <w:szCs w:val="20"/>
    </w:rPr>
  </w:style>
  <w:style w:type="paragraph" w:customStyle="1" w:styleId="11">
    <w:name w:val="正文（首行缩进两字）"/>
    <w:basedOn w:val="1"/>
    <w:semiHidden/>
    <w:qFormat/>
    <w:uiPriority w:val="0"/>
    <w:rPr>
      <w:sz w:val="28"/>
      <w:szCs w:val="28"/>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4"/>
      <w:szCs w:val="24"/>
      <w:lang w:val="en-US" w:eastAsia="en-US" w:bidi="ar-SA"/>
    </w:rPr>
  </w:style>
  <w:style w:type="paragraph" w:styleId="14">
    <w:name w:val="No Spacing"/>
    <w:qFormat/>
    <w:uiPriority w:val="1"/>
    <w:pPr>
      <w:widowControl w:val="0"/>
    </w:pPr>
    <w:rPr>
      <w:rFonts w:ascii="宋体" w:hAnsi="宋体" w:eastAsia="宋体" w:cstheme="minorBidi"/>
      <w:kern w:val="2"/>
      <w:sz w:val="24"/>
      <w:szCs w:val="22"/>
      <w:lang w:val="en-US" w:eastAsia="zh-CN" w:bidi="ar-SA"/>
    </w:rPr>
  </w:style>
  <w:style w:type="paragraph" w:customStyle="1" w:styleId="15">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637</Words>
  <Characters>703</Characters>
  <Lines>0</Lines>
  <Paragraphs>0</Paragraphs>
  <TotalTime>5</TotalTime>
  <ScaleCrop>false</ScaleCrop>
  <LinksUpToDate>false</LinksUpToDate>
  <CharactersWithSpaces>712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2026-07-16T08:42:00Z</dcterms:created>
  <dc:creator>admin</dc:creator>
  <cp:lastModifiedBy>海哥</cp:lastModifiedBy>
  <dcterms:modified xsi:type="dcterms:W3CDTF">2026-07-17T02:49:37Z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eyJoZGlkIjoiMGNmZGFjNzhkODdkY2ZjNWY2MDE3MzkxY2VmZjNiMjciLCJ1c2VySWQiOiI2ODY5NDkzNjAifQ==</vt:lpwstr>
  </property>
  <property fmtid="{D5CDD505-2E9C-101B-9397-08002B2CF9AE}" pid="4" name="ICV">
    <vt:lpwstr>D0425E34B2ED46B0A2565354E91C80E1_12</vt:lpwstr>
  </property>
</Properties>
</file>