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B8045">
      <w:pPr>
        <w:jc w:val="center"/>
        <w:rPr>
          <w:rFonts w:hint="eastAsia" w:ascii="黑体" w:hAnsi="黑体" w:eastAsia="黑体"/>
          <w:b/>
          <w:sz w:val="96"/>
          <w:szCs w:val="96"/>
        </w:rPr>
      </w:pPr>
      <w:bookmarkStart w:id="0" w:name="_Toc162164501"/>
      <w:bookmarkStart w:id="1" w:name="_Toc535832547"/>
    </w:p>
    <w:p w14:paraId="64151EC8">
      <w:pPr>
        <w:jc w:val="center"/>
        <w:rPr>
          <w:rFonts w:ascii="黑体" w:hAnsi="黑体" w:eastAsia="黑体"/>
          <w:b/>
          <w:sz w:val="96"/>
          <w:szCs w:val="96"/>
        </w:rPr>
      </w:pPr>
      <w:r>
        <w:rPr>
          <w:rFonts w:hint="eastAsia" w:ascii="黑体" w:hAnsi="黑体" w:eastAsia="黑体"/>
          <w:b/>
          <w:sz w:val="96"/>
          <w:szCs w:val="96"/>
        </w:rPr>
        <w:t>武汉市东西湖区区级政府采购</w:t>
      </w:r>
    </w:p>
    <w:p w14:paraId="53206C24">
      <w:pPr>
        <w:jc w:val="right"/>
        <w:rPr>
          <w:rFonts w:ascii="黑体" w:hAnsi="黑体" w:eastAsia="黑体"/>
          <w:sz w:val="96"/>
          <w:szCs w:val="96"/>
        </w:rPr>
      </w:pPr>
    </w:p>
    <w:p w14:paraId="5A6B635E">
      <w:pPr>
        <w:jc w:val="center"/>
        <w:rPr>
          <w:rFonts w:ascii="黑体" w:hAnsi="黑体" w:eastAsia="黑体"/>
          <w:b/>
          <w:sz w:val="96"/>
          <w:szCs w:val="96"/>
        </w:rPr>
      </w:pPr>
      <w:r>
        <w:rPr>
          <w:rFonts w:hint="eastAsia" w:ascii="黑体" w:hAnsi="黑体" w:eastAsia="黑体"/>
          <w:b/>
          <w:sz w:val="96"/>
          <w:szCs w:val="96"/>
        </w:rPr>
        <w:t>采购需求文件</w:t>
      </w:r>
    </w:p>
    <w:p w14:paraId="61B3B7FB">
      <w:pPr>
        <w:jc w:val="right"/>
        <w:rPr>
          <w:rFonts w:ascii="黑体" w:hAnsi="黑体" w:eastAsia="黑体"/>
          <w:sz w:val="72"/>
          <w:szCs w:val="72"/>
        </w:rPr>
      </w:pPr>
    </w:p>
    <w:p w14:paraId="19FC6BF2">
      <w:pPr>
        <w:spacing w:line="360" w:lineRule="auto"/>
        <w:ind w:right="1244" w:rightChars="622" w:firstLine="1084" w:firstLineChars="300"/>
        <w:rPr>
          <w:rFonts w:hint="default" w:ascii="宋体" w:hAnsi="宋体" w:eastAsia="宋体"/>
          <w:b/>
          <w:sz w:val="36"/>
          <w:szCs w:val="36"/>
          <w:lang w:val="en-US" w:eastAsia="zh-CN"/>
        </w:rPr>
      </w:pPr>
      <w:r>
        <w:rPr>
          <w:rFonts w:hint="eastAsia" w:ascii="宋体" w:hAnsi="宋体"/>
          <w:b/>
          <w:sz w:val="36"/>
          <w:szCs w:val="36"/>
        </w:rPr>
        <w:t>计划编号：</w:t>
      </w:r>
      <w:r>
        <w:rPr>
          <w:rFonts w:hint="eastAsia" w:ascii="宋体" w:hAnsi="宋体"/>
          <w:b/>
          <w:sz w:val="36"/>
          <w:szCs w:val="36"/>
          <w:lang w:val="en-US" w:eastAsia="zh-CN"/>
        </w:rPr>
        <w:t>420112-2026-02178</w:t>
      </w:r>
    </w:p>
    <w:p w14:paraId="4D4FC6CF">
      <w:pPr>
        <w:spacing w:line="360" w:lineRule="auto"/>
        <w:ind w:left="1006" w:leftChars="503" w:right="1244" w:rightChars="622" w:firstLine="0" w:firstLineChars="0"/>
        <w:rPr>
          <w:rFonts w:hint="default" w:ascii="宋体" w:hAnsi="宋体" w:eastAsia="宋体"/>
          <w:sz w:val="24"/>
          <w:szCs w:val="24"/>
          <w:lang w:val="en-US" w:eastAsia="zh-CN"/>
        </w:rPr>
      </w:pPr>
      <w:r>
        <w:rPr>
          <w:rFonts w:hint="eastAsia" w:ascii="宋体" w:hAnsi="宋体"/>
          <w:b/>
          <w:sz w:val="36"/>
          <w:szCs w:val="36"/>
        </w:rPr>
        <w:t>项目名称：武汉市公安局东西湖区分局交通管理大队食堂委托管理及食材配送服务项目</w:t>
      </w:r>
    </w:p>
    <w:p w14:paraId="2D0FC79A">
      <w:pPr>
        <w:spacing w:line="360" w:lineRule="auto"/>
        <w:ind w:left="1006" w:leftChars="503" w:right="1244" w:rightChars="622" w:firstLine="0" w:firstLineChars="0"/>
        <w:rPr>
          <w:rFonts w:hint="default" w:ascii="宋体" w:hAnsi="宋体" w:eastAsia="宋体"/>
          <w:sz w:val="24"/>
          <w:szCs w:val="24"/>
          <w:lang w:val="en-US" w:eastAsia="zh-CN"/>
        </w:rPr>
      </w:pPr>
      <w:r>
        <w:rPr>
          <w:rFonts w:hint="eastAsia"/>
          <w:b/>
          <w:bCs/>
          <w:sz w:val="36"/>
          <w:szCs w:val="36"/>
        </w:rPr>
        <w:t>招标内容：</w:t>
      </w:r>
      <w:r>
        <w:rPr>
          <w:rFonts w:hint="eastAsia" w:ascii="宋体" w:hAnsi="宋体"/>
          <w:b/>
          <w:sz w:val="36"/>
          <w:szCs w:val="36"/>
        </w:rPr>
        <w:t>食堂委托管理及食材配送服务项目</w:t>
      </w:r>
      <w:bookmarkStart w:id="38" w:name="_GoBack"/>
      <w:bookmarkEnd w:id="38"/>
    </w:p>
    <w:p w14:paraId="5D0A25C7">
      <w:pPr>
        <w:rPr>
          <w:rFonts w:hint="eastAsia" w:ascii="黑体" w:hAnsi="黑体" w:eastAsia="宋体"/>
          <w:sz w:val="72"/>
          <w:szCs w:val="72"/>
          <w:lang w:eastAsia="zh-CN"/>
        </w:rPr>
      </w:pPr>
    </w:p>
    <w:p w14:paraId="034B5ED8">
      <w:pPr>
        <w:widowControl/>
        <w:jc w:val="center"/>
        <w:rPr>
          <w:rFonts w:ascii="黑体" w:hAnsi="黑体" w:eastAsia="黑体"/>
          <w:b/>
          <w:sz w:val="36"/>
          <w:szCs w:val="36"/>
        </w:rPr>
      </w:pPr>
    </w:p>
    <w:p w14:paraId="294AB8B8">
      <w:pPr>
        <w:widowControl/>
        <w:jc w:val="center"/>
        <w:rPr>
          <w:rFonts w:hint="default" w:ascii="宋体" w:hAnsi="宋体" w:eastAsia="宋体"/>
          <w:b/>
          <w:kern w:val="0"/>
          <w:sz w:val="36"/>
          <w:szCs w:val="36"/>
          <w:lang w:val="en-US" w:eastAsia="zh-CN"/>
        </w:rPr>
      </w:pPr>
      <w:r>
        <w:rPr>
          <w:rFonts w:hint="eastAsia" w:ascii="宋体" w:hAnsi="宋体"/>
          <w:b/>
          <w:kern w:val="0"/>
          <w:sz w:val="36"/>
          <w:szCs w:val="36"/>
        </w:rPr>
        <w:t>采购人：武汉市公安局东西湖区分局</w:t>
      </w:r>
      <w:r>
        <w:rPr>
          <w:rFonts w:hint="eastAsia" w:ascii="宋体" w:hAnsi="宋体"/>
          <w:b/>
          <w:kern w:val="0"/>
          <w:sz w:val="36"/>
          <w:szCs w:val="36"/>
          <w:lang w:val="en-US" w:eastAsia="zh-CN"/>
        </w:rPr>
        <w:t>交通管理大队</w:t>
      </w:r>
    </w:p>
    <w:p w14:paraId="679BAF61">
      <w:pPr>
        <w:rPr>
          <w:rFonts w:hint="eastAsia"/>
          <w:b/>
          <w:bCs w:val="0"/>
          <w:color w:val="auto"/>
          <w:highlight w:val="none"/>
        </w:rPr>
      </w:pPr>
    </w:p>
    <w:p w14:paraId="27F93A30">
      <w:pPr>
        <w:rPr>
          <w:rFonts w:hint="eastAsia"/>
          <w:b/>
          <w:bCs w:val="0"/>
          <w:color w:val="auto"/>
          <w:highlight w:val="none"/>
        </w:rPr>
      </w:pPr>
      <w:r>
        <w:rPr>
          <w:rFonts w:hint="eastAsia"/>
          <w:b/>
          <w:bCs w:val="0"/>
          <w:color w:val="auto"/>
          <w:highlight w:val="none"/>
        </w:rPr>
        <w:br w:type="page"/>
      </w:r>
    </w:p>
    <w:p w14:paraId="36C9FFD9">
      <w:pPr>
        <w:pStyle w:val="2"/>
        <w:bidi w:val="0"/>
        <w:jc w:val="center"/>
        <w:rPr>
          <w:rFonts w:hint="default"/>
          <w:b/>
          <w:bCs w:val="0"/>
          <w:color w:val="auto"/>
          <w:highlight w:val="none"/>
        </w:rPr>
      </w:pPr>
      <w:r>
        <w:rPr>
          <w:rFonts w:ascii="微软雅黑" w:hAnsi="微软雅黑" w:eastAsia="微软雅黑"/>
          <w:color w:val="auto"/>
          <w:szCs w:val="32"/>
          <w:highlight w:val="none"/>
        </w:rPr>
        <w:t>第</w:t>
      </w:r>
      <w:r>
        <w:rPr>
          <w:rFonts w:hint="eastAsia" w:ascii="微软雅黑" w:hAnsi="微软雅黑" w:eastAsia="微软雅黑"/>
          <w:color w:val="auto"/>
          <w:szCs w:val="32"/>
          <w:highlight w:val="none"/>
          <w:lang w:val="en-US" w:eastAsia="zh-CN"/>
        </w:rPr>
        <w:t>一</w:t>
      </w:r>
      <w:r>
        <w:rPr>
          <w:rFonts w:ascii="微软雅黑" w:hAnsi="微软雅黑" w:eastAsia="微软雅黑" w:cs="Times New Roman"/>
          <w:color w:val="auto"/>
          <w:szCs w:val="32"/>
          <w:highlight w:val="none"/>
        </w:rPr>
        <w:t>章</w:t>
      </w:r>
      <w:r>
        <w:rPr>
          <w:rFonts w:hint="eastAsia" w:ascii="微软雅黑" w:hAnsi="微软雅黑" w:eastAsia="微软雅黑" w:cs="Times New Roman"/>
          <w:color w:val="auto"/>
          <w:szCs w:val="32"/>
          <w:highlight w:val="none"/>
          <w:lang w:val="en-US" w:eastAsia="zh-CN"/>
        </w:rPr>
        <w:t xml:space="preserve"> </w:t>
      </w:r>
      <w:r>
        <w:rPr>
          <w:rFonts w:hint="eastAsia" w:ascii="微软雅黑" w:hAnsi="微软雅黑" w:eastAsia="微软雅黑" w:cs="Times New Roman"/>
          <w:color w:val="auto"/>
          <w:szCs w:val="32"/>
          <w:highlight w:val="none"/>
        </w:rPr>
        <w:t>项目技术、服务及商务要求</w:t>
      </w:r>
    </w:p>
    <w:bookmarkEnd w:id="0"/>
    <w:bookmarkEnd w:id="1"/>
    <w:p w14:paraId="1013E5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bookmarkStart w:id="2" w:name="_Toc7654"/>
      <w:bookmarkStart w:id="3" w:name="_Toc535814466"/>
      <w:bookmarkStart w:id="4" w:name="_Toc535815711"/>
      <w:bookmarkStart w:id="5" w:name="_Toc535832555"/>
      <w:r>
        <w:rPr>
          <w:rFonts w:hint="eastAsia" w:ascii="宋体" w:hAnsi="宋体" w:eastAsia="宋体" w:cs="宋体"/>
          <w:b/>
          <w:bCs/>
          <w:sz w:val="24"/>
          <w:szCs w:val="24"/>
          <w:highlight w:val="none"/>
        </w:rPr>
        <w:t>一、项目概况</w:t>
      </w:r>
    </w:p>
    <w:p w14:paraId="5A9615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pacing w:val="-5"/>
          <w:kern w:val="2"/>
          <w:sz w:val="24"/>
          <w:szCs w:val="24"/>
          <w:highlight w:val="none"/>
          <w:lang w:val="en-US" w:eastAsia="en-US" w:bidi="ar-SA"/>
        </w:rPr>
      </w:pPr>
      <w:r>
        <w:rPr>
          <w:rFonts w:hint="eastAsia" w:ascii="宋体" w:hAnsi="宋体" w:eastAsia="宋体" w:cs="宋体"/>
          <w:b/>
          <w:bCs/>
          <w:color w:val="auto"/>
          <w:spacing w:val="-5"/>
          <w:kern w:val="2"/>
          <w:sz w:val="24"/>
          <w:szCs w:val="24"/>
          <w:highlight w:val="none"/>
          <w:lang w:val="en-US" w:eastAsia="en-US" w:bidi="ar-SA"/>
        </w:rPr>
        <w:t>（一）采购标的</w:t>
      </w:r>
    </w:p>
    <w:p w14:paraId="3CA783AB">
      <w:pPr>
        <w:pStyle w:val="5"/>
        <w:keepNext w:val="0"/>
        <w:keepLines w:val="0"/>
        <w:pageBreakBefore w:val="0"/>
        <w:widowControl/>
        <w:kinsoku/>
        <w:wordWrap/>
        <w:overflowPunct/>
        <w:topLinePunct w:val="0"/>
        <w:autoSpaceDE/>
        <w:autoSpaceDN/>
        <w:bidi w:val="0"/>
        <w:adjustRightInd/>
        <w:snapToGrid/>
        <w:spacing w:before="236" w:line="360" w:lineRule="exact"/>
        <w:ind w:left="49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武汉市公安局东西湖区分局交通管理大队</w:t>
      </w:r>
      <w:r>
        <w:rPr>
          <w:rFonts w:hint="eastAsia" w:ascii="宋体" w:hAnsi="宋体" w:eastAsia="宋体" w:cs="宋体"/>
          <w:color w:val="auto"/>
          <w:sz w:val="24"/>
          <w:szCs w:val="24"/>
          <w:highlight w:val="none"/>
        </w:rPr>
        <w:t>食堂委托管</w:t>
      </w:r>
      <w:r>
        <w:rPr>
          <w:rFonts w:hint="eastAsia" w:ascii="宋体" w:hAnsi="宋体" w:eastAsia="宋体" w:cs="宋体"/>
          <w:color w:val="auto"/>
          <w:spacing w:val="-1"/>
          <w:sz w:val="24"/>
          <w:szCs w:val="24"/>
          <w:highlight w:val="none"/>
        </w:rPr>
        <w:t>理及食材配送服务项目，包括：</w:t>
      </w:r>
    </w:p>
    <w:p w14:paraId="7371064C">
      <w:pPr>
        <w:pStyle w:val="5"/>
        <w:spacing w:before="235" w:line="400" w:lineRule="auto"/>
        <w:ind w:left="9" w:right="99" w:firstLine="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个食堂的委托管理服务（大队机关食堂、</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中队食堂、</w:t>
      </w:r>
      <w:r>
        <w:rPr>
          <w:rFonts w:hint="eastAsia" w:ascii="宋体" w:hAnsi="宋体" w:eastAsia="宋体" w:cs="宋体"/>
          <w:color w:val="auto"/>
          <w:sz w:val="24"/>
          <w:szCs w:val="24"/>
          <w:highlight w:val="none"/>
        </w:rPr>
        <w:t>车管分所食堂、服务站食堂</w:t>
      </w:r>
      <w:r>
        <w:rPr>
          <w:rFonts w:hint="eastAsia" w:ascii="宋体" w:hAnsi="宋体" w:eastAsia="宋体" w:cs="宋体"/>
          <w:color w:val="auto"/>
          <w:spacing w:val="7"/>
          <w:sz w:val="24"/>
          <w:szCs w:val="24"/>
          <w:highlight w:val="none"/>
        </w:rPr>
        <w:t>），</w:t>
      </w:r>
      <w:r>
        <w:rPr>
          <w:rFonts w:hint="eastAsia" w:ascii="宋体" w:hAnsi="宋体" w:eastAsia="宋体" w:cs="宋体"/>
          <w:color w:val="auto"/>
          <w:sz w:val="24"/>
          <w:szCs w:val="24"/>
          <w:highlight w:val="none"/>
        </w:rPr>
        <w:t>共</w:t>
      </w:r>
      <w:r>
        <w:rPr>
          <w:rFonts w:hint="eastAsia" w:ascii="宋体" w:hAnsi="宋体" w:eastAsia="宋体" w:cs="宋体"/>
          <w:color w:val="auto"/>
          <w:spacing w:val="-3"/>
          <w:sz w:val="24"/>
          <w:szCs w:val="24"/>
          <w:highlight w:val="none"/>
        </w:rPr>
        <w:t>计</w:t>
      </w:r>
      <w:r>
        <w:rPr>
          <w:rFonts w:hint="eastAsia" w:ascii="宋体" w:hAnsi="宋体" w:eastAsia="宋体" w:cs="宋体"/>
          <w:color w:val="auto"/>
          <w:spacing w:val="-3"/>
          <w:sz w:val="24"/>
          <w:szCs w:val="24"/>
          <w:highlight w:val="none"/>
          <w:lang w:eastAsia="zh-CN"/>
        </w:rPr>
        <w:t>约</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470</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3"/>
          <w:sz w:val="24"/>
          <w:szCs w:val="24"/>
          <w:highlight w:val="none"/>
        </w:rPr>
        <w:t>名民警、辅警进餐，中标人按采购</w:t>
      </w:r>
      <w:r>
        <w:rPr>
          <w:rFonts w:hint="eastAsia" w:ascii="宋体" w:hAnsi="宋体" w:eastAsia="宋体" w:cs="宋体"/>
          <w:color w:val="auto"/>
          <w:spacing w:val="-4"/>
          <w:sz w:val="24"/>
          <w:szCs w:val="24"/>
          <w:highlight w:val="none"/>
        </w:rPr>
        <w:t>人要求制作职工工作餐，和加班（会议）、公</w:t>
      </w:r>
      <w:r>
        <w:rPr>
          <w:rFonts w:hint="eastAsia" w:ascii="宋体" w:hAnsi="宋体" w:eastAsia="宋体" w:cs="宋体"/>
          <w:color w:val="auto"/>
          <w:spacing w:val="-2"/>
          <w:sz w:val="24"/>
          <w:szCs w:val="24"/>
          <w:highlight w:val="none"/>
        </w:rPr>
        <w:t>务接待用餐等。</w:t>
      </w:r>
    </w:p>
    <w:p w14:paraId="2B85ACFE">
      <w:pPr>
        <w:pStyle w:val="5"/>
        <w:spacing w:before="4" w:line="399" w:lineRule="auto"/>
        <w:ind w:left="12"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2、6</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个食堂的食材配送服务（大队机关食堂、1</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3"/>
          <w:sz w:val="24"/>
          <w:szCs w:val="24"/>
          <w:highlight w:val="none"/>
        </w:rPr>
        <w:t>中队食堂、2</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中队食堂、3</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3"/>
          <w:sz w:val="24"/>
          <w:szCs w:val="24"/>
          <w:highlight w:val="none"/>
        </w:rPr>
        <w:t>中队食</w:t>
      </w:r>
      <w:r>
        <w:rPr>
          <w:rFonts w:hint="eastAsia" w:ascii="宋体" w:hAnsi="宋体" w:eastAsia="宋体" w:cs="宋体"/>
          <w:color w:val="auto"/>
          <w:spacing w:val="-7"/>
          <w:sz w:val="24"/>
          <w:szCs w:val="24"/>
          <w:highlight w:val="none"/>
        </w:rPr>
        <w:t>堂、车管分所食堂、服务站食堂）。中标人按采购人要求提供所需的各类食材（原材料）</w:t>
      </w:r>
      <w:r>
        <w:rPr>
          <w:rFonts w:hint="eastAsia" w:ascii="宋体" w:hAnsi="宋体" w:eastAsia="宋体" w:cs="宋体"/>
          <w:color w:val="auto"/>
          <w:spacing w:val="-2"/>
          <w:sz w:val="24"/>
          <w:szCs w:val="24"/>
          <w:highlight w:val="none"/>
        </w:rPr>
        <w:t>的配送以及相关服务。</w:t>
      </w:r>
    </w:p>
    <w:p w14:paraId="2D281F83">
      <w:pPr>
        <w:pStyle w:val="5"/>
        <w:spacing w:line="220" w:lineRule="auto"/>
        <w:ind w:left="500"/>
        <w:rPr>
          <w:rFonts w:hint="eastAsia" w:ascii="宋体" w:hAnsi="宋体" w:eastAsia="宋体" w:cs="宋体"/>
          <w:color w:val="auto"/>
          <w:sz w:val="24"/>
          <w:szCs w:val="24"/>
          <w:highlight w:val="none"/>
        </w:rPr>
      </w:pPr>
      <w:bookmarkStart w:id="6" w:name="bookmark63"/>
      <w:bookmarkEnd w:id="6"/>
      <w:r>
        <w:rPr>
          <w:rFonts w:hint="eastAsia" w:ascii="宋体" w:hAnsi="宋体" w:eastAsia="宋体" w:cs="宋体"/>
          <w:b/>
          <w:bCs/>
          <w:color w:val="auto"/>
          <w:spacing w:val="-5"/>
          <w:sz w:val="24"/>
          <w:szCs w:val="24"/>
          <w:highlight w:val="none"/>
        </w:rPr>
        <w:t>（二）★预算金额</w:t>
      </w:r>
    </w:p>
    <w:p w14:paraId="58965588">
      <w:pPr>
        <w:pStyle w:val="5"/>
        <w:spacing w:before="232" w:line="400" w:lineRule="auto"/>
        <w:ind w:left="11" w:right="99" w:firstLine="479"/>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本项目预算为人民币</w:t>
      </w:r>
      <w:r>
        <w:rPr>
          <w:rFonts w:hint="eastAsia" w:ascii="宋体" w:hAnsi="宋体" w:eastAsia="宋体" w:cs="宋体"/>
          <w:color w:val="auto"/>
          <w:spacing w:val="-47"/>
          <w:sz w:val="24"/>
          <w:szCs w:val="24"/>
          <w:highlight w:val="none"/>
        </w:rPr>
        <w:t xml:space="preserve"> </w:t>
      </w:r>
      <w:r>
        <w:rPr>
          <w:rFonts w:hint="eastAsia" w:ascii="宋体" w:hAnsi="宋体" w:eastAsia="宋体" w:cs="宋体"/>
          <w:b/>
          <w:bCs/>
          <w:color w:val="auto"/>
          <w:spacing w:val="1"/>
          <w:sz w:val="24"/>
          <w:szCs w:val="24"/>
          <w:highlight w:val="none"/>
          <w:lang w:val="en-US" w:eastAsia="zh-CN"/>
        </w:rPr>
        <w:t>450</w:t>
      </w:r>
      <w:r>
        <w:rPr>
          <w:rFonts w:hint="eastAsia" w:ascii="宋体" w:hAnsi="宋体" w:eastAsia="宋体" w:cs="宋体"/>
          <w:b/>
          <w:bCs/>
          <w:color w:val="auto"/>
          <w:spacing w:val="1"/>
          <w:sz w:val="24"/>
          <w:szCs w:val="24"/>
          <w:highlight w:val="none"/>
        </w:rPr>
        <w:t>万元。包含两个分项</w:t>
      </w:r>
      <w:r>
        <w:rPr>
          <w:rFonts w:hint="eastAsia" w:ascii="宋体" w:hAnsi="宋体" w:eastAsia="宋体" w:cs="宋体"/>
          <w:b/>
          <w:bCs/>
          <w:color w:val="auto"/>
          <w:spacing w:val="-15"/>
          <w:sz w:val="24"/>
          <w:szCs w:val="24"/>
          <w:highlight w:val="none"/>
        </w:rPr>
        <w:t>：（</w:t>
      </w:r>
      <w:r>
        <w:rPr>
          <w:rFonts w:hint="eastAsia" w:ascii="宋体" w:hAnsi="宋体" w:eastAsia="宋体" w:cs="宋体"/>
          <w:b/>
          <w:bCs/>
          <w:color w:val="auto"/>
          <w:sz w:val="24"/>
          <w:szCs w:val="24"/>
          <w:highlight w:val="none"/>
        </w:rPr>
        <w:t>1）食堂委托管理，分项预算金额为：82</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z w:val="24"/>
          <w:szCs w:val="24"/>
          <w:highlight w:val="none"/>
        </w:rPr>
        <w:t>万元。（2）食材配送，分项预算</w:t>
      </w:r>
      <w:r>
        <w:rPr>
          <w:rFonts w:hint="eastAsia" w:ascii="宋体" w:hAnsi="宋体" w:eastAsia="宋体" w:cs="宋体"/>
          <w:b/>
          <w:bCs/>
          <w:color w:val="auto"/>
          <w:spacing w:val="-1"/>
          <w:sz w:val="24"/>
          <w:szCs w:val="24"/>
          <w:highlight w:val="none"/>
        </w:rPr>
        <w:t>金额为：</w:t>
      </w:r>
      <w:r>
        <w:rPr>
          <w:rFonts w:hint="eastAsia" w:ascii="宋体" w:hAnsi="宋体" w:eastAsia="宋体" w:cs="宋体"/>
          <w:b/>
          <w:bCs/>
          <w:color w:val="auto"/>
          <w:spacing w:val="-1"/>
          <w:sz w:val="24"/>
          <w:szCs w:val="24"/>
          <w:highlight w:val="none"/>
          <w:lang w:val="en-US" w:eastAsia="zh-CN"/>
        </w:rPr>
        <w:t>368</w:t>
      </w:r>
      <w:r>
        <w:rPr>
          <w:rFonts w:hint="eastAsia" w:ascii="宋体" w:hAnsi="宋体" w:eastAsia="宋体" w:cs="宋体"/>
          <w:color w:val="auto"/>
          <w:spacing w:val="-43"/>
          <w:sz w:val="24"/>
          <w:szCs w:val="24"/>
          <w:highlight w:val="none"/>
        </w:rPr>
        <w:t xml:space="preserve"> </w:t>
      </w:r>
      <w:r>
        <w:rPr>
          <w:rFonts w:hint="eastAsia" w:ascii="宋体" w:hAnsi="宋体" w:eastAsia="宋体" w:cs="宋体"/>
          <w:b/>
          <w:bCs/>
          <w:color w:val="auto"/>
          <w:spacing w:val="-1"/>
          <w:sz w:val="24"/>
          <w:szCs w:val="24"/>
          <w:highlight w:val="none"/>
        </w:rPr>
        <w:t>万元，且投标百分比</w:t>
      </w:r>
      <w:r>
        <w:rPr>
          <w:rFonts w:hint="eastAsia" w:ascii="宋体" w:hAnsi="宋体" w:eastAsia="宋体" w:cs="宋体"/>
          <w:b/>
          <w:bCs/>
          <w:color w:val="auto"/>
          <w:spacing w:val="-6"/>
          <w:sz w:val="24"/>
          <w:szCs w:val="24"/>
          <w:highlight w:val="none"/>
        </w:rPr>
        <w:t>不能超过</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6"/>
          <w:sz w:val="24"/>
          <w:szCs w:val="24"/>
          <w:highlight w:val="none"/>
        </w:rPr>
        <w:t>100%。</w:t>
      </w:r>
    </w:p>
    <w:p w14:paraId="3AD6E7FF">
      <w:pPr>
        <w:bidi w:val="0"/>
        <w:rPr>
          <w:rFonts w:hint="eastAsia" w:ascii="宋体" w:hAnsi="宋体" w:eastAsia="宋体" w:cs="宋体"/>
          <w:color w:val="auto"/>
          <w:sz w:val="24"/>
          <w:szCs w:val="24"/>
          <w:highlight w:val="none"/>
        </w:rPr>
      </w:pPr>
      <w:bookmarkStart w:id="7" w:name="bookmark101"/>
      <w:bookmarkEnd w:id="7"/>
      <w:r>
        <w:rPr>
          <w:rFonts w:hint="eastAsia" w:ascii="宋体" w:hAnsi="宋体" w:eastAsia="宋体" w:cs="宋体"/>
          <w:b/>
          <w:bCs/>
          <w:color w:val="auto"/>
          <w:spacing w:val="-4"/>
          <w:sz w:val="24"/>
          <w:szCs w:val="24"/>
          <w:highlight w:val="none"/>
        </w:rPr>
        <w:t>二、项目商务要求</w:t>
      </w:r>
    </w:p>
    <w:p w14:paraId="7AAFE164">
      <w:pPr>
        <w:pStyle w:val="5"/>
        <w:spacing w:before="235" w:line="400" w:lineRule="auto"/>
        <w:ind w:left="8" w:right="35" w:firstLine="492"/>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（二）★合同履行期限：</w:t>
      </w:r>
      <w:r>
        <w:rPr>
          <w:rFonts w:hint="eastAsia" w:ascii="宋体" w:hAnsi="宋体" w:eastAsia="宋体" w:cs="宋体"/>
          <w:b/>
          <w:bCs/>
          <w:color w:val="auto"/>
          <w:spacing w:val="-3"/>
          <w:sz w:val="24"/>
          <w:szCs w:val="24"/>
          <w:highlight w:val="none"/>
          <w:lang w:val="zh-CN" w:eastAsia="zh-CN"/>
        </w:rPr>
        <w:t>1年（自合同签订之日起12个月）。合同履行期限满后采购人将对中标人进行综合考评，依据相关法规、政策和综合考评情况，经甲方同意，可以续签下一年服务合同（续签最长不超过两年）。</w:t>
      </w:r>
    </w:p>
    <w:p w14:paraId="50DA4556">
      <w:pPr>
        <w:pStyle w:val="5"/>
        <w:spacing w:line="22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（三）服务地点：</w:t>
      </w:r>
      <w:r>
        <w:rPr>
          <w:rFonts w:hint="eastAsia" w:ascii="宋体" w:hAnsi="宋体" w:eastAsia="宋体" w:cs="宋体"/>
          <w:color w:val="auto"/>
          <w:spacing w:val="-1"/>
          <w:sz w:val="24"/>
          <w:szCs w:val="24"/>
          <w:highlight w:val="none"/>
          <w:lang w:eastAsia="zh-CN"/>
        </w:rPr>
        <w:t>武汉市公安局东西湖区分局交通管理大队</w:t>
      </w:r>
      <w:r>
        <w:rPr>
          <w:rFonts w:hint="eastAsia" w:ascii="宋体" w:hAnsi="宋体" w:eastAsia="宋体" w:cs="宋体"/>
          <w:color w:val="auto"/>
          <w:spacing w:val="-1"/>
          <w:sz w:val="24"/>
          <w:szCs w:val="24"/>
          <w:highlight w:val="none"/>
        </w:rPr>
        <w:t>。</w:t>
      </w:r>
    </w:p>
    <w:p w14:paraId="3CFEA2EB">
      <w:pPr>
        <w:pStyle w:val="5"/>
        <w:spacing w:before="235" w:line="220"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（四）★结算方式：</w:t>
      </w:r>
    </w:p>
    <w:p w14:paraId="44277362">
      <w:pPr>
        <w:pStyle w:val="5"/>
        <w:spacing w:before="232" w:line="220" w:lineRule="auto"/>
        <w:ind w:left="507"/>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1、食堂委托管理服务的分项费用=此项的中标金额/12</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3"/>
          <w:sz w:val="24"/>
          <w:szCs w:val="24"/>
          <w:highlight w:val="none"/>
        </w:rPr>
        <w:t>个月，按月支付。</w:t>
      </w:r>
    </w:p>
    <w:p w14:paraId="3D9A615A">
      <w:pPr>
        <w:pStyle w:val="5"/>
        <w:spacing w:before="234" w:line="400"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2、食材配送服务的分项费用，根据每日食材配送量按月据实结算，年度总结算费用不得超过此分项的预算金额。</w:t>
      </w:r>
    </w:p>
    <w:p w14:paraId="12ED47FA">
      <w:pPr>
        <w:pStyle w:val="5"/>
        <w:keepNext w:val="0"/>
        <w:keepLines w:val="0"/>
        <w:pageBreakBefore w:val="0"/>
        <w:widowControl w:val="0"/>
        <w:kinsoku/>
        <w:wordWrap/>
        <w:overflowPunct/>
        <w:topLinePunct w:val="0"/>
        <w:autoSpaceDE/>
        <w:autoSpaceDN/>
        <w:bidi w:val="0"/>
        <w:adjustRightInd/>
        <w:snapToGrid/>
        <w:spacing w:before="1" w:line="240" w:lineRule="auto"/>
        <w:ind w:left="499"/>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（1）月结算价＝实际采购量×当月基准价×中标百分比。</w:t>
      </w:r>
    </w:p>
    <w:p w14:paraId="5FDDECFB">
      <w:pPr>
        <w:pStyle w:val="5"/>
        <w:keepNext w:val="0"/>
        <w:keepLines w:val="0"/>
        <w:pageBreakBefore w:val="0"/>
        <w:widowControl w:val="0"/>
        <w:kinsoku/>
        <w:wordWrap/>
        <w:overflowPunct/>
        <w:topLinePunct w:val="0"/>
        <w:autoSpaceDE/>
        <w:autoSpaceDN/>
        <w:bidi w:val="0"/>
        <w:adjustRightInd/>
        <w:snapToGrid/>
        <w:spacing w:before="236" w:line="360" w:lineRule="auto"/>
        <w:ind w:left="0" w:firstLine="47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（2）当月基准价：以中标人提供的每月武汉市场同类货物（中等以上质量）价格的平均价作为当月基准价（参照东西湖区中百仓储的市场零售价）,当月基准价以中标</w:t>
      </w:r>
      <w:r>
        <w:rPr>
          <w:rFonts w:hint="eastAsia" w:ascii="宋体" w:hAnsi="宋体" w:eastAsia="宋体" w:cs="宋体"/>
          <w:b/>
          <w:bCs/>
          <w:color w:val="auto"/>
          <w:spacing w:val="1"/>
          <w:sz w:val="24"/>
          <w:szCs w:val="24"/>
          <w:highlight w:val="none"/>
        </w:rPr>
        <w:t>人出具有效的书面证明材料为准，由中标人和采购人共同核定的</w:t>
      </w:r>
      <w:r>
        <w:rPr>
          <w:rFonts w:hint="eastAsia" w:ascii="宋体" w:hAnsi="宋体" w:eastAsia="宋体" w:cs="宋体"/>
          <w:b/>
          <w:bCs/>
          <w:color w:val="auto"/>
          <w:sz w:val="24"/>
          <w:szCs w:val="24"/>
          <w:highlight w:val="none"/>
        </w:rPr>
        <w:t>当月基准价格，需由</w:t>
      </w:r>
      <w:r>
        <w:rPr>
          <w:rFonts w:hint="eastAsia" w:ascii="宋体" w:hAnsi="宋体" w:eastAsia="宋体" w:cs="宋体"/>
          <w:b/>
          <w:bCs/>
          <w:color w:val="auto"/>
          <w:spacing w:val="1"/>
          <w:sz w:val="24"/>
          <w:szCs w:val="24"/>
          <w:highlight w:val="none"/>
        </w:rPr>
        <w:t>中标人出具纸质文档，双方盖章留存作为报销依据。采购人有权</w:t>
      </w:r>
      <w:r>
        <w:rPr>
          <w:rFonts w:hint="eastAsia" w:ascii="宋体" w:hAnsi="宋体" w:eastAsia="宋体" w:cs="宋体"/>
          <w:b/>
          <w:bCs/>
          <w:color w:val="auto"/>
          <w:sz w:val="24"/>
          <w:szCs w:val="24"/>
          <w:highlight w:val="none"/>
        </w:rPr>
        <w:t>对中标人每月提供的</w:t>
      </w:r>
      <w:r>
        <w:rPr>
          <w:rFonts w:hint="eastAsia" w:ascii="宋体" w:hAnsi="宋体" w:eastAsia="宋体" w:cs="宋体"/>
          <w:b/>
          <w:bCs/>
          <w:color w:val="auto"/>
          <w:spacing w:val="1"/>
          <w:sz w:val="24"/>
          <w:szCs w:val="24"/>
          <w:highlight w:val="none"/>
        </w:rPr>
        <w:t>当月基准价进行不定期抽查，如发现虚假报价，采购人有权对其</w:t>
      </w:r>
      <w:r>
        <w:rPr>
          <w:rFonts w:hint="eastAsia" w:ascii="宋体" w:hAnsi="宋体" w:eastAsia="宋体" w:cs="宋体"/>
          <w:b/>
          <w:bCs/>
          <w:color w:val="auto"/>
          <w:sz w:val="24"/>
          <w:szCs w:val="24"/>
          <w:highlight w:val="none"/>
        </w:rPr>
        <w:t>进行处罚或取消中标</w:t>
      </w:r>
      <w:r>
        <w:rPr>
          <w:rFonts w:hint="eastAsia" w:ascii="宋体" w:hAnsi="宋体" w:eastAsia="宋体" w:cs="宋体"/>
          <w:b/>
          <w:bCs/>
          <w:color w:val="auto"/>
          <w:spacing w:val="-7"/>
          <w:sz w:val="24"/>
          <w:szCs w:val="24"/>
          <w:highlight w:val="none"/>
        </w:rPr>
        <w:t>资格。</w:t>
      </w:r>
    </w:p>
    <w:p w14:paraId="7C3D7BDB">
      <w:pPr>
        <w:pStyle w:val="5"/>
        <w:spacing w:line="400" w:lineRule="auto"/>
        <w:ind w:left="12" w:right="18" w:firstLine="48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（3）中标人在每月</w:t>
      </w:r>
      <w:r>
        <w:rPr>
          <w:rFonts w:hint="eastAsia" w:ascii="宋体" w:hAnsi="宋体" w:eastAsia="宋体" w:cs="宋体"/>
          <w:color w:val="auto"/>
          <w:spacing w:val="-30"/>
          <w:sz w:val="24"/>
          <w:szCs w:val="24"/>
          <w:highlight w:val="none"/>
        </w:rPr>
        <w:t xml:space="preserve"> </w:t>
      </w:r>
      <w:r>
        <w:rPr>
          <w:rFonts w:hint="eastAsia" w:ascii="宋体" w:hAnsi="宋体" w:eastAsia="宋体" w:cs="宋体"/>
          <w:b/>
          <w:bCs/>
          <w:color w:val="auto"/>
          <w:spacing w:val="-6"/>
          <w:sz w:val="24"/>
          <w:szCs w:val="24"/>
          <w:highlight w:val="none"/>
        </w:rPr>
        <w:t>10</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pacing w:val="-6"/>
          <w:sz w:val="24"/>
          <w:szCs w:val="24"/>
          <w:highlight w:val="none"/>
        </w:rPr>
        <w:t>日之前将上月订单内所有原材料及半成品的《供货清</w:t>
      </w:r>
      <w:r>
        <w:rPr>
          <w:rFonts w:hint="eastAsia" w:ascii="宋体" w:hAnsi="宋体" w:eastAsia="宋体" w:cs="宋体"/>
          <w:b/>
          <w:bCs/>
          <w:color w:val="auto"/>
          <w:spacing w:val="-7"/>
          <w:sz w:val="24"/>
          <w:szCs w:val="24"/>
          <w:highlight w:val="none"/>
        </w:rPr>
        <w:t>单》、</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1"/>
          <w:sz w:val="24"/>
          <w:szCs w:val="24"/>
          <w:highlight w:val="none"/>
        </w:rPr>
        <w:t>《当月基准价》、《验收配送单》及供货发票，经采购人审核</w:t>
      </w:r>
      <w:r>
        <w:rPr>
          <w:rFonts w:hint="eastAsia" w:ascii="宋体" w:hAnsi="宋体" w:eastAsia="宋体" w:cs="宋体"/>
          <w:b/>
          <w:bCs/>
          <w:color w:val="auto"/>
          <w:sz w:val="24"/>
          <w:szCs w:val="24"/>
          <w:highlight w:val="none"/>
        </w:rPr>
        <w:t>合格后予以支付，年度</w:t>
      </w:r>
      <w:r>
        <w:rPr>
          <w:rFonts w:hint="eastAsia" w:ascii="宋体" w:hAnsi="宋体" w:eastAsia="宋体" w:cs="宋体"/>
          <w:b/>
          <w:bCs/>
          <w:color w:val="auto"/>
          <w:spacing w:val="-4"/>
          <w:sz w:val="24"/>
          <w:szCs w:val="24"/>
          <w:highlight w:val="none"/>
        </w:rPr>
        <w:t>最后</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4"/>
          <w:sz w:val="24"/>
          <w:szCs w:val="24"/>
          <w:highlight w:val="none"/>
        </w:rPr>
        <w:t>1</w:t>
      </w:r>
      <w:r>
        <w:rPr>
          <w:rFonts w:hint="eastAsia" w:ascii="宋体" w:hAnsi="宋体" w:eastAsia="宋体" w:cs="宋体"/>
          <w:color w:val="auto"/>
          <w:spacing w:val="-49"/>
          <w:sz w:val="24"/>
          <w:szCs w:val="24"/>
          <w:highlight w:val="none"/>
        </w:rPr>
        <w:t xml:space="preserve"> </w:t>
      </w:r>
      <w:r>
        <w:rPr>
          <w:rFonts w:hint="eastAsia" w:ascii="宋体" w:hAnsi="宋体" w:eastAsia="宋体" w:cs="宋体"/>
          <w:b/>
          <w:bCs/>
          <w:color w:val="auto"/>
          <w:spacing w:val="-4"/>
          <w:sz w:val="24"/>
          <w:szCs w:val="24"/>
          <w:highlight w:val="none"/>
        </w:rPr>
        <w:t>个月的付款金额和付款方式双方协商确定。</w:t>
      </w:r>
    </w:p>
    <w:p w14:paraId="54454E44">
      <w:pPr>
        <w:pStyle w:val="5"/>
        <w:spacing w:line="218"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（五）★报价要求：</w:t>
      </w:r>
    </w:p>
    <w:p w14:paraId="5D638978">
      <w:pPr>
        <w:pStyle w:val="5"/>
        <w:spacing w:before="237" w:line="219" w:lineRule="auto"/>
        <w:ind w:left="50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1、食堂委托管理（分项采购预算：82</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4"/>
          <w:sz w:val="24"/>
          <w:szCs w:val="24"/>
          <w:highlight w:val="none"/>
        </w:rPr>
        <w:t>万元）</w:t>
      </w:r>
    </w:p>
    <w:p w14:paraId="0B476534">
      <w:pPr>
        <w:pStyle w:val="5"/>
        <w:spacing w:before="234" w:line="400" w:lineRule="auto"/>
        <w:ind w:left="9" w:right="35" w:firstLine="491"/>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（1）投标人报价为年度包干价，投标人的报价应包括按要求完成服务的全部费用，</w:t>
      </w:r>
      <w:r>
        <w:rPr>
          <w:rFonts w:hint="eastAsia" w:ascii="宋体" w:hAnsi="宋体" w:eastAsia="宋体" w:cs="宋体"/>
          <w:b/>
          <w:bCs/>
          <w:color w:val="auto"/>
          <w:spacing w:val="1"/>
          <w:sz w:val="24"/>
          <w:szCs w:val="24"/>
          <w:highlight w:val="none"/>
        </w:rPr>
        <w:t>包括但不限于：人员费用、培训、服装、办公费、管理费、保险、税</w:t>
      </w:r>
      <w:r>
        <w:rPr>
          <w:rFonts w:hint="eastAsia" w:ascii="宋体" w:hAnsi="宋体" w:eastAsia="宋体" w:cs="宋体"/>
          <w:b/>
          <w:bCs/>
          <w:color w:val="auto"/>
          <w:sz w:val="24"/>
          <w:szCs w:val="24"/>
          <w:highlight w:val="none"/>
        </w:rPr>
        <w:t>金、利润、现有</w:t>
      </w:r>
      <w:r>
        <w:rPr>
          <w:rFonts w:hint="eastAsia" w:ascii="宋体" w:hAnsi="宋体" w:eastAsia="宋体" w:cs="宋体"/>
          <w:b/>
          <w:bCs/>
          <w:color w:val="auto"/>
          <w:spacing w:val="1"/>
          <w:sz w:val="24"/>
          <w:szCs w:val="24"/>
          <w:highlight w:val="none"/>
        </w:rPr>
        <w:t>食堂设备维护保养维修费用、为保证项目服务质量应采购人要求增配</w:t>
      </w:r>
      <w:r>
        <w:rPr>
          <w:rFonts w:hint="eastAsia" w:ascii="宋体" w:hAnsi="宋体" w:eastAsia="宋体" w:cs="宋体"/>
          <w:b/>
          <w:bCs/>
          <w:color w:val="auto"/>
          <w:sz w:val="24"/>
          <w:szCs w:val="24"/>
          <w:highlight w:val="none"/>
        </w:rPr>
        <w:t>人员产生费用等</w:t>
      </w:r>
      <w:r>
        <w:rPr>
          <w:rFonts w:hint="eastAsia" w:ascii="宋体" w:hAnsi="宋体" w:eastAsia="宋体" w:cs="宋体"/>
          <w:b/>
          <w:bCs/>
          <w:color w:val="auto"/>
          <w:spacing w:val="1"/>
          <w:sz w:val="24"/>
          <w:szCs w:val="24"/>
          <w:highlight w:val="none"/>
        </w:rPr>
        <w:t>各项直接和间接费用。投标人对分项报价的准确性负责，任何漏报、</w:t>
      </w:r>
      <w:r>
        <w:rPr>
          <w:rFonts w:hint="eastAsia" w:ascii="宋体" w:hAnsi="宋体" w:eastAsia="宋体" w:cs="宋体"/>
          <w:b/>
          <w:bCs/>
          <w:color w:val="auto"/>
          <w:sz w:val="24"/>
          <w:szCs w:val="24"/>
          <w:highlight w:val="none"/>
        </w:rPr>
        <w:t>错报等均是投标</w:t>
      </w:r>
      <w:r>
        <w:rPr>
          <w:rFonts w:hint="eastAsia" w:ascii="宋体" w:hAnsi="宋体" w:eastAsia="宋体" w:cs="宋体"/>
          <w:b/>
          <w:bCs/>
          <w:color w:val="auto"/>
          <w:spacing w:val="-4"/>
          <w:sz w:val="24"/>
          <w:szCs w:val="24"/>
          <w:highlight w:val="none"/>
        </w:rPr>
        <w:t>人的风险。</w:t>
      </w:r>
    </w:p>
    <w:p w14:paraId="2C75BDC9">
      <w:pPr>
        <w:pStyle w:val="5"/>
        <w:spacing w:before="2" w:line="399" w:lineRule="auto"/>
        <w:ind w:left="9" w:right="101" w:firstLine="49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（2）经营期间的水费、电费、煤气费、卫生费、设施设备（更新）购置费、各种检验检查费等费用均由采购人承担。</w:t>
      </w:r>
    </w:p>
    <w:p w14:paraId="54594FFD">
      <w:pPr>
        <w:pStyle w:val="5"/>
        <w:spacing w:before="1" w:line="399" w:lineRule="auto"/>
        <w:ind w:left="9" w:right="138" w:firstLine="491"/>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（3）中标人请示采购人同意后实施的，可移动平面布置改变或增加设施设备等，</w:t>
      </w:r>
      <w:r>
        <w:rPr>
          <w:rFonts w:hint="eastAsia" w:ascii="宋体" w:hAnsi="宋体" w:eastAsia="宋体" w:cs="宋体"/>
          <w:b/>
          <w:bCs/>
          <w:color w:val="auto"/>
          <w:spacing w:val="-3"/>
          <w:sz w:val="24"/>
          <w:szCs w:val="24"/>
          <w:highlight w:val="none"/>
        </w:rPr>
        <w:t>所需费用由采购人承担。</w:t>
      </w:r>
    </w:p>
    <w:p w14:paraId="4E605CBC">
      <w:pPr>
        <w:pStyle w:val="5"/>
        <w:spacing w:before="2" w:line="400" w:lineRule="auto"/>
        <w:ind w:left="20" w:right="99" w:firstLine="48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（4）对于本文件中未列明，而投标人认为必需的费用也需列入报价。在合同实施</w:t>
      </w:r>
      <w:r>
        <w:rPr>
          <w:rFonts w:hint="eastAsia" w:ascii="宋体" w:hAnsi="宋体" w:eastAsia="宋体" w:cs="宋体"/>
          <w:b/>
          <w:bCs/>
          <w:color w:val="auto"/>
          <w:spacing w:val="-2"/>
          <w:sz w:val="24"/>
          <w:szCs w:val="24"/>
          <w:highlight w:val="none"/>
        </w:rPr>
        <w:t>时，采购人将不予支付没有列入的项目费用，并认为此项目的费用</w:t>
      </w:r>
      <w:r>
        <w:rPr>
          <w:rFonts w:hint="eastAsia" w:ascii="宋体" w:hAnsi="宋体" w:eastAsia="宋体" w:cs="宋体"/>
          <w:b/>
          <w:bCs/>
          <w:color w:val="auto"/>
          <w:spacing w:val="-3"/>
          <w:sz w:val="24"/>
          <w:szCs w:val="24"/>
          <w:highlight w:val="none"/>
        </w:rPr>
        <w:t>已包括在报价中。</w:t>
      </w:r>
    </w:p>
    <w:p w14:paraId="571D3BAB">
      <w:pPr>
        <w:pStyle w:val="5"/>
        <w:spacing w:line="217"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2、食材配送服务（分项采购预算：</w:t>
      </w:r>
      <w:r>
        <w:rPr>
          <w:rFonts w:hint="eastAsia" w:ascii="宋体" w:hAnsi="宋体" w:eastAsia="宋体" w:cs="宋体"/>
          <w:b/>
          <w:bCs/>
          <w:color w:val="auto"/>
          <w:spacing w:val="-12"/>
          <w:sz w:val="24"/>
          <w:szCs w:val="24"/>
          <w:highlight w:val="none"/>
          <w:lang w:val="en-US" w:eastAsia="zh-CN"/>
        </w:rPr>
        <w:t>368</w:t>
      </w:r>
      <w:r>
        <w:rPr>
          <w:rFonts w:hint="eastAsia" w:ascii="宋体" w:hAnsi="宋体" w:eastAsia="宋体" w:cs="宋体"/>
          <w:b/>
          <w:bCs/>
          <w:color w:val="auto"/>
          <w:spacing w:val="-12"/>
          <w:sz w:val="24"/>
          <w:szCs w:val="24"/>
          <w:highlight w:val="none"/>
        </w:rPr>
        <w:t>万元,且投标</w:t>
      </w:r>
      <w:r>
        <w:rPr>
          <w:rFonts w:hint="eastAsia" w:ascii="宋体" w:hAnsi="宋体" w:eastAsia="宋体" w:cs="宋体"/>
          <w:b/>
          <w:bCs/>
          <w:color w:val="auto"/>
          <w:spacing w:val="-13"/>
          <w:sz w:val="24"/>
          <w:szCs w:val="24"/>
          <w:highlight w:val="none"/>
        </w:rPr>
        <w:t>百分比报价不能超过</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13"/>
          <w:sz w:val="24"/>
          <w:szCs w:val="24"/>
          <w:highlight w:val="none"/>
        </w:rPr>
        <w:t>100%。）</w:t>
      </w:r>
    </w:p>
    <w:p w14:paraId="39A62FD1">
      <w:pPr>
        <w:pStyle w:val="5"/>
        <w:spacing w:before="236" w:line="400" w:lineRule="auto"/>
        <w:ind w:left="10" w:right="99" w:firstLine="49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（1）投标人报价为百分比报价</w:t>
      </w:r>
      <w:r>
        <w:rPr>
          <w:rFonts w:hint="eastAsia" w:ascii="宋体" w:hAnsi="宋体" w:eastAsia="宋体" w:cs="宋体"/>
          <w:color w:val="auto"/>
          <w:spacing w:val="-4"/>
          <w:sz w:val="24"/>
          <w:szCs w:val="24"/>
          <w:highlight w:val="none"/>
        </w:rPr>
        <w:t>，</w:t>
      </w:r>
      <w:r>
        <w:rPr>
          <w:rFonts w:hint="eastAsia" w:ascii="宋体" w:hAnsi="宋体" w:eastAsia="宋体" w:cs="宋体"/>
          <w:b/>
          <w:bCs/>
          <w:color w:val="auto"/>
          <w:spacing w:val="-4"/>
          <w:sz w:val="24"/>
          <w:szCs w:val="24"/>
          <w:highlight w:val="none"/>
        </w:rPr>
        <w:t>最高限价</w:t>
      </w:r>
      <w:r>
        <w:rPr>
          <w:rFonts w:hint="eastAsia" w:ascii="宋体" w:hAnsi="宋体" w:eastAsia="宋体" w:cs="宋体"/>
          <w:color w:val="auto"/>
          <w:spacing w:val="-31"/>
          <w:sz w:val="24"/>
          <w:szCs w:val="24"/>
          <w:highlight w:val="none"/>
        </w:rPr>
        <w:t xml:space="preserve"> </w:t>
      </w:r>
      <w:r>
        <w:rPr>
          <w:rFonts w:hint="eastAsia" w:ascii="宋体" w:hAnsi="宋体" w:eastAsia="宋体" w:cs="宋体"/>
          <w:b/>
          <w:bCs/>
          <w:color w:val="auto"/>
          <w:spacing w:val="-4"/>
          <w:sz w:val="24"/>
          <w:szCs w:val="24"/>
          <w:highlight w:val="none"/>
        </w:rPr>
        <w:t>100%。此报价包括但不限于所有食材成</w:t>
      </w:r>
      <w:r>
        <w:rPr>
          <w:rFonts w:hint="eastAsia" w:ascii="宋体" w:hAnsi="宋体" w:eastAsia="宋体" w:cs="宋体"/>
          <w:b/>
          <w:bCs/>
          <w:color w:val="auto"/>
          <w:spacing w:val="1"/>
          <w:sz w:val="24"/>
          <w:szCs w:val="24"/>
          <w:highlight w:val="none"/>
        </w:rPr>
        <w:t>本、损耗、人员费用、运输配送、办公费、管理费、保险、税金、</w:t>
      </w:r>
      <w:r>
        <w:rPr>
          <w:rFonts w:hint="eastAsia" w:ascii="宋体" w:hAnsi="宋体" w:eastAsia="宋体" w:cs="宋体"/>
          <w:b/>
          <w:bCs/>
          <w:color w:val="auto"/>
          <w:sz w:val="24"/>
          <w:szCs w:val="24"/>
          <w:highlight w:val="none"/>
        </w:rPr>
        <w:t>利润等各项直接和</w:t>
      </w:r>
      <w:r>
        <w:rPr>
          <w:rFonts w:hint="eastAsia" w:ascii="宋体" w:hAnsi="宋体" w:eastAsia="宋体" w:cs="宋体"/>
          <w:b/>
          <w:bCs/>
          <w:color w:val="auto"/>
          <w:spacing w:val="-2"/>
          <w:sz w:val="24"/>
          <w:szCs w:val="24"/>
          <w:highlight w:val="none"/>
        </w:rPr>
        <w:t>间接费用。投标人对报价的准确性负责，任何漏报、错报等均是投标人的风险。</w:t>
      </w:r>
    </w:p>
    <w:p w14:paraId="51AB94B6">
      <w:pPr>
        <w:pStyle w:val="5"/>
        <w:spacing w:before="3" w:line="401" w:lineRule="auto"/>
        <w:ind w:left="20" w:right="99" w:firstLine="48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（2）对于本文件中未列明，而投标人认为必需的费用也需列入报价。在合同实施</w:t>
      </w:r>
      <w:r>
        <w:rPr>
          <w:rFonts w:hint="eastAsia" w:ascii="宋体" w:hAnsi="宋体" w:eastAsia="宋体" w:cs="宋体"/>
          <w:b/>
          <w:bCs/>
          <w:color w:val="auto"/>
          <w:spacing w:val="-2"/>
          <w:sz w:val="24"/>
          <w:szCs w:val="24"/>
          <w:highlight w:val="none"/>
        </w:rPr>
        <w:t>时，采购人将不予支付没有列入的项目费用，并认为此项目的费用</w:t>
      </w:r>
      <w:r>
        <w:rPr>
          <w:rFonts w:hint="eastAsia" w:ascii="宋体" w:hAnsi="宋体" w:eastAsia="宋体" w:cs="宋体"/>
          <w:b/>
          <w:bCs/>
          <w:color w:val="auto"/>
          <w:spacing w:val="-3"/>
          <w:sz w:val="24"/>
          <w:szCs w:val="24"/>
          <w:highlight w:val="none"/>
        </w:rPr>
        <w:t>已包括在报价中。</w:t>
      </w:r>
    </w:p>
    <w:p w14:paraId="6E1A58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8" w:name="bookmark64"/>
      <w:bookmarkEnd w:id="8"/>
      <w:r>
        <w:rPr>
          <w:rFonts w:hint="eastAsia" w:ascii="宋体" w:hAnsi="宋体" w:eastAsia="宋体" w:cs="宋体"/>
          <w:b/>
          <w:bCs/>
          <w:color w:val="auto"/>
          <w:spacing w:val="-4"/>
          <w:sz w:val="24"/>
          <w:szCs w:val="24"/>
          <w:highlight w:val="none"/>
        </w:rPr>
        <w:t>三、项目技术要求</w:t>
      </w:r>
    </w:p>
    <w:p w14:paraId="76A2F1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（一）食堂委托管理</w:t>
      </w:r>
    </w:p>
    <w:p w14:paraId="2D0E13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1、项目服务内容</w:t>
      </w:r>
    </w:p>
    <w:p w14:paraId="4A92BD5D">
      <w:pPr>
        <w:pStyle w:val="5"/>
        <w:spacing w:before="233" w:line="400" w:lineRule="auto"/>
        <w:ind w:left="9" w:right="81"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eastAsia="zh-CN"/>
        </w:rPr>
        <w:t>武汉市公安局东西湖区分局交通管理大队</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个食堂的委托管理服务（大队机关食堂、</w:t>
      </w: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lang w:eastAsia="zh-CN"/>
        </w:rPr>
        <w:t>中队食堂、</w:t>
      </w:r>
      <w:r>
        <w:rPr>
          <w:rFonts w:hint="eastAsia" w:ascii="宋体" w:hAnsi="宋体" w:eastAsia="宋体" w:cs="宋体"/>
          <w:color w:val="auto"/>
          <w:sz w:val="24"/>
          <w:szCs w:val="24"/>
          <w:highlight w:val="none"/>
        </w:rPr>
        <w:t>车管分所食堂、服务站食堂</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中标人负责对食堂进行全面管理，包含生产加工及烹饪、食谱制定、供餐方式优化、食品卫生管理、设备维护管理、节能降耗、成本控制、员工</w:t>
      </w:r>
      <w:r>
        <w:rPr>
          <w:rFonts w:hint="eastAsia" w:ascii="宋体" w:hAnsi="宋体" w:eastAsia="宋体" w:cs="宋体"/>
          <w:color w:val="auto"/>
          <w:spacing w:val="-4"/>
          <w:sz w:val="24"/>
          <w:szCs w:val="24"/>
          <w:highlight w:val="none"/>
        </w:rPr>
        <w:t>培训</w:t>
      </w:r>
      <w:r>
        <w:rPr>
          <w:rFonts w:hint="eastAsia" w:ascii="宋体" w:hAnsi="宋体" w:eastAsia="宋体" w:cs="宋体"/>
          <w:color w:val="auto"/>
          <w:spacing w:val="-2"/>
          <w:sz w:val="24"/>
          <w:szCs w:val="24"/>
          <w:highlight w:val="none"/>
        </w:rPr>
        <w:t>和调配等工作。</w:t>
      </w:r>
    </w:p>
    <w:p w14:paraId="79035D9B">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2、项目服务要求</w:t>
      </w:r>
    </w:p>
    <w:p w14:paraId="76E3FB3E">
      <w:pPr>
        <w:pStyle w:val="5"/>
        <w:spacing w:before="234" w:line="220"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（1）服务标准</w:t>
      </w:r>
    </w:p>
    <w:p w14:paraId="7260E17C">
      <w:pPr>
        <w:pStyle w:val="5"/>
        <w:spacing w:before="234" w:line="400" w:lineRule="auto"/>
        <w:ind w:left="20" w:right="81" w:firstLine="46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①保证一日三餐正点，如遇特殊情况，根据实际调整时间。足量</w:t>
      </w:r>
      <w:r>
        <w:rPr>
          <w:rFonts w:hint="eastAsia" w:ascii="宋体" w:hAnsi="宋体" w:eastAsia="宋体" w:cs="宋体"/>
          <w:color w:val="auto"/>
          <w:spacing w:val="-4"/>
          <w:sz w:val="24"/>
          <w:szCs w:val="24"/>
          <w:highlight w:val="none"/>
        </w:rPr>
        <w:t>、优质、做到品种</w:t>
      </w:r>
      <w:r>
        <w:rPr>
          <w:rFonts w:hint="eastAsia" w:ascii="宋体" w:hAnsi="宋体" w:eastAsia="宋体" w:cs="宋体"/>
          <w:color w:val="auto"/>
          <w:spacing w:val="-2"/>
          <w:sz w:val="24"/>
          <w:szCs w:val="24"/>
          <w:highlight w:val="none"/>
        </w:rPr>
        <w:t>多样化，能适应不同口味的民警就餐。</w:t>
      </w:r>
    </w:p>
    <w:p w14:paraId="4D3A20FD">
      <w:pPr>
        <w:pStyle w:val="5"/>
        <w:spacing w:before="2" w:line="399" w:lineRule="auto"/>
        <w:ind w:left="9" w:right="81"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②保证膳食质量和服务质量，民警满意度高。每周公示下周菜谱，</w:t>
      </w:r>
      <w:r>
        <w:rPr>
          <w:rFonts w:hint="eastAsia" w:ascii="宋体" w:hAnsi="宋体" w:eastAsia="宋体" w:cs="宋体"/>
          <w:color w:val="auto"/>
          <w:spacing w:val="-4"/>
          <w:sz w:val="24"/>
          <w:szCs w:val="24"/>
          <w:highlight w:val="none"/>
        </w:rPr>
        <w:t>就餐形式及标准</w:t>
      </w:r>
      <w:r>
        <w:rPr>
          <w:rFonts w:hint="eastAsia" w:ascii="宋体" w:hAnsi="宋体" w:eastAsia="宋体" w:cs="宋体"/>
          <w:color w:val="auto"/>
          <w:spacing w:val="-1"/>
          <w:sz w:val="24"/>
          <w:szCs w:val="24"/>
          <w:highlight w:val="none"/>
        </w:rPr>
        <w:t>包含但不限于以下内容：</w:t>
      </w:r>
    </w:p>
    <w:p w14:paraId="54834E02">
      <w:pPr>
        <w:pStyle w:val="5"/>
        <w:spacing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早餐：面条+米粉+面点+红薯+玉米+鸡蛋+豆</w:t>
      </w:r>
      <w:r>
        <w:rPr>
          <w:rFonts w:hint="eastAsia" w:ascii="宋体" w:hAnsi="宋体" w:eastAsia="宋体" w:cs="宋体"/>
          <w:color w:val="auto"/>
          <w:spacing w:val="-1"/>
          <w:sz w:val="24"/>
          <w:szCs w:val="24"/>
          <w:highlight w:val="none"/>
        </w:rPr>
        <w:t>浆+杂粮粥+炒青菜+咸菜；</w:t>
      </w:r>
    </w:p>
    <w:p w14:paraId="53DB8592">
      <w:pPr>
        <w:pStyle w:val="5"/>
        <w:spacing w:before="236" w:line="219" w:lineRule="auto"/>
        <w:ind w:left="51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中餐套餐：三荤+二素+汤+咸菜+米饭、酸奶或水果；</w:t>
      </w:r>
    </w:p>
    <w:p w14:paraId="794480EC">
      <w:pPr>
        <w:pStyle w:val="5"/>
        <w:spacing w:before="23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晚餐套餐：三荤+二素+汤+咸菜+米饭、酸奶或水果。</w:t>
      </w:r>
    </w:p>
    <w:p w14:paraId="6EA512EB">
      <w:pPr>
        <w:pStyle w:val="5"/>
        <w:spacing w:before="233" w:line="401" w:lineRule="auto"/>
        <w:ind w:left="31" w:firstLine="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③全年不间断供餐，遇法定节假日和特别勤务安排，</w:t>
      </w:r>
      <w:r>
        <w:rPr>
          <w:rFonts w:hint="eastAsia" w:ascii="宋体" w:hAnsi="宋体" w:eastAsia="宋体" w:cs="宋体"/>
          <w:color w:val="auto"/>
          <w:spacing w:val="-8"/>
          <w:sz w:val="24"/>
          <w:szCs w:val="24"/>
          <w:highlight w:val="none"/>
        </w:rPr>
        <w:t>需根据要求提供配套餐饮服务。</w:t>
      </w:r>
      <w:r>
        <w:rPr>
          <w:rFonts w:hint="eastAsia" w:ascii="宋体" w:hAnsi="宋体" w:eastAsia="宋体" w:cs="宋体"/>
          <w:color w:val="auto"/>
          <w:spacing w:val="-1"/>
          <w:sz w:val="24"/>
          <w:szCs w:val="24"/>
          <w:highlight w:val="none"/>
        </w:rPr>
        <w:t>中标人须对各种特殊情况做出预估，并制定</w:t>
      </w:r>
      <w:r>
        <w:rPr>
          <w:rFonts w:hint="eastAsia" w:ascii="宋体" w:hAnsi="宋体" w:eastAsia="宋体" w:cs="宋体"/>
          <w:color w:val="auto"/>
          <w:spacing w:val="-2"/>
          <w:sz w:val="24"/>
          <w:szCs w:val="24"/>
          <w:highlight w:val="none"/>
        </w:rPr>
        <w:t>相关应急预案。</w:t>
      </w:r>
    </w:p>
    <w:p w14:paraId="23DADAA0">
      <w:pPr>
        <w:pStyle w:val="5"/>
        <w:spacing w:line="400" w:lineRule="auto"/>
        <w:ind w:left="10" w:right="17" w:firstLine="4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④建立健全食堂各项管理制度并上墙，积极配合采购人的各项检查</w:t>
      </w:r>
      <w:r>
        <w:rPr>
          <w:rFonts w:hint="eastAsia" w:ascii="宋体" w:hAnsi="宋体" w:eastAsia="宋体" w:cs="宋体"/>
          <w:color w:val="auto"/>
          <w:spacing w:val="-4"/>
          <w:sz w:val="24"/>
          <w:szCs w:val="24"/>
          <w:highlight w:val="none"/>
        </w:rPr>
        <w:t>工作。采购人定</w:t>
      </w:r>
      <w:r>
        <w:rPr>
          <w:rFonts w:hint="eastAsia" w:ascii="宋体" w:hAnsi="宋体" w:eastAsia="宋体" w:cs="宋体"/>
          <w:color w:val="auto"/>
          <w:spacing w:val="-8"/>
          <w:sz w:val="24"/>
          <w:szCs w:val="24"/>
          <w:highlight w:val="none"/>
        </w:rPr>
        <w:t>期对食堂膳食质量、价格、卫生、安全、财务和服务等进行检查、监督，定期组织评议，</w:t>
      </w:r>
      <w:r>
        <w:rPr>
          <w:rFonts w:hint="eastAsia" w:ascii="宋体" w:hAnsi="宋体" w:eastAsia="宋体" w:cs="宋体"/>
          <w:color w:val="auto"/>
          <w:spacing w:val="2"/>
          <w:sz w:val="24"/>
          <w:szCs w:val="24"/>
          <w:highlight w:val="none"/>
        </w:rPr>
        <w:t>若评议满意率不足80%，视为违约，采购</w:t>
      </w:r>
      <w:r>
        <w:rPr>
          <w:rFonts w:hint="eastAsia" w:ascii="宋体" w:hAnsi="宋体" w:eastAsia="宋体" w:cs="宋体"/>
          <w:color w:val="auto"/>
          <w:spacing w:val="1"/>
          <w:sz w:val="24"/>
          <w:szCs w:val="24"/>
          <w:highlight w:val="none"/>
        </w:rPr>
        <w:t>人随时有权终止合同。</w:t>
      </w:r>
    </w:p>
    <w:p w14:paraId="21E3959D">
      <w:pPr>
        <w:pStyle w:val="5"/>
        <w:spacing w:before="2" w:line="399" w:lineRule="auto"/>
        <w:ind w:left="9" w:right="81"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⑤食品加工设备、布局和工艺流程须符合卫生要求，有与产品品种</w:t>
      </w:r>
      <w:r>
        <w:rPr>
          <w:rFonts w:hint="eastAsia" w:ascii="宋体" w:hAnsi="宋体" w:eastAsia="宋体" w:cs="宋体"/>
          <w:color w:val="auto"/>
          <w:spacing w:val="-4"/>
          <w:sz w:val="24"/>
          <w:szCs w:val="24"/>
          <w:highlight w:val="none"/>
        </w:rPr>
        <w:t>、数量相适应的</w:t>
      </w:r>
      <w:r>
        <w:rPr>
          <w:rFonts w:hint="eastAsia" w:ascii="宋体" w:hAnsi="宋体" w:eastAsia="宋体" w:cs="宋体"/>
          <w:color w:val="auto"/>
          <w:spacing w:val="-1"/>
          <w:sz w:val="24"/>
          <w:szCs w:val="24"/>
          <w:highlight w:val="none"/>
        </w:rPr>
        <w:t>食品原料处理、加工、包装、贮存等设备或场所。</w:t>
      </w:r>
    </w:p>
    <w:p w14:paraId="01BA37D0">
      <w:pPr>
        <w:pStyle w:val="5"/>
        <w:spacing w:before="1" w:line="399" w:lineRule="auto"/>
        <w:ind w:left="9" w:right="81" w:firstLine="478"/>
        <w:rPr>
          <w:rFonts w:hint="eastAsia" w:ascii="宋体" w:hAnsi="宋体" w:eastAsia="宋体" w:cs="宋体"/>
          <w:color w:val="FF0000"/>
          <w:sz w:val="24"/>
          <w:szCs w:val="24"/>
          <w:highlight w:val="none"/>
        </w:rPr>
      </w:pPr>
      <w:r>
        <w:rPr>
          <w:rFonts w:hint="eastAsia" w:ascii="宋体" w:hAnsi="宋体" w:eastAsia="宋体" w:cs="宋体"/>
          <w:color w:val="auto"/>
          <w:spacing w:val="-3"/>
          <w:sz w:val="24"/>
          <w:szCs w:val="24"/>
          <w:highlight w:val="none"/>
        </w:rPr>
        <w:t>⑥中标人不得将食堂私自转让或委托他人经营。一经发现，</w:t>
      </w:r>
      <w:r>
        <w:rPr>
          <w:rFonts w:hint="eastAsia" w:ascii="宋体" w:hAnsi="宋体" w:eastAsia="宋体" w:cs="宋体"/>
          <w:color w:val="FF0000"/>
          <w:spacing w:val="-3"/>
          <w:sz w:val="24"/>
          <w:szCs w:val="24"/>
          <w:highlight w:val="none"/>
        </w:rPr>
        <w:t>采购人有权取消其委托服务资格，并给予</w:t>
      </w:r>
      <w:r>
        <w:rPr>
          <w:rFonts w:hint="eastAsia" w:ascii="宋体" w:hAnsi="宋体" w:eastAsia="宋体" w:cs="宋体"/>
          <w:color w:val="FF0000"/>
          <w:spacing w:val="-3"/>
          <w:sz w:val="24"/>
          <w:szCs w:val="24"/>
          <w:highlight w:val="none"/>
          <w:lang w:eastAsia="zh-CN"/>
        </w:rPr>
        <w:t>合同金额的</w:t>
      </w:r>
      <w:r>
        <w:rPr>
          <w:rFonts w:hint="eastAsia" w:ascii="宋体" w:hAnsi="宋体" w:eastAsia="宋体" w:cs="宋体"/>
          <w:color w:val="FF0000"/>
          <w:spacing w:val="-3"/>
          <w:sz w:val="24"/>
          <w:szCs w:val="24"/>
          <w:highlight w:val="none"/>
          <w:lang w:val="en-US" w:eastAsia="zh-CN"/>
        </w:rPr>
        <w:t>5%</w:t>
      </w:r>
      <w:r>
        <w:rPr>
          <w:rFonts w:hint="eastAsia" w:ascii="宋体" w:hAnsi="宋体" w:eastAsia="宋体" w:cs="宋体"/>
          <w:color w:val="FF0000"/>
          <w:spacing w:val="-3"/>
          <w:sz w:val="24"/>
          <w:szCs w:val="24"/>
          <w:highlight w:val="none"/>
        </w:rPr>
        <w:t>经济处罚或诉诸法律。</w:t>
      </w:r>
    </w:p>
    <w:p w14:paraId="669E789F">
      <w:pPr>
        <w:pStyle w:val="5"/>
        <w:spacing w:before="1" w:line="220"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（2）食品卫生安全工作要求</w:t>
      </w:r>
    </w:p>
    <w:p w14:paraId="2E4A7BCF">
      <w:pPr>
        <w:pStyle w:val="5"/>
        <w:spacing w:before="189" w:line="220" w:lineRule="auto"/>
        <w:ind w:left="8"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①所有工作人员必须持有疾病防控部门或社区卫生服务中心颁发</w:t>
      </w:r>
      <w:r>
        <w:rPr>
          <w:rFonts w:hint="eastAsia" w:ascii="宋体" w:hAnsi="宋体" w:eastAsia="宋体" w:cs="宋体"/>
          <w:color w:val="auto"/>
          <w:spacing w:val="-4"/>
          <w:sz w:val="24"/>
          <w:szCs w:val="24"/>
          <w:highlight w:val="none"/>
        </w:rPr>
        <w:t>的有效期内的《健</w:t>
      </w:r>
      <w:r>
        <w:rPr>
          <w:rFonts w:hint="eastAsia" w:ascii="宋体" w:hAnsi="宋体" w:eastAsia="宋体" w:cs="宋体"/>
          <w:color w:val="auto"/>
          <w:spacing w:val="-3"/>
          <w:sz w:val="24"/>
          <w:szCs w:val="24"/>
          <w:highlight w:val="none"/>
        </w:rPr>
        <w:t>康证》。</w:t>
      </w:r>
    </w:p>
    <w:p w14:paraId="1E08D421">
      <w:pPr>
        <w:pStyle w:val="5"/>
        <w:spacing w:before="231" w:line="401" w:lineRule="auto"/>
        <w:ind w:left="9" w:right="80"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②采购人有权监督并定时检查，中标人应虚心听取意见，采取措施</w:t>
      </w:r>
      <w:r>
        <w:rPr>
          <w:rFonts w:hint="eastAsia" w:ascii="宋体" w:hAnsi="宋体" w:eastAsia="宋体" w:cs="宋体"/>
          <w:color w:val="auto"/>
          <w:spacing w:val="-4"/>
          <w:sz w:val="24"/>
          <w:szCs w:val="24"/>
          <w:highlight w:val="none"/>
        </w:rPr>
        <w:t>及时解决相应问</w:t>
      </w:r>
      <w:r>
        <w:rPr>
          <w:rFonts w:hint="eastAsia" w:ascii="宋体" w:hAnsi="宋体" w:eastAsia="宋体" w:cs="宋体"/>
          <w:color w:val="auto"/>
          <w:spacing w:val="-1"/>
          <w:sz w:val="24"/>
          <w:szCs w:val="24"/>
          <w:highlight w:val="none"/>
        </w:rPr>
        <w:t>题，问题整改不及时的，对中标人给予经济处罚。</w:t>
      </w:r>
    </w:p>
    <w:p w14:paraId="7742EDE5">
      <w:pPr>
        <w:pStyle w:val="5"/>
        <w:spacing w:before="1" w:line="399" w:lineRule="auto"/>
        <w:ind w:left="9" w:right="13"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③对配送的食材需要及时进行检查验收，确保所使用的</w:t>
      </w:r>
      <w:r>
        <w:rPr>
          <w:rFonts w:hint="eastAsia" w:ascii="宋体" w:hAnsi="宋体" w:eastAsia="宋体" w:cs="宋体"/>
          <w:color w:val="auto"/>
          <w:spacing w:val="-2"/>
          <w:sz w:val="24"/>
          <w:szCs w:val="24"/>
          <w:highlight w:val="none"/>
        </w:rPr>
        <w:t>原材料必须新鲜、品质好。</w:t>
      </w:r>
      <w:r>
        <w:rPr>
          <w:rFonts w:hint="eastAsia" w:ascii="宋体" w:hAnsi="宋体" w:eastAsia="宋体" w:cs="宋体"/>
          <w:color w:val="auto"/>
          <w:spacing w:val="-1"/>
          <w:sz w:val="24"/>
          <w:szCs w:val="24"/>
          <w:highlight w:val="none"/>
        </w:rPr>
        <w:t>每日对餐具进行高温消毒。</w:t>
      </w:r>
    </w:p>
    <w:p w14:paraId="06ED0CF9">
      <w:pPr>
        <w:pStyle w:val="5"/>
        <w:spacing w:before="1" w:line="399" w:lineRule="auto"/>
        <w:ind w:left="12" w:firstLine="47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④每天工作完毕后，及时清理厨房现场，垃圾分类</w:t>
      </w:r>
      <w:r>
        <w:rPr>
          <w:rFonts w:hint="eastAsia" w:ascii="宋体" w:hAnsi="宋体" w:eastAsia="宋体" w:cs="宋体"/>
          <w:color w:val="auto"/>
          <w:spacing w:val="-8"/>
          <w:sz w:val="24"/>
          <w:szCs w:val="24"/>
          <w:highlight w:val="none"/>
        </w:rPr>
        <w:t>。将生产用具、炉灶台、工作台、</w:t>
      </w:r>
      <w:r>
        <w:rPr>
          <w:rFonts w:hint="eastAsia" w:ascii="宋体" w:hAnsi="宋体" w:eastAsia="宋体" w:cs="宋体"/>
          <w:color w:val="auto"/>
          <w:spacing w:val="-1"/>
          <w:sz w:val="24"/>
          <w:szCs w:val="24"/>
          <w:highlight w:val="none"/>
        </w:rPr>
        <w:t>工作柜、清洗干净，不能有污渍。</w:t>
      </w:r>
    </w:p>
    <w:p w14:paraId="5E9AAF09">
      <w:pPr>
        <w:pStyle w:val="5"/>
        <w:spacing w:line="400" w:lineRule="auto"/>
        <w:ind w:left="9" w:right="80" w:firstLine="47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⑤★投标人必须提供书面承诺，遵守国家、行业关于食品卫生安全的相关法律、</w:t>
      </w:r>
      <w:r>
        <w:rPr>
          <w:rFonts w:hint="eastAsia" w:ascii="宋体" w:hAnsi="宋体" w:eastAsia="宋体" w:cs="宋体"/>
          <w:b/>
          <w:bCs/>
          <w:color w:val="auto"/>
          <w:spacing w:val="-4"/>
          <w:sz w:val="24"/>
          <w:szCs w:val="24"/>
          <w:highlight w:val="none"/>
        </w:rPr>
        <w:t>法规，确保饮食安全；落实每餐饭菜留样制度（留样时间不少于</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72</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小时</w:t>
      </w:r>
      <w:r>
        <w:rPr>
          <w:rFonts w:hint="eastAsia" w:ascii="宋体" w:hAnsi="宋体" w:eastAsia="宋体" w:cs="宋体"/>
          <w:b/>
          <w:bCs/>
          <w:color w:val="auto"/>
          <w:spacing w:val="10"/>
          <w:sz w:val="24"/>
          <w:szCs w:val="24"/>
          <w:highlight w:val="none"/>
        </w:rPr>
        <w:t>）；</w:t>
      </w:r>
      <w:r>
        <w:rPr>
          <w:rFonts w:hint="eastAsia" w:ascii="宋体" w:hAnsi="宋体" w:eastAsia="宋体" w:cs="宋体"/>
          <w:b/>
          <w:bCs/>
          <w:color w:val="auto"/>
          <w:spacing w:val="-4"/>
          <w:sz w:val="24"/>
          <w:szCs w:val="24"/>
          <w:highlight w:val="none"/>
        </w:rPr>
        <w:t>因食品安</w:t>
      </w:r>
      <w:r>
        <w:rPr>
          <w:rFonts w:hint="eastAsia" w:ascii="宋体" w:hAnsi="宋体" w:eastAsia="宋体" w:cs="宋体"/>
          <w:b/>
          <w:bCs/>
          <w:color w:val="auto"/>
          <w:spacing w:val="-2"/>
          <w:sz w:val="24"/>
          <w:szCs w:val="24"/>
          <w:highlight w:val="none"/>
        </w:rPr>
        <w:t>全问题造成的一切后果由投标人负责,并根据相关法律法规进行处罚及赔偿；</w:t>
      </w:r>
    </w:p>
    <w:p w14:paraId="672FDDBF">
      <w:pPr>
        <w:pStyle w:val="5"/>
        <w:spacing w:before="4" w:line="399" w:lineRule="auto"/>
        <w:ind w:left="9"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⑥严格控制对豆糕类、豆腐、四季豆、蘑菇等食品的采购和制作关</w:t>
      </w:r>
      <w:r>
        <w:rPr>
          <w:rFonts w:hint="eastAsia" w:ascii="宋体" w:hAnsi="宋体" w:eastAsia="宋体" w:cs="宋体"/>
          <w:color w:val="auto"/>
          <w:spacing w:val="-4"/>
          <w:sz w:val="24"/>
          <w:szCs w:val="24"/>
          <w:highlight w:val="none"/>
        </w:rPr>
        <w:t>。要科学、合理</w:t>
      </w:r>
      <w:r>
        <w:rPr>
          <w:rFonts w:hint="eastAsia" w:ascii="宋体" w:hAnsi="宋体" w:eastAsia="宋体" w:cs="宋体"/>
          <w:color w:val="auto"/>
          <w:spacing w:val="-7"/>
          <w:sz w:val="24"/>
          <w:szCs w:val="24"/>
          <w:highlight w:val="none"/>
        </w:rPr>
        <w:t>地贮存食品。食品贮存应当分类、分架、隔墙、离地存放，食品贮存场所禁止存放</w:t>
      </w:r>
      <w:r>
        <w:rPr>
          <w:rFonts w:hint="eastAsia" w:ascii="宋体" w:hAnsi="宋体" w:eastAsia="宋体" w:cs="宋体"/>
          <w:color w:val="auto"/>
          <w:spacing w:val="-8"/>
          <w:sz w:val="24"/>
          <w:szCs w:val="24"/>
          <w:highlight w:val="none"/>
        </w:rPr>
        <w:t>有毒、</w:t>
      </w:r>
      <w:r>
        <w:rPr>
          <w:rFonts w:hint="eastAsia" w:ascii="宋体" w:hAnsi="宋体" w:eastAsia="宋体" w:cs="宋体"/>
          <w:color w:val="auto"/>
          <w:spacing w:val="-1"/>
          <w:sz w:val="24"/>
          <w:szCs w:val="24"/>
          <w:highlight w:val="none"/>
        </w:rPr>
        <w:t>有害物品及个人生活物品。</w:t>
      </w:r>
    </w:p>
    <w:p w14:paraId="3E38EA2D">
      <w:pPr>
        <w:pStyle w:val="5"/>
        <w:spacing w:line="219"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⑦</w:t>
      </w:r>
      <w:r>
        <w:rPr>
          <w:rFonts w:hint="eastAsia" w:ascii="宋体" w:hAnsi="宋体" w:eastAsia="宋体" w:cs="宋体"/>
          <w:color w:val="auto"/>
          <w:spacing w:val="-5"/>
          <w:sz w:val="24"/>
          <w:szCs w:val="24"/>
          <w:highlight w:val="none"/>
        </w:rPr>
        <w:t>投标人须书面承诺中标后为本项目购买至少</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5"/>
          <w:sz w:val="24"/>
          <w:szCs w:val="24"/>
          <w:highlight w:val="none"/>
        </w:rPr>
        <w:t>500</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5"/>
          <w:sz w:val="24"/>
          <w:szCs w:val="24"/>
          <w:highlight w:val="none"/>
        </w:rPr>
        <w:t>万元保额的</w:t>
      </w:r>
      <w:r>
        <w:rPr>
          <w:rFonts w:hint="eastAsia" w:ascii="宋体" w:hAnsi="宋体" w:eastAsia="宋体" w:cs="宋体"/>
          <w:color w:val="auto"/>
          <w:spacing w:val="-6"/>
          <w:sz w:val="24"/>
          <w:szCs w:val="24"/>
          <w:highlight w:val="none"/>
        </w:rPr>
        <w:t>公众责任险。</w:t>
      </w:r>
    </w:p>
    <w:p w14:paraId="209C7E85">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3、项目人员配备要求</w:t>
      </w:r>
    </w:p>
    <w:p w14:paraId="4587F33F">
      <w:pPr>
        <w:pStyle w:val="5"/>
        <w:spacing w:before="233" w:line="400" w:lineRule="auto"/>
        <w:ind w:left="9" w:right="80" w:firstLine="49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（1）★人员数量：投标人提供不少于</w:t>
      </w:r>
      <w:r>
        <w:rPr>
          <w:rFonts w:hint="eastAsia" w:ascii="宋体" w:hAnsi="宋体" w:eastAsia="宋体" w:cs="宋体"/>
          <w:color w:val="auto"/>
          <w:spacing w:val="-29"/>
          <w:sz w:val="24"/>
          <w:szCs w:val="24"/>
          <w:highlight w:val="none"/>
        </w:rPr>
        <w:t xml:space="preserve"> </w:t>
      </w:r>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人食堂工作人员，其中至少包含</w:t>
      </w:r>
      <w:r>
        <w:rPr>
          <w:rFonts w:hint="eastAsia" w:ascii="宋体" w:hAnsi="宋体" w:eastAsia="宋体" w:cs="宋体"/>
          <w:color w:val="auto"/>
          <w:spacing w:val="-31"/>
          <w:sz w:val="24"/>
          <w:szCs w:val="24"/>
          <w:highlight w:val="none"/>
        </w:rPr>
        <w:t xml:space="preserve"> </w:t>
      </w:r>
      <w:r>
        <w:rPr>
          <w:rFonts w:hint="eastAsia" w:ascii="宋体" w:hAnsi="宋体" w:eastAsia="宋体" w:cs="宋体"/>
          <w:b/>
          <w:bCs/>
          <w:color w:val="auto"/>
          <w:spacing w:val="-2"/>
          <w:sz w:val="24"/>
          <w:szCs w:val="24"/>
          <w:highlight w:val="none"/>
        </w:rPr>
        <w:t>1</w:t>
      </w:r>
      <w:r>
        <w:rPr>
          <w:rFonts w:hint="eastAsia" w:ascii="宋体" w:hAnsi="宋体" w:eastAsia="宋体" w:cs="宋体"/>
          <w:color w:val="auto"/>
          <w:spacing w:val="-43"/>
          <w:sz w:val="24"/>
          <w:szCs w:val="24"/>
          <w:highlight w:val="none"/>
        </w:rPr>
        <w:t xml:space="preserve"> </w:t>
      </w:r>
      <w:r>
        <w:rPr>
          <w:rFonts w:hint="eastAsia" w:ascii="宋体" w:hAnsi="宋体" w:eastAsia="宋体" w:cs="宋体"/>
          <w:b/>
          <w:bCs/>
          <w:color w:val="auto"/>
          <w:spacing w:val="-2"/>
          <w:sz w:val="24"/>
          <w:szCs w:val="24"/>
          <w:highlight w:val="none"/>
        </w:rPr>
        <w:t>名</w:t>
      </w:r>
      <w:r>
        <w:rPr>
          <w:rFonts w:hint="eastAsia" w:ascii="宋体" w:hAnsi="宋体" w:eastAsia="宋体" w:cs="宋体"/>
          <w:b/>
          <w:bCs/>
          <w:color w:val="auto"/>
          <w:spacing w:val="-2"/>
          <w:sz w:val="24"/>
          <w:szCs w:val="24"/>
          <w:highlight w:val="none"/>
          <w:lang w:eastAsia="zh-CN"/>
        </w:rPr>
        <w:t>总厨（负责总协调）</w:t>
      </w:r>
      <w:r>
        <w:rPr>
          <w:rFonts w:hint="eastAsia" w:ascii="宋体" w:hAnsi="宋体" w:eastAsia="宋体" w:cs="宋体"/>
          <w:b/>
          <w:bCs/>
          <w:color w:val="auto"/>
          <w:spacing w:val="10"/>
          <w:sz w:val="24"/>
          <w:szCs w:val="24"/>
          <w:highlight w:val="none"/>
        </w:rPr>
        <w:t>，</w:t>
      </w:r>
      <w:r>
        <w:rPr>
          <w:rFonts w:hint="eastAsia" w:ascii="宋体" w:hAnsi="宋体" w:eastAsia="宋体" w:cs="宋体"/>
          <w:b/>
          <w:bCs/>
          <w:color w:val="auto"/>
          <w:spacing w:val="-3"/>
          <w:sz w:val="24"/>
          <w:szCs w:val="24"/>
          <w:highlight w:val="none"/>
        </w:rPr>
        <w:t>4</w:t>
      </w:r>
      <w:r>
        <w:rPr>
          <w:rFonts w:hint="eastAsia" w:ascii="宋体" w:hAnsi="宋体" w:eastAsia="宋体" w:cs="宋体"/>
          <w:color w:val="auto"/>
          <w:spacing w:val="-45"/>
          <w:sz w:val="24"/>
          <w:szCs w:val="24"/>
          <w:highlight w:val="none"/>
        </w:rPr>
        <w:t xml:space="preserve"> </w:t>
      </w:r>
      <w:r>
        <w:rPr>
          <w:rFonts w:hint="eastAsia" w:ascii="宋体" w:hAnsi="宋体" w:eastAsia="宋体" w:cs="宋体"/>
          <w:b/>
          <w:bCs/>
          <w:color w:val="auto"/>
          <w:spacing w:val="-3"/>
          <w:sz w:val="24"/>
          <w:szCs w:val="24"/>
          <w:highlight w:val="none"/>
        </w:rPr>
        <w:t>名主厨、4</w:t>
      </w:r>
      <w:r>
        <w:rPr>
          <w:rFonts w:hint="eastAsia" w:ascii="宋体" w:hAnsi="宋体" w:eastAsia="宋体" w:cs="宋体"/>
          <w:color w:val="auto"/>
          <w:spacing w:val="-43"/>
          <w:sz w:val="24"/>
          <w:szCs w:val="24"/>
          <w:highlight w:val="none"/>
        </w:rPr>
        <w:t xml:space="preserve"> </w:t>
      </w:r>
      <w:r>
        <w:rPr>
          <w:rFonts w:hint="eastAsia" w:ascii="宋体" w:hAnsi="宋体" w:eastAsia="宋体" w:cs="宋体"/>
          <w:b/>
          <w:bCs/>
          <w:color w:val="auto"/>
          <w:spacing w:val="-3"/>
          <w:sz w:val="24"/>
          <w:szCs w:val="24"/>
          <w:highlight w:val="none"/>
        </w:rPr>
        <w:t>名白案及</w:t>
      </w:r>
      <w:r>
        <w:rPr>
          <w:rFonts w:hint="eastAsia" w:ascii="宋体" w:hAnsi="宋体" w:eastAsia="宋体" w:cs="宋体"/>
          <w:color w:val="auto"/>
          <w:spacing w:val="-47"/>
          <w:sz w:val="24"/>
          <w:szCs w:val="24"/>
          <w:highlight w:val="none"/>
        </w:rPr>
        <w:t xml:space="preserve"> </w:t>
      </w:r>
      <w:r>
        <w:rPr>
          <w:rFonts w:hint="eastAsia" w:ascii="宋体" w:hAnsi="宋体" w:eastAsia="宋体" w:cs="宋体"/>
          <w:b/>
          <w:bCs/>
          <w:color w:val="auto"/>
          <w:spacing w:val="-3"/>
          <w:sz w:val="24"/>
          <w:szCs w:val="24"/>
          <w:highlight w:val="none"/>
          <w:lang w:val="en-US" w:eastAsia="zh-CN"/>
        </w:rPr>
        <w:t>7</w:t>
      </w:r>
      <w:r>
        <w:rPr>
          <w:rFonts w:hint="eastAsia" w:ascii="宋体" w:hAnsi="宋体" w:eastAsia="宋体" w:cs="宋体"/>
          <w:b/>
          <w:bCs/>
          <w:color w:val="auto"/>
          <w:spacing w:val="-3"/>
          <w:sz w:val="24"/>
          <w:szCs w:val="24"/>
          <w:highlight w:val="none"/>
        </w:rPr>
        <w:t>名其他辅助服务人员。</w:t>
      </w:r>
      <w:r>
        <w:rPr>
          <w:rFonts w:hint="eastAsia" w:ascii="宋体" w:hAnsi="宋体" w:eastAsia="宋体" w:cs="宋体"/>
          <w:color w:val="auto"/>
          <w:spacing w:val="-64"/>
          <w:sz w:val="24"/>
          <w:szCs w:val="24"/>
          <w:highlight w:val="none"/>
        </w:rPr>
        <w:t xml:space="preserve"> </w:t>
      </w:r>
      <w:r>
        <w:rPr>
          <w:rFonts w:hint="eastAsia" w:ascii="宋体" w:hAnsi="宋体" w:eastAsia="宋体" w:cs="宋体"/>
          <w:b/>
          <w:bCs/>
          <w:color w:val="auto"/>
          <w:spacing w:val="-3"/>
          <w:sz w:val="24"/>
          <w:szCs w:val="24"/>
          <w:highlight w:val="none"/>
        </w:rPr>
        <w:t>(投标文件中提供所有人员身份证和健康证的复印件)</w:t>
      </w:r>
    </w:p>
    <w:p w14:paraId="24A6BB4E">
      <w:pPr>
        <w:pStyle w:val="5"/>
        <w:spacing w:line="220"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（2）人员条件：</w:t>
      </w:r>
    </w:p>
    <w:p w14:paraId="10F62396">
      <w:pPr>
        <w:pStyle w:val="5"/>
        <w:spacing w:before="232" w:line="401" w:lineRule="auto"/>
        <w:ind w:left="11" w:right="8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①</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投标人必须提供书面承诺函，确保所有项目组成员的工资水平不低于武汉市</w:t>
      </w:r>
      <w:r>
        <w:rPr>
          <w:rFonts w:hint="eastAsia" w:ascii="宋体" w:hAnsi="宋体" w:eastAsia="宋体" w:cs="宋体"/>
          <w:b/>
          <w:bCs/>
          <w:color w:val="auto"/>
          <w:spacing w:val="-3"/>
          <w:sz w:val="24"/>
          <w:szCs w:val="24"/>
          <w:highlight w:val="none"/>
        </w:rPr>
        <w:t>主城区最低工资标准，且按规定缴纳社会保险。</w:t>
      </w:r>
    </w:p>
    <w:p w14:paraId="57A99CE0">
      <w:pPr>
        <w:pStyle w:val="5"/>
        <w:spacing w:before="1" w:line="217" w:lineRule="auto"/>
        <w:ind w:left="48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②食堂人员具有相应的从业证，由中标人自行管理。</w:t>
      </w:r>
    </w:p>
    <w:p w14:paraId="221263D4">
      <w:pPr>
        <w:pStyle w:val="5"/>
        <w:spacing w:before="235" w:line="400" w:lineRule="auto"/>
        <w:ind w:left="11" w:right="13" w:firstLine="47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③食堂人员应遵规守纪、身体健康，服务规范，按要求着装上岗，</w:t>
      </w:r>
      <w:r>
        <w:rPr>
          <w:rFonts w:hint="eastAsia" w:ascii="宋体" w:hAnsi="宋体" w:eastAsia="宋体" w:cs="宋体"/>
          <w:color w:val="auto"/>
          <w:spacing w:val="-4"/>
          <w:sz w:val="24"/>
          <w:szCs w:val="24"/>
          <w:highlight w:val="none"/>
        </w:rPr>
        <w:t>中标人定期对员</w:t>
      </w:r>
      <w:r>
        <w:rPr>
          <w:rFonts w:hint="eastAsia" w:ascii="宋体" w:hAnsi="宋体" w:eastAsia="宋体" w:cs="宋体"/>
          <w:color w:val="auto"/>
          <w:spacing w:val="-3"/>
          <w:sz w:val="24"/>
          <w:szCs w:val="24"/>
          <w:highlight w:val="none"/>
        </w:rPr>
        <w:t>工进行业务水平培训。如采购人认为投标人投入的工作人员数量、业务水平、</w:t>
      </w:r>
      <w:r>
        <w:rPr>
          <w:rFonts w:hint="eastAsia" w:ascii="宋体" w:hAnsi="宋体" w:eastAsia="宋体" w:cs="宋体"/>
          <w:color w:val="auto"/>
          <w:spacing w:val="-4"/>
          <w:sz w:val="24"/>
          <w:szCs w:val="24"/>
          <w:highlight w:val="none"/>
        </w:rPr>
        <w:t>专业配置</w:t>
      </w:r>
      <w:r>
        <w:rPr>
          <w:rFonts w:hint="eastAsia" w:ascii="宋体" w:hAnsi="宋体" w:eastAsia="宋体" w:cs="宋体"/>
          <w:color w:val="auto"/>
          <w:spacing w:val="-1"/>
          <w:sz w:val="24"/>
          <w:szCs w:val="24"/>
          <w:highlight w:val="none"/>
        </w:rPr>
        <w:t>等不能满足本项目实际工作需要时，有权要求中标人及</w:t>
      </w:r>
      <w:r>
        <w:rPr>
          <w:rFonts w:hint="eastAsia" w:ascii="宋体" w:hAnsi="宋体" w:eastAsia="宋体" w:cs="宋体"/>
          <w:color w:val="auto"/>
          <w:spacing w:val="-2"/>
          <w:sz w:val="24"/>
          <w:szCs w:val="24"/>
          <w:highlight w:val="none"/>
        </w:rPr>
        <w:t>时调配或增加符合要求的人员。</w:t>
      </w:r>
    </w:p>
    <w:p w14:paraId="31BE44BA">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4、项目工具设备配备要求</w:t>
      </w:r>
    </w:p>
    <w:p w14:paraId="1580E0BE">
      <w:pPr>
        <w:pStyle w:val="5"/>
        <w:keepNext w:val="0"/>
        <w:keepLines w:val="0"/>
        <w:pageBreakBefore w:val="0"/>
        <w:widowControl w:val="0"/>
        <w:kinsoku/>
        <w:wordWrap/>
        <w:overflowPunct/>
        <w:topLinePunct w:val="0"/>
        <w:autoSpaceDE/>
        <w:autoSpaceDN/>
        <w:bidi w:val="0"/>
        <w:adjustRightInd/>
        <w:snapToGrid/>
        <w:spacing w:line="360" w:lineRule="auto"/>
        <w:ind w:left="0" w:firstLine="468"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（1）4 个食堂（大队机关食堂、1 中队食堂、</w:t>
      </w:r>
      <w:r>
        <w:rPr>
          <w:rFonts w:hint="eastAsia" w:ascii="宋体" w:hAnsi="宋体" w:eastAsia="宋体" w:cs="宋体"/>
          <w:color w:val="auto"/>
          <w:spacing w:val="-3"/>
          <w:sz w:val="24"/>
          <w:szCs w:val="24"/>
          <w:highlight w:val="none"/>
          <w:lang w:eastAsia="zh-CN"/>
        </w:rPr>
        <w:t>服务站食堂</w:t>
      </w:r>
      <w:r>
        <w:rPr>
          <w:rFonts w:hint="eastAsia" w:ascii="宋体" w:hAnsi="宋体" w:eastAsia="宋体" w:cs="宋体"/>
          <w:color w:val="auto"/>
          <w:spacing w:val="-3"/>
          <w:sz w:val="24"/>
          <w:szCs w:val="24"/>
          <w:highlight w:val="none"/>
        </w:rPr>
        <w:t>、车管分所食堂）均由采购人提供供餐设施设备，现有的设施设备交由中标人后，由中标人使用并负责维护、保养和维修。</w:t>
      </w:r>
    </w:p>
    <w:p w14:paraId="0DF610D9">
      <w:pPr>
        <w:pStyle w:val="5"/>
        <w:keepNext w:val="0"/>
        <w:keepLines w:val="0"/>
        <w:pageBreakBefore w:val="0"/>
        <w:widowControl w:val="0"/>
        <w:kinsoku/>
        <w:wordWrap/>
        <w:overflowPunct/>
        <w:topLinePunct w:val="0"/>
        <w:autoSpaceDE/>
        <w:autoSpaceDN/>
        <w:bidi w:val="0"/>
        <w:adjustRightInd/>
        <w:snapToGrid/>
        <w:spacing w:line="360" w:lineRule="auto"/>
        <w:ind w:left="0" w:firstLine="468"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（2）中标人不可改变食堂现有结构，如需变动某些可移动的平面布置，或增加设施设备等，须请示采购人同意后才能实施。</w:t>
      </w:r>
    </w:p>
    <w:p w14:paraId="5B3CDD30">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（二）食材配送服务</w:t>
      </w:r>
    </w:p>
    <w:p w14:paraId="02F3C7F6">
      <w:pPr>
        <w:bidi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1、项目服务内容</w:t>
      </w:r>
    </w:p>
    <w:p w14:paraId="2E8F048B">
      <w:pPr>
        <w:pStyle w:val="5"/>
        <w:spacing w:before="235" w:line="400" w:lineRule="auto"/>
        <w:ind w:left="9" w:right="77"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武汉市公安局东西湖区分局交通管理大队</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6</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3"/>
          <w:sz w:val="24"/>
          <w:szCs w:val="24"/>
          <w:highlight w:val="none"/>
        </w:rPr>
        <w:t>个食堂的食材配送服务（大队机关食堂</w:t>
      </w: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中队</w:t>
      </w:r>
      <w:r>
        <w:rPr>
          <w:rFonts w:hint="eastAsia" w:ascii="宋体" w:hAnsi="宋体" w:eastAsia="宋体" w:cs="宋体"/>
          <w:color w:val="auto"/>
          <w:spacing w:val="-2"/>
          <w:sz w:val="24"/>
          <w:szCs w:val="24"/>
          <w:highlight w:val="none"/>
        </w:rPr>
        <w:t>食堂、2</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中队食堂、3</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中队食堂、车管分所食堂、服务站食堂</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提供各类食材（原材料）的配送。</w:t>
      </w:r>
    </w:p>
    <w:p w14:paraId="2B0802D2">
      <w:pPr>
        <w:pStyle w:val="5"/>
        <w:spacing w:line="400" w:lineRule="auto"/>
        <w:ind w:left="12" w:right="80" w:firstLine="419"/>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b/>
          <w:bCs/>
          <w:color w:val="auto"/>
          <w:spacing w:val="-6"/>
          <w:sz w:val="24"/>
          <w:szCs w:val="24"/>
          <w:highlight w:val="none"/>
        </w:rPr>
        <w:t>根据采购人扶贫采购任务的相应比例在“扶贫</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pacing w:val="-6"/>
          <w:sz w:val="24"/>
          <w:szCs w:val="24"/>
          <w:highlight w:val="none"/>
        </w:rPr>
        <w:t>832</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6"/>
          <w:sz w:val="24"/>
          <w:szCs w:val="24"/>
          <w:highlight w:val="none"/>
        </w:rPr>
        <w:t>平台</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6"/>
          <w:sz w:val="24"/>
          <w:szCs w:val="24"/>
          <w:highlight w:val="none"/>
        </w:rPr>
        <w:t>”及“中国社会扶贫网湖</w:t>
      </w:r>
      <w:r>
        <w:rPr>
          <w:rFonts w:hint="eastAsia" w:ascii="宋体" w:hAnsi="宋体" w:eastAsia="宋体" w:cs="宋体"/>
          <w:b/>
          <w:bCs/>
          <w:color w:val="auto"/>
          <w:sz w:val="24"/>
          <w:szCs w:val="24"/>
          <w:highlight w:val="none"/>
        </w:rPr>
        <w:t>北特色馆</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z w:val="24"/>
          <w:szCs w:val="24"/>
          <w:highlight w:val="none"/>
        </w:rPr>
        <w:t>”等平台上采购，确保采购人完成扶贫采购任务，采购</w:t>
      </w:r>
      <w:r>
        <w:rPr>
          <w:rFonts w:hint="eastAsia" w:ascii="宋体" w:hAnsi="宋体" w:eastAsia="宋体" w:cs="宋体"/>
          <w:b/>
          <w:bCs/>
          <w:color w:val="auto"/>
          <w:spacing w:val="-1"/>
          <w:sz w:val="24"/>
          <w:szCs w:val="24"/>
          <w:highlight w:val="none"/>
        </w:rPr>
        <w:t>任务量如有调整，按</w:t>
      </w:r>
      <w:r>
        <w:rPr>
          <w:rFonts w:hint="eastAsia" w:ascii="宋体" w:hAnsi="宋体" w:eastAsia="宋体" w:cs="宋体"/>
          <w:b/>
          <w:bCs/>
          <w:color w:val="auto"/>
          <w:spacing w:val="-4"/>
          <w:sz w:val="24"/>
          <w:szCs w:val="24"/>
          <w:highlight w:val="none"/>
        </w:rPr>
        <w:t>最终要求的比例采购。</w:t>
      </w:r>
    </w:p>
    <w:p w14:paraId="61980246">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2、项目服务要求</w:t>
      </w:r>
    </w:p>
    <w:p w14:paraId="3C1DA5C6">
      <w:pPr>
        <w:pStyle w:val="5"/>
        <w:spacing w:before="231" w:line="401" w:lineRule="auto"/>
        <w:ind w:left="7" w:right="82" w:firstLine="49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（1）食材配送品种（以下类别、品种的规格及数量，具体以采购人提供的每日采购计划为准）</w:t>
      </w:r>
    </w:p>
    <w:p w14:paraId="450B774B">
      <w:pPr>
        <w:pStyle w:val="5"/>
        <w:spacing w:before="2" w:line="318" w:lineRule="auto"/>
        <w:ind w:left="11" w:firstLine="47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①菜品配送要求：每天不少于</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5"/>
          <w:sz w:val="24"/>
          <w:szCs w:val="24"/>
          <w:highlight w:val="none"/>
        </w:rPr>
        <w:t>10</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5"/>
          <w:sz w:val="24"/>
          <w:szCs w:val="24"/>
          <w:highlight w:val="none"/>
        </w:rPr>
        <w:t>个菜品，每天配送所需（早、中、</w:t>
      </w:r>
      <w:r>
        <w:rPr>
          <w:rFonts w:hint="eastAsia" w:ascii="宋体" w:hAnsi="宋体" w:eastAsia="宋体" w:cs="宋体"/>
          <w:color w:val="auto"/>
          <w:spacing w:val="-6"/>
          <w:sz w:val="24"/>
          <w:szCs w:val="24"/>
          <w:highlight w:val="none"/>
        </w:rPr>
        <w:t>晚餐）的食材、</w:t>
      </w:r>
      <w:r>
        <w:rPr>
          <w:rFonts w:hint="eastAsia" w:ascii="宋体" w:hAnsi="宋体" w:eastAsia="宋体" w:cs="宋体"/>
          <w:color w:val="auto"/>
          <w:spacing w:val="-1"/>
          <w:sz w:val="24"/>
          <w:szCs w:val="24"/>
          <w:highlight w:val="none"/>
        </w:rPr>
        <w:t>调料、主食(含成品)及半成品，包含但不限于以下内容：</w:t>
      </w:r>
    </w:p>
    <w:tbl>
      <w:tblPr>
        <w:tblStyle w:val="12"/>
        <w:tblW w:w="8834" w:type="dxa"/>
        <w:tblInd w:w="2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869"/>
        <w:gridCol w:w="7174"/>
      </w:tblGrid>
      <w:tr w14:paraId="601CA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791" w:type="dxa"/>
            <w:vAlign w:val="center"/>
          </w:tcPr>
          <w:p w14:paraId="5F550A91">
            <w:pPr>
              <w:pStyle w:val="14"/>
              <w:spacing w:before="66" w:line="220" w:lineRule="auto"/>
              <w:ind w:left="114"/>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869" w:type="dxa"/>
            <w:vAlign w:val="center"/>
          </w:tcPr>
          <w:p w14:paraId="0F0B9BEB">
            <w:pPr>
              <w:pStyle w:val="14"/>
              <w:spacing w:before="66" w:line="220" w:lineRule="auto"/>
              <w:ind w:left="114"/>
              <w:jc w:val="center"/>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类别</w:t>
            </w:r>
          </w:p>
        </w:tc>
        <w:tc>
          <w:tcPr>
            <w:tcW w:w="7174" w:type="dxa"/>
            <w:vAlign w:val="center"/>
          </w:tcPr>
          <w:p w14:paraId="5E7B8D5D">
            <w:pPr>
              <w:pStyle w:val="14"/>
              <w:spacing w:before="66" w:line="220" w:lineRule="auto"/>
              <w:ind w:left="2996"/>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品种（类）</w:t>
            </w:r>
          </w:p>
        </w:tc>
      </w:tr>
      <w:tr w14:paraId="22292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91" w:type="dxa"/>
            <w:vAlign w:val="center"/>
          </w:tcPr>
          <w:p w14:paraId="6AF6E10F">
            <w:pPr>
              <w:pStyle w:val="14"/>
              <w:spacing w:before="78" w:line="242" w:lineRule="auto"/>
              <w:ind w:left="31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69" w:type="dxa"/>
            <w:vAlign w:val="center"/>
          </w:tcPr>
          <w:p w14:paraId="671E4D66">
            <w:pPr>
              <w:pStyle w:val="14"/>
              <w:spacing w:before="78" w:line="220" w:lineRule="auto"/>
              <w:ind w:left="145"/>
              <w:jc w:val="left"/>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蔬菜类</w:t>
            </w:r>
          </w:p>
        </w:tc>
        <w:tc>
          <w:tcPr>
            <w:tcW w:w="7174" w:type="dxa"/>
            <w:vAlign w:val="center"/>
          </w:tcPr>
          <w:p w14:paraId="529D13B1">
            <w:pPr>
              <w:pStyle w:val="14"/>
              <w:spacing w:before="74" w:line="239" w:lineRule="auto"/>
              <w:ind w:left="111" w:right="27" w:firstLine="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包菜、菠菜、蚕豆米、大白菜、小白菜、冬瓜、番茄、篙芭、广东</w:t>
            </w:r>
            <w:r>
              <w:rPr>
                <w:rFonts w:hint="eastAsia" w:ascii="宋体" w:hAnsi="宋体" w:eastAsia="宋体" w:cs="宋体"/>
                <w:color w:val="auto"/>
                <w:spacing w:val="-10"/>
                <w:sz w:val="24"/>
                <w:szCs w:val="24"/>
                <w:highlight w:val="none"/>
              </w:rPr>
              <w:t>菜心、红椒、红薯、胡萝卜、葫芦、瓠子</w:t>
            </w:r>
            <w:r>
              <w:rPr>
                <w:rFonts w:hint="eastAsia" w:ascii="宋体" w:hAnsi="宋体" w:eastAsia="宋体" w:cs="宋体"/>
                <w:color w:val="auto"/>
                <w:spacing w:val="-11"/>
                <w:sz w:val="24"/>
                <w:szCs w:val="24"/>
                <w:highlight w:val="none"/>
              </w:rPr>
              <w:t>、花菜、绿豆芽、黄豆芽、</w:t>
            </w:r>
            <w:r>
              <w:rPr>
                <w:rFonts w:hint="eastAsia" w:ascii="宋体" w:hAnsi="宋体" w:eastAsia="宋体" w:cs="宋体"/>
                <w:color w:val="auto"/>
                <w:spacing w:val="-7"/>
                <w:sz w:val="24"/>
                <w:szCs w:val="24"/>
                <w:highlight w:val="none"/>
              </w:rPr>
              <w:t>黄瓜、金针菇、板栗、韭菜、韭黄、韭菜花、苦瓜、篱蒿、毛豆米、</w:t>
            </w:r>
            <w:r>
              <w:rPr>
                <w:rFonts w:hint="eastAsia" w:ascii="宋体" w:hAnsi="宋体" w:eastAsia="宋体" w:cs="宋体"/>
                <w:color w:val="auto"/>
                <w:spacing w:val="-2"/>
                <w:sz w:val="24"/>
                <w:szCs w:val="24"/>
                <w:highlight w:val="none"/>
              </w:rPr>
              <w:t>嫩南瓜、藕、平菇、茄子、豆角、山药、玉米粒、生菜、丝瓜、四</w:t>
            </w:r>
            <w:r>
              <w:rPr>
                <w:rFonts w:hint="eastAsia" w:ascii="宋体" w:hAnsi="宋体" w:eastAsia="宋体" w:cs="宋体"/>
                <w:color w:val="auto"/>
                <w:sz w:val="24"/>
                <w:szCs w:val="24"/>
                <w:highlight w:val="none"/>
              </w:rPr>
              <w:t>季豆、蒜苗、笋瓜、土豆、芹菜、豌豆米、莴苣叶、西芹、苋菜、香菜、小红番茄、芋头、杏鲍菇、洋葱、油麦菜、竹叶菜、竹叶、</w:t>
            </w:r>
            <w:r>
              <w:rPr>
                <w:rFonts w:hint="eastAsia" w:ascii="宋体" w:hAnsi="宋体" w:eastAsia="宋体" w:cs="宋体"/>
                <w:color w:val="auto"/>
                <w:spacing w:val="-3"/>
                <w:sz w:val="24"/>
                <w:szCs w:val="24"/>
                <w:highlight w:val="none"/>
              </w:rPr>
              <w:t>菜梗等</w:t>
            </w:r>
          </w:p>
        </w:tc>
      </w:tr>
      <w:tr w14:paraId="36000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791" w:type="dxa"/>
            <w:vAlign w:val="center"/>
          </w:tcPr>
          <w:p w14:paraId="3BBBCBB6">
            <w:pPr>
              <w:pStyle w:val="14"/>
              <w:spacing w:before="159" w:line="242" w:lineRule="auto"/>
              <w:ind w:left="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69" w:type="dxa"/>
            <w:vAlign w:val="center"/>
          </w:tcPr>
          <w:p w14:paraId="4A6EC53F">
            <w:pPr>
              <w:pStyle w:val="14"/>
              <w:spacing w:before="160" w:line="220" w:lineRule="auto"/>
              <w:ind w:left="142"/>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禽蛋类</w:t>
            </w:r>
          </w:p>
        </w:tc>
        <w:tc>
          <w:tcPr>
            <w:tcW w:w="7174" w:type="dxa"/>
            <w:vAlign w:val="center"/>
          </w:tcPr>
          <w:p w14:paraId="14F6B08A">
            <w:pPr>
              <w:pStyle w:val="14"/>
              <w:spacing w:before="239" w:line="220" w:lineRule="auto"/>
              <w:ind w:left="117"/>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皮蛋、鹌鹑蛋、鸡蛋、咸鸭蛋等。</w:t>
            </w:r>
          </w:p>
        </w:tc>
      </w:tr>
      <w:tr w14:paraId="6A785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791" w:type="dxa"/>
            <w:vAlign w:val="center"/>
          </w:tcPr>
          <w:p w14:paraId="505F5537">
            <w:pPr>
              <w:pStyle w:val="14"/>
              <w:spacing w:before="178"/>
              <w:ind w:left="30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69" w:type="dxa"/>
            <w:vAlign w:val="center"/>
          </w:tcPr>
          <w:p w14:paraId="3ACFAE45">
            <w:pPr>
              <w:pStyle w:val="14"/>
              <w:spacing w:before="178" w:line="220" w:lineRule="auto"/>
              <w:ind w:left="143"/>
              <w:jc w:val="left"/>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水产类</w:t>
            </w:r>
          </w:p>
        </w:tc>
        <w:tc>
          <w:tcPr>
            <w:tcW w:w="7174" w:type="dxa"/>
            <w:vAlign w:val="center"/>
          </w:tcPr>
          <w:p w14:paraId="0C38A431">
            <w:pPr>
              <w:pStyle w:val="14"/>
              <w:spacing w:before="99" w:line="242" w:lineRule="auto"/>
              <w:ind w:left="111" w:right="2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鳊鱼、财鱼、刁子鱼、鳜鱼、河虾、鲫鱼、净鱼块、鲢子鱼、鲈鱼、</w:t>
            </w:r>
            <w:r>
              <w:rPr>
                <w:rFonts w:hint="eastAsia" w:ascii="宋体" w:hAnsi="宋体" w:eastAsia="宋体" w:cs="宋体"/>
                <w:color w:val="auto"/>
                <w:spacing w:val="-1"/>
                <w:sz w:val="24"/>
                <w:szCs w:val="24"/>
                <w:highlight w:val="none"/>
              </w:rPr>
              <w:t>鲶鱼、牛蛙、胖头鱼、鳝鱼、带鱼、泥鳅等。</w:t>
            </w:r>
          </w:p>
        </w:tc>
      </w:tr>
      <w:tr w14:paraId="3E0C4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791" w:type="dxa"/>
            <w:vAlign w:val="center"/>
          </w:tcPr>
          <w:p w14:paraId="7310EFA2">
            <w:pPr>
              <w:pStyle w:val="14"/>
              <w:spacing w:before="308" w:line="242" w:lineRule="auto"/>
              <w:ind w:left="29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869" w:type="dxa"/>
            <w:vAlign w:val="center"/>
          </w:tcPr>
          <w:p w14:paraId="3E6E625B">
            <w:pPr>
              <w:pStyle w:val="14"/>
              <w:spacing w:before="308" w:line="220" w:lineRule="auto"/>
              <w:ind w:left="284"/>
              <w:jc w:val="left"/>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肉类</w:t>
            </w:r>
          </w:p>
        </w:tc>
        <w:tc>
          <w:tcPr>
            <w:tcW w:w="7174" w:type="dxa"/>
            <w:vAlign w:val="center"/>
          </w:tcPr>
          <w:p w14:paraId="4E600103">
            <w:pPr>
              <w:pStyle w:val="14"/>
              <w:spacing w:before="74" w:line="237" w:lineRule="auto"/>
              <w:ind w:left="112" w:right="27" w:firstLine="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牛肉、牛肚、牛腩、肉丁、肉丝、肉片、筒子骨、五花肉、鸭块、</w:t>
            </w:r>
            <w:r>
              <w:rPr>
                <w:rFonts w:hint="eastAsia" w:ascii="宋体" w:hAnsi="宋体" w:eastAsia="宋体" w:cs="宋体"/>
                <w:color w:val="auto"/>
                <w:spacing w:val="-7"/>
                <w:sz w:val="24"/>
                <w:szCs w:val="24"/>
                <w:highlight w:val="none"/>
              </w:rPr>
              <w:t>鸭腿、羊肉、猪肚、猪肝、猪心、猪血、土鸡、鸡爪、鸡块、鸡腿、</w:t>
            </w:r>
            <w:r>
              <w:rPr>
                <w:rFonts w:hint="eastAsia" w:ascii="宋体" w:hAnsi="宋体" w:eastAsia="宋体" w:cs="宋体"/>
                <w:color w:val="auto"/>
                <w:spacing w:val="-2"/>
                <w:sz w:val="24"/>
                <w:szCs w:val="24"/>
                <w:highlight w:val="none"/>
              </w:rPr>
              <w:t>鸡翅、猪排等。</w:t>
            </w:r>
          </w:p>
        </w:tc>
      </w:tr>
      <w:tr w14:paraId="101F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791" w:type="dxa"/>
            <w:vAlign w:val="center"/>
          </w:tcPr>
          <w:p w14:paraId="78B545CE">
            <w:pPr>
              <w:pStyle w:val="14"/>
              <w:spacing w:before="146"/>
              <w:ind w:left="301"/>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69" w:type="dxa"/>
            <w:vAlign w:val="center"/>
          </w:tcPr>
          <w:p w14:paraId="782CA15B">
            <w:pPr>
              <w:pStyle w:val="14"/>
              <w:spacing w:before="146" w:line="220" w:lineRule="auto"/>
              <w:ind w:left="14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冻品类</w:t>
            </w:r>
          </w:p>
        </w:tc>
        <w:tc>
          <w:tcPr>
            <w:tcW w:w="7174" w:type="dxa"/>
            <w:vAlign w:val="center"/>
          </w:tcPr>
          <w:p w14:paraId="270021F2">
            <w:pPr>
              <w:pStyle w:val="14"/>
              <w:spacing w:before="223" w:line="220" w:lineRule="auto"/>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冻鸡块、冻鸭块、冻剥皮鱼、冻带鱼、冻小黄鱼、冻牛肉、海带等。</w:t>
            </w:r>
          </w:p>
        </w:tc>
      </w:tr>
      <w:tr w14:paraId="29946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791" w:type="dxa"/>
            <w:vAlign w:val="center"/>
          </w:tcPr>
          <w:p w14:paraId="1BD95F57">
            <w:pPr>
              <w:pStyle w:val="14"/>
              <w:spacing w:before="201"/>
              <w:ind w:left="29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69" w:type="dxa"/>
            <w:vAlign w:val="center"/>
          </w:tcPr>
          <w:p w14:paraId="2202B578">
            <w:pPr>
              <w:pStyle w:val="14"/>
              <w:spacing w:before="201" w:line="221" w:lineRule="auto"/>
              <w:ind w:left="141"/>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豆制品</w:t>
            </w:r>
          </w:p>
        </w:tc>
        <w:tc>
          <w:tcPr>
            <w:tcW w:w="7174" w:type="dxa"/>
            <w:vAlign w:val="center"/>
          </w:tcPr>
          <w:p w14:paraId="7BD944DC">
            <w:pPr>
              <w:pStyle w:val="14"/>
              <w:spacing w:before="123" w:line="242" w:lineRule="auto"/>
              <w:ind w:left="118" w:right="107" w:hanging="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柴火豆腐、臭干子、豆腐泡、豆油皮、腐竹、干子、老豆腐、霉千</w:t>
            </w:r>
            <w:r>
              <w:rPr>
                <w:rFonts w:hint="eastAsia" w:ascii="宋体" w:hAnsi="宋体" w:eastAsia="宋体" w:cs="宋体"/>
                <w:color w:val="auto"/>
                <w:spacing w:val="-1"/>
                <w:sz w:val="24"/>
                <w:szCs w:val="24"/>
                <w:highlight w:val="none"/>
              </w:rPr>
              <w:t>张筒、素鸡、蓑衣干子、香干、豆丝等。</w:t>
            </w:r>
          </w:p>
        </w:tc>
      </w:tr>
      <w:tr w14:paraId="75767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791" w:type="dxa"/>
            <w:vAlign w:val="center"/>
          </w:tcPr>
          <w:p w14:paraId="381F1D53">
            <w:pPr>
              <w:pStyle w:val="14"/>
              <w:spacing w:before="78"/>
              <w:ind w:left="30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869" w:type="dxa"/>
            <w:vAlign w:val="center"/>
          </w:tcPr>
          <w:p w14:paraId="56E5373C">
            <w:pPr>
              <w:pStyle w:val="14"/>
              <w:spacing w:before="78" w:line="221" w:lineRule="auto"/>
              <w:ind w:left="142"/>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调味品</w:t>
            </w:r>
          </w:p>
        </w:tc>
        <w:tc>
          <w:tcPr>
            <w:tcW w:w="7174" w:type="dxa"/>
            <w:vAlign w:val="center"/>
          </w:tcPr>
          <w:p w14:paraId="0D4A7465">
            <w:pPr>
              <w:pStyle w:val="14"/>
              <w:spacing w:before="105"/>
              <w:ind w:left="114" w:right="113" w:firstLine="3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白糖、白醋、冰糖、生粉、鸡精、味精、番茄酱、酱油、黄豆酱、</w:t>
            </w:r>
            <w:r>
              <w:rPr>
                <w:rFonts w:hint="eastAsia" w:ascii="宋体" w:hAnsi="宋体" w:eastAsia="宋体" w:cs="宋体"/>
                <w:color w:val="auto"/>
                <w:spacing w:val="-2"/>
                <w:sz w:val="24"/>
                <w:szCs w:val="24"/>
                <w:highlight w:val="none"/>
              </w:rPr>
              <w:t>耗油、生抽、老抽王、豆鼓、花椒粉、花椒油、辣椒酱、甜面酱、陈醋、料酒等。</w:t>
            </w:r>
          </w:p>
        </w:tc>
      </w:tr>
      <w:tr w14:paraId="1729A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791" w:type="dxa"/>
            <w:vAlign w:val="center"/>
          </w:tcPr>
          <w:p w14:paraId="2EDA8482">
            <w:pPr>
              <w:pStyle w:val="14"/>
              <w:spacing w:before="78"/>
              <w:ind w:left="298"/>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869" w:type="dxa"/>
            <w:vAlign w:val="center"/>
          </w:tcPr>
          <w:p w14:paraId="223A4C87">
            <w:pPr>
              <w:pStyle w:val="14"/>
              <w:spacing w:before="78" w:line="220" w:lineRule="auto"/>
              <w:ind w:left="142"/>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调料类</w:t>
            </w:r>
          </w:p>
        </w:tc>
        <w:tc>
          <w:tcPr>
            <w:tcW w:w="7174" w:type="dxa"/>
            <w:vAlign w:val="center"/>
          </w:tcPr>
          <w:p w14:paraId="44B9A2DD">
            <w:pPr>
              <w:pStyle w:val="14"/>
              <w:spacing w:before="101"/>
              <w:ind w:left="117" w:right="2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八角、白果、白扣、陈皮、孜然、豆豉鲮鱼、山楂、十三香、剁椒、</w:t>
            </w:r>
            <w:r>
              <w:rPr>
                <w:rFonts w:hint="eastAsia" w:ascii="宋体" w:hAnsi="宋体" w:eastAsia="宋体" w:cs="宋体"/>
                <w:color w:val="auto"/>
                <w:sz w:val="24"/>
                <w:szCs w:val="24"/>
                <w:highlight w:val="none"/>
              </w:rPr>
              <w:t>五香粉、细孜然、香果、香叶、小茴香、玉果、碘盐、无碘食盐、</w:t>
            </w:r>
            <w:r>
              <w:rPr>
                <w:rFonts w:hint="eastAsia" w:ascii="宋体" w:hAnsi="宋体" w:eastAsia="宋体" w:cs="宋体"/>
                <w:color w:val="auto"/>
                <w:spacing w:val="-2"/>
                <w:sz w:val="24"/>
                <w:szCs w:val="24"/>
                <w:highlight w:val="none"/>
              </w:rPr>
              <w:t>芝麻酱、生粉等。</w:t>
            </w:r>
          </w:p>
        </w:tc>
      </w:tr>
      <w:tr w14:paraId="2CC36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91" w:type="dxa"/>
            <w:vAlign w:val="center"/>
          </w:tcPr>
          <w:p w14:paraId="5E46CB88">
            <w:pPr>
              <w:pStyle w:val="14"/>
              <w:spacing w:before="205"/>
              <w:ind w:left="298"/>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869" w:type="dxa"/>
            <w:vAlign w:val="center"/>
          </w:tcPr>
          <w:p w14:paraId="60DF1B2C">
            <w:pPr>
              <w:pStyle w:val="14"/>
              <w:spacing w:before="205" w:line="219" w:lineRule="auto"/>
              <w:ind w:left="139"/>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干货类</w:t>
            </w:r>
          </w:p>
        </w:tc>
        <w:tc>
          <w:tcPr>
            <w:tcW w:w="7174" w:type="dxa"/>
            <w:vAlign w:val="center"/>
          </w:tcPr>
          <w:p w14:paraId="3F583163">
            <w:pPr>
              <w:pStyle w:val="14"/>
              <w:spacing w:before="124" w:line="242" w:lineRule="auto"/>
              <w:ind w:left="112" w:right="113" w:firstLine="35"/>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白木耳、白芝麻、干豆角、干腐竹、香菇、枸杞、黑木耳、红枣、</w:t>
            </w:r>
            <w:r>
              <w:rPr>
                <w:rFonts w:hint="eastAsia" w:ascii="宋体" w:hAnsi="宋体" w:eastAsia="宋体" w:cs="宋体"/>
                <w:color w:val="auto"/>
                <w:spacing w:val="-1"/>
                <w:sz w:val="24"/>
                <w:szCs w:val="24"/>
                <w:highlight w:val="none"/>
              </w:rPr>
              <w:t>梅干菜、花生米等。</w:t>
            </w:r>
          </w:p>
        </w:tc>
      </w:tr>
      <w:tr w14:paraId="5690D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trPr>
        <w:tc>
          <w:tcPr>
            <w:tcW w:w="791" w:type="dxa"/>
            <w:vAlign w:val="center"/>
          </w:tcPr>
          <w:p w14:paraId="28ED6F19">
            <w:pPr>
              <w:pStyle w:val="14"/>
              <w:spacing w:before="238"/>
              <w:ind w:left="254"/>
              <w:jc w:val="left"/>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10</w:t>
            </w:r>
          </w:p>
        </w:tc>
        <w:tc>
          <w:tcPr>
            <w:tcW w:w="869" w:type="dxa"/>
            <w:vAlign w:val="center"/>
          </w:tcPr>
          <w:p w14:paraId="2782DD08">
            <w:pPr>
              <w:pStyle w:val="14"/>
              <w:spacing w:before="238" w:line="220" w:lineRule="auto"/>
              <w:ind w:left="142"/>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主食类</w:t>
            </w:r>
          </w:p>
        </w:tc>
        <w:tc>
          <w:tcPr>
            <w:tcW w:w="7174" w:type="dxa"/>
            <w:vAlign w:val="center"/>
          </w:tcPr>
          <w:p w14:paraId="6EB891E5">
            <w:pPr>
              <w:pStyle w:val="14"/>
              <w:spacing w:before="159" w:line="242" w:lineRule="auto"/>
              <w:ind w:left="115" w:right="2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奶粉、宽粉、热干面、细粉、小米、小麦仁、玉米渣、面粉、黄豆、</w:t>
            </w:r>
            <w:r>
              <w:rPr>
                <w:rFonts w:hint="eastAsia" w:ascii="宋体" w:hAnsi="宋体" w:eastAsia="宋体" w:cs="宋体"/>
                <w:color w:val="auto"/>
                <w:spacing w:val="-3"/>
                <w:sz w:val="24"/>
                <w:szCs w:val="24"/>
                <w:highlight w:val="none"/>
              </w:rPr>
              <w:t>绿豆等。</w:t>
            </w:r>
          </w:p>
        </w:tc>
      </w:tr>
      <w:tr w14:paraId="320A9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1" w:type="dxa"/>
            <w:vAlign w:val="center"/>
          </w:tcPr>
          <w:p w14:paraId="01DADE28">
            <w:pPr>
              <w:pStyle w:val="14"/>
              <w:spacing w:before="273" w:line="242" w:lineRule="auto"/>
              <w:ind w:left="254"/>
              <w:jc w:val="left"/>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11</w:t>
            </w:r>
          </w:p>
        </w:tc>
        <w:tc>
          <w:tcPr>
            <w:tcW w:w="869" w:type="dxa"/>
            <w:vAlign w:val="center"/>
          </w:tcPr>
          <w:p w14:paraId="0792DA30">
            <w:pPr>
              <w:pStyle w:val="14"/>
              <w:spacing w:before="238" w:line="220" w:lineRule="auto"/>
              <w:ind w:left="142"/>
              <w:jc w:val="left"/>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主食成品类</w:t>
            </w:r>
          </w:p>
        </w:tc>
        <w:tc>
          <w:tcPr>
            <w:tcW w:w="7174" w:type="dxa"/>
            <w:vAlign w:val="center"/>
          </w:tcPr>
          <w:p w14:paraId="55B8998D">
            <w:pPr>
              <w:pStyle w:val="14"/>
              <w:spacing w:before="78" w:line="220" w:lineRule="auto"/>
              <w:ind w:left="11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馒头、花卷、面窝、包子类、饺子类等</w:t>
            </w:r>
          </w:p>
        </w:tc>
      </w:tr>
      <w:tr w14:paraId="01FCE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91" w:type="dxa"/>
            <w:vAlign w:val="center"/>
          </w:tcPr>
          <w:p w14:paraId="0A9235D3">
            <w:pPr>
              <w:pStyle w:val="14"/>
              <w:spacing w:before="271" w:line="242" w:lineRule="auto"/>
              <w:ind w:left="254"/>
              <w:jc w:val="left"/>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12</w:t>
            </w:r>
          </w:p>
        </w:tc>
        <w:tc>
          <w:tcPr>
            <w:tcW w:w="869" w:type="dxa"/>
            <w:vAlign w:val="center"/>
          </w:tcPr>
          <w:p w14:paraId="1CC33D74">
            <w:pPr>
              <w:pStyle w:val="14"/>
              <w:spacing w:before="238" w:line="220" w:lineRule="auto"/>
              <w:ind w:left="142"/>
              <w:jc w:val="left"/>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半成品类</w:t>
            </w:r>
          </w:p>
        </w:tc>
        <w:tc>
          <w:tcPr>
            <w:tcW w:w="7174" w:type="dxa"/>
            <w:vAlign w:val="center"/>
          </w:tcPr>
          <w:p w14:paraId="189B2551">
            <w:pPr>
              <w:pStyle w:val="14"/>
              <w:spacing w:before="78" w:line="220" w:lineRule="auto"/>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肉丝、肉馅等</w:t>
            </w:r>
          </w:p>
        </w:tc>
      </w:tr>
    </w:tbl>
    <w:p w14:paraId="5351CBCB">
      <w:pPr>
        <w:pStyle w:val="5"/>
        <w:spacing w:before="78" w:line="218" w:lineRule="auto"/>
        <w:ind w:left="48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②奶制品配送要求：每天配送(早、中餐)所需的鲜奶或酸奶，规格为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180ML。</w:t>
      </w:r>
    </w:p>
    <w:p w14:paraId="0C0D929E">
      <w:pPr>
        <w:pStyle w:val="5"/>
        <w:spacing w:before="234" w:line="401" w:lineRule="auto"/>
        <w:ind w:left="15" w:firstLine="47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③水果配送要求：每天配送(早、中餐)所需的水果包含但不限于：</w:t>
      </w:r>
      <w:r>
        <w:rPr>
          <w:rFonts w:hint="eastAsia" w:ascii="宋体" w:hAnsi="宋体" w:eastAsia="宋体" w:cs="宋体"/>
          <w:color w:val="auto"/>
          <w:spacing w:val="-8"/>
          <w:sz w:val="24"/>
          <w:szCs w:val="24"/>
          <w:highlight w:val="none"/>
        </w:rPr>
        <w:t>苹果、香蕉、梨、</w:t>
      </w:r>
      <w:r>
        <w:rPr>
          <w:rFonts w:hint="eastAsia" w:ascii="宋体" w:hAnsi="宋体" w:eastAsia="宋体" w:cs="宋体"/>
          <w:color w:val="auto"/>
          <w:spacing w:val="-1"/>
          <w:sz w:val="24"/>
          <w:szCs w:val="24"/>
          <w:highlight w:val="none"/>
        </w:rPr>
        <w:t>西瓜、荔枝、黑布林、葡萄、枣子、桔子等。</w:t>
      </w:r>
    </w:p>
    <w:p w14:paraId="75DCDC38">
      <w:pPr>
        <w:pStyle w:val="5"/>
        <w:spacing w:before="1" w:line="399" w:lineRule="auto"/>
        <w:ind w:left="9" w:right="80"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④食堂用品要求：每天配送所需的食堂用品包含但不限于：一次性</w:t>
      </w:r>
      <w:r>
        <w:rPr>
          <w:rFonts w:hint="eastAsia" w:ascii="宋体" w:hAnsi="宋体" w:eastAsia="宋体" w:cs="宋体"/>
          <w:color w:val="auto"/>
          <w:spacing w:val="-4"/>
          <w:sz w:val="24"/>
          <w:szCs w:val="24"/>
          <w:highlight w:val="none"/>
        </w:rPr>
        <w:t>碗筷、一次性桌</w:t>
      </w:r>
      <w:r>
        <w:rPr>
          <w:rFonts w:hint="eastAsia" w:ascii="宋体" w:hAnsi="宋体" w:eastAsia="宋体" w:cs="宋体"/>
          <w:color w:val="auto"/>
          <w:spacing w:val="-2"/>
          <w:sz w:val="24"/>
          <w:szCs w:val="24"/>
          <w:highlight w:val="none"/>
        </w:rPr>
        <w:t>布、洗洁精等。</w:t>
      </w:r>
    </w:p>
    <w:p w14:paraId="5E652478">
      <w:pPr>
        <w:pStyle w:val="5"/>
        <w:spacing w:before="1" w:line="399" w:lineRule="auto"/>
        <w:ind w:left="8" w:right="14"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⑤副食品配送要求：每天配送所需的副食品包含但不</w:t>
      </w:r>
      <w:r>
        <w:rPr>
          <w:rFonts w:hint="eastAsia" w:ascii="宋体" w:hAnsi="宋体" w:eastAsia="宋体" w:cs="宋体"/>
          <w:color w:val="auto"/>
          <w:spacing w:val="-2"/>
          <w:sz w:val="24"/>
          <w:szCs w:val="24"/>
          <w:highlight w:val="none"/>
        </w:rPr>
        <w:t>限于：方便面、面包、饼干、糕点、矿泉水等。</w:t>
      </w:r>
    </w:p>
    <w:p w14:paraId="740827DE">
      <w:pPr>
        <w:pStyle w:val="5"/>
        <w:spacing w:line="219"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（2）食材质量要求</w:t>
      </w:r>
    </w:p>
    <w:p w14:paraId="109CCA94">
      <w:pPr>
        <w:pStyle w:val="5"/>
        <w:spacing w:before="237" w:line="383" w:lineRule="auto"/>
        <w:ind w:left="10" w:right="1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投标人供应的各类食材必须符合《中华人民共和国食品安</w:t>
      </w:r>
      <w:r>
        <w:rPr>
          <w:rFonts w:hint="eastAsia" w:ascii="宋体" w:hAnsi="宋体" w:eastAsia="宋体" w:cs="宋体"/>
          <w:color w:val="auto"/>
          <w:spacing w:val="-4"/>
          <w:sz w:val="24"/>
          <w:szCs w:val="24"/>
          <w:highlight w:val="none"/>
        </w:rPr>
        <w:t>全法》、《中华人民共和</w:t>
      </w:r>
      <w:r>
        <w:rPr>
          <w:rFonts w:hint="eastAsia" w:ascii="宋体" w:hAnsi="宋体" w:eastAsia="宋体" w:cs="宋体"/>
          <w:color w:val="auto"/>
          <w:spacing w:val="-3"/>
          <w:sz w:val="24"/>
          <w:szCs w:val="24"/>
          <w:highlight w:val="none"/>
        </w:rPr>
        <w:t>国产品质量法》、《中华人民共和国食品卫生法》、《农产品安全质量无公害蔬</w:t>
      </w:r>
      <w:r>
        <w:rPr>
          <w:rFonts w:hint="eastAsia" w:ascii="宋体" w:hAnsi="宋体" w:eastAsia="宋体" w:cs="宋体"/>
          <w:color w:val="auto"/>
          <w:spacing w:val="-4"/>
          <w:sz w:val="24"/>
          <w:szCs w:val="24"/>
          <w:highlight w:val="none"/>
        </w:rPr>
        <w:t>菜安全</w:t>
      </w:r>
      <w:r>
        <w:rPr>
          <w:rFonts w:hint="eastAsia" w:ascii="宋体" w:hAnsi="宋体" w:eastAsia="宋体" w:cs="宋体"/>
          <w:color w:val="auto"/>
          <w:spacing w:val="-1"/>
          <w:sz w:val="24"/>
          <w:szCs w:val="24"/>
          <w:highlight w:val="none"/>
        </w:rPr>
        <w:t>要求》、《食品中污染限量》、《食品安全国家标准（</w:t>
      </w:r>
      <w:r>
        <w:rPr>
          <w:rFonts w:hint="eastAsia" w:ascii="宋体" w:hAnsi="宋体" w:eastAsia="宋体" w:cs="宋体"/>
          <w:color w:val="auto"/>
          <w:spacing w:val="-2"/>
          <w:sz w:val="24"/>
          <w:szCs w:val="24"/>
          <w:highlight w:val="none"/>
        </w:rPr>
        <w:t>食品中农药最大残留限量）》、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《无公害农产品管理办法》等相关法律、法规和管理办法，确保所供物资符合卫</w:t>
      </w:r>
      <w:r>
        <w:rPr>
          <w:rFonts w:hint="eastAsia" w:ascii="宋体" w:hAnsi="宋体" w:eastAsia="宋体" w:cs="宋体"/>
          <w:color w:val="auto"/>
          <w:spacing w:val="-4"/>
          <w:sz w:val="24"/>
          <w:szCs w:val="24"/>
          <w:highlight w:val="none"/>
        </w:rPr>
        <w:t>生防疫</w:t>
      </w:r>
      <w:r>
        <w:rPr>
          <w:rFonts w:hint="eastAsia" w:ascii="宋体" w:hAnsi="宋体" w:eastAsia="宋体" w:cs="宋体"/>
          <w:color w:val="auto"/>
          <w:sz w:val="24"/>
          <w:szCs w:val="24"/>
          <w:highlight w:val="none"/>
        </w:rPr>
        <w:t>部门、检验检疫部门的各项合格指标，并按要求提供相</w:t>
      </w:r>
      <w:r>
        <w:rPr>
          <w:rFonts w:hint="eastAsia" w:ascii="宋体" w:hAnsi="宋体" w:eastAsia="宋体" w:cs="宋体"/>
          <w:color w:val="auto"/>
          <w:spacing w:val="-1"/>
          <w:sz w:val="24"/>
          <w:szCs w:val="24"/>
          <w:highlight w:val="none"/>
        </w:rPr>
        <w:t>应的检测报告及合格证书。</w:t>
      </w:r>
    </w:p>
    <w:p w14:paraId="00DBFBAD">
      <w:pPr>
        <w:pStyle w:val="5"/>
        <w:spacing w:before="188" w:line="400" w:lineRule="auto"/>
        <w:ind w:left="11" w:right="63"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投标人所提供食材应保证无污染，且确保食材来源、批次</w:t>
      </w:r>
      <w:r>
        <w:rPr>
          <w:rFonts w:hint="eastAsia" w:ascii="宋体" w:hAnsi="宋体" w:eastAsia="宋体" w:cs="宋体"/>
          <w:color w:val="auto"/>
          <w:spacing w:val="-4"/>
          <w:sz w:val="24"/>
          <w:szCs w:val="24"/>
          <w:highlight w:val="none"/>
        </w:rPr>
        <w:t>、数量、规格、销售主体</w:t>
      </w:r>
      <w:r>
        <w:rPr>
          <w:rFonts w:hint="eastAsia" w:ascii="宋体" w:hAnsi="宋体" w:eastAsia="宋体" w:cs="宋体"/>
          <w:color w:val="auto"/>
          <w:sz w:val="24"/>
          <w:szCs w:val="24"/>
          <w:highlight w:val="none"/>
        </w:rPr>
        <w:t>等关键数据可追溯。禁止提供非正规渠道、来历不明</w:t>
      </w:r>
      <w:r>
        <w:rPr>
          <w:rFonts w:hint="eastAsia" w:ascii="宋体" w:hAnsi="宋体" w:eastAsia="宋体" w:cs="宋体"/>
          <w:color w:val="auto"/>
          <w:spacing w:val="-1"/>
          <w:sz w:val="24"/>
          <w:szCs w:val="24"/>
          <w:highlight w:val="none"/>
        </w:rPr>
        <w:t>的冷链食品、进口冷链食品。</w:t>
      </w:r>
    </w:p>
    <w:p w14:paraId="6C7D74F1">
      <w:pPr>
        <w:pStyle w:val="5"/>
        <w:spacing w:line="400" w:lineRule="auto"/>
        <w:ind w:left="13" w:right="63" w:firstLine="50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以下要求中未尽事项，须按照国家相关法律法规要求以及食</w:t>
      </w:r>
      <w:r>
        <w:rPr>
          <w:rFonts w:hint="eastAsia" w:ascii="宋体" w:hAnsi="宋体" w:eastAsia="宋体" w:cs="宋体"/>
          <w:color w:val="auto"/>
          <w:spacing w:val="2"/>
          <w:sz w:val="24"/>
          <w:szCs w:val="24"/>
          <w:highlight w:val="none"/>
        </w:rPr>
        <w:t>材检验检疫的标准执</w:t>
      </w:r>
      <w:r>
        <w:rPr>
          <w:rFonts w:hint="eastAsia" w:ascii="宋体" w:hAnsi="宋体" w:eastAsia="宋体" w:cs="宋体"/>
          <w:color w:val="auto"/>
          <w:spacing w:val="-3"/>
          <w:sz w:val="24"/>
          <w:szCs w:val="24"/>
          <w:highlight w:val="none"/>
        </w:rPr>
        <w:t>行，拟投所有品目均要有正规厂家、厂址、生产日期等，在质保期内，剩</w:t>
      </w:r>
      <w:r>
        <w:rPr>
          <w:rFonts w:hint="eastAsia" w:ascii="宋体" w:hAnsi="宋体" w:eastAsia="宋体" w:cs="宋体"/>
          <w:color w:val="auto"/>
          <w:spacing w:val="-4"/>
          <w:sz w:val="24"/>
          <w:szCs w:val="24"/>
          <w:highlight w:val="none"/>
        </w:rPr>
        <w:t>余保质期不少</w:t>
      </w:r>
      <w:r>
        <w:rPr>
          <w:rFonts w:hint="eastAsia" w:ascii="宋体" w:hAnsi="宋体" w:eastAsia="宋体" w:cs="宋体"/>
          <w:color w:val="auto"/>
          <w:spacing w:val="-3"/>
          <w:sz w:val="24"/>
          <w:szCs w:val="24"/>
          <w:highlight w:val="none"/>
        </w:rPr>
        <w:t>于三分之二。</w:t>
      </w:r>
    </w:p>
    <w:p w14:paraId="4682D755">
      <w:pPr>
        <w:pStyle w:val="5"/>
        <w:spacing w:line="22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第一、肉类、水产类</w:t>
      </w:r>
    </w:p>
    <w:p w14:paraId="61C1F343">
      <w:pPr>
        <w:pStyle w:val="5"/>
        <w:spacing w:before="233" w:line="400" w:lineRule="auto"/>
        <w:ind w:left="13" w:right="63" w:firstLine="4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①畜肉、禽肉类产品必须具有动物检验检疫证明和“QS</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”食品质量认证标志，且必</w:t>
      </w:r>
      <w:r>
        <w:rPr>
          <w:rFonts w:hint="eastAsia" w:ascii="宋体" w:hAnsi="宋体" w:eastAsia="宋体" w:cs="宋体"/>
          <w:color w:val="auto"/>
          <w:spacing w:val="-2"/>
          <w:sz w:val="24"/>
          <w:szCs w:val="24"/>
          <w:highlight w:val="none"/>
        </w:rPr>
        <w:t>须符合国家食品安全标准。</w:t>
      </w:r>
    </w:p>
    <w:p w14:paraId="030D0388">
      <w:pPr>
        <w:pStyle w:val="5"/>
        <w:spacing w:before="3" w:line="399" w:lineRule="auto"/>
        <w:ind w:left="9" w:right="63"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②鲜猪肉必须为质量等级达到二级（含）以上标准的冷鲜肉。鲜度</w:t>
      </w:r>
      <w:r>
        <w:rPr>
          <w:rFonts w:hint="eastAsia" w:ascii="宋体" w:hAnsi="宋体" w:eastAsia="宋体" w:cs="宋体"/>
          <w:color w:val="auto"/>
          <w:spacing w:val="-4"/>
          <w:sz w:val="24"/>
          <w:szCs w:val="24"/>
          <w:highlight w:val="none"/>
        </w:rPr>
        <w:t>标准：肉质有弹</w:t>
      </w:r>
      <w:r>
        <w:rPr>
          <w:rFonts w:hint="eastAsia" w:ascii="宋体" w:hAnsi="宋体" w:eastAsia="宋体" w:cs="宋体"/>
          <w:color w:val="auto"/>
          <w:spacing w:val="-3"/>
          <w:sz w:val="24"/>
          <w:szCs w:val="24"/>
          <w:highlight w:val="none"/>
        </w:rPr>
        <w:t>性，指压后的凹陷立即恢复、脂肪为白色或乳白色、整体色泽光滑、切面红色、微</w:t>
      </w:r>
      <w:r>
        <w:rPr>
          <w:rFonts w:hint="eastAsia" w:ascii="宋体" w:hAnsi="宋体" w:eastAsia="宋体" w:cs="宋体"/>
          <w:color w:val="auto"/>
          <w:spacing w:val="-4"/>
          <w:sz w:val="24"/>
          <w:szCs w:val="24"/>
          <w:highlight w:val="none"/>
        </w:rPr>
        <w:t>微湿</w:t>
      </w:r>
      <w:r>
        <w:rPr>
          <w:rFonts w:hint="eastAsia" w:ascii="宋体" w:hAnsi="宋体" w:eastAsia="宋体" w:cs="宋体"/>
          <w:color w:val="auto"/>
          <w:spacing w:val="-1"/>
          <w:sz w:val="24"/>
          <w:szCs w:val="24"/>
          <w:highlight w:val="none"/>
        </w:rPr>
        <w:t>润但不粘手、无异味、无淤血、无注水、无寄生虫。</w:t>
      </w:r>
    </w:p>
    <w:p w14:paraId="59DC5780">
      <w:pPr>
        <w:pStyle w:val="5"/>
        <w:spacing w:line="400" w:lineRule="auto"/>
        <w:ind w:left="8"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③鲜牛肉质量标准：肉色深红、肉质有弹性、指压后的凹陷立即恢</w:t>
      </w:r>
      <w:r>
        <w:rPr>
          <w:rFonts w:hint="eastAsia" w:ascii="宋体" w:hAnsi="宋体" w:eastAsia="宋体" w:cs="宋体"/>
          <w:color w:val="auto"/>
          <w:spacing w:val="-4"/>
          <w:sz w:val="24"/>
          <w:szCs w:val="24"/>
          <w:highlight w:val="none"/>
        </w:rPr>
        <w:t>复，切面有光泽</w:t>
      </w:r>
      <w:r>
        <w:rPr>
          <w:rFonts w:hint="eastAsia" w:ascii="宋体" w:hAnsi="宋体" w:eastAsia="宋体" w:cs="宋体"/>
          <w:color w:val="auto"/>
          <w:spacing w:val="-7"/>
          <w:sz w:val="24"/>
          <w:szCs w:val="24"/>
          <w:highlight w:val="none"/>
        </w:rPr>
        <w:t>及微湿润，极小渗出物；具有浓郁的牛肉气味</w:t>
      </w:r>
      <w:r>
        <w:rPr>
          <w:rFonts w:hint="eastAsia" w:ascii="宋体" w:hAnsi="宋体" w:eastAsia="宋体" w:cs="宋体"/>
          <w:color w:val="auto"/>
          <w:spacing w:val="-8"/>
          <w:sz w:val="24"/>
          <w:szCs w:val="24"/>
          <w:highlight w:val="none"/>
        </w:rPr>
        <w:t>，脂肪白色或乳白色，无异味、无寄生虫，</w:t>
      </w:r>
      <w:r>
        <w:rPr>
          <w:rFonts w:hint="eastAsia" w:ascii="宋体" w:hAnsi="宋体" w:eastAsia="宋体" w:cs="宋体"/>
          <w:color w:val="auto"/>
          <w:spacing w:val="-3"/>
          <w:sz w:val="24"/>
          <w:szCs w:val="24"/>
          <w:highlight w:val="none"/>
        </w:rPr>
        <w:t>无注水。</w:t>
      </w:r>
    </w:p>
    <w:p w14:paraId="1FA0A137">
      <w:pPr>
        <w:pStyle w:val="5"/>
        <w:spacing w:before="2" w:line="399" w:lineRule="auto"/>
        <w:ind w:left="9" w:right="63"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④鲜羊肉质量标准：肉色为均匀的红色、有光泽、肉质紧密面细腻</w:t>
      </w:r>
      <w:r>
        <w:rPr>
          <w:rFonts w:hint="eastAsia" w:ascii="宋体" w:hAnsi="宋体" w:eastAsia="宋体" w:cs="宋体"/>
          <w:color w:val="auto"/>
          <w:spacing w:val="-4"/>
          <w:sz w:val="24"/>
          <w:szCs w:val="24"/>
          <w:highlight w:val="none"/>
        </w:rPr>
        <w:t>，有弹性、外表</w:t>
      </w:r>
      <w:r>
        <w:rPr>
          <w:rFonts w:hint="eastAsia" w:ascii="宋体" w:hAnsi="宋体" w:eastAsia="宋体" w:cs="宋体"/>
          <w:color w:val="auto"/>
          <w:sz w:val="24"/>
          <w:szCs w:val="24"/>
          <w:highlight w:val="none"/>
        </w:rPr>
        <w:t>微干、不粘手、肉皮为白至浅灰白色、无异</w:t>
      </w:r>
      <w:r>
        <w:rPr>
          <w:rFonts w:hint="eastAsia" w:ascii="宋体" w:hAnsi="宋体" w:eastAsia="宋体" w:cs="宋体"/>
          <w:color w:val="auto"/>
          <w:spacing w:val="-1"/>
          <w:sz w:val="24"/>
          <w:szCs w:val="24"/>
          <w:highlight w:val="none"/>
        </w:rPr>
        <w:t>味、无注水、无寄生虫。</w:t>
      </w:r>
    </w:p>
    <w:p w14:paraId="284F41A3">
      <w:pPr>
        <w:pStyle w:val="5"/>
        <w:spacing w:before="1" w:line="400" w:lineRule="auto"/>
        <w:ind w:left="13" w:right="63" w:firstLine="47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⑤鲜鸭质量标准：表皮光滑而有光泽、肉质弹性好且丰满、表皮无</w:t>
      </w:r>
      <w:r>
        <w:rPr>
          <w:rFonts w:hint="eastAsia" w:ascii="宋体" w:hAnsi="宋体" w:eastAsia="宋体" w:cs="宋体"/>
          <w:color w:val="auto"/>
          <w:spacing w:val="-4"/>
          <w:sz w:val="24"/>
          <w:szCs w:val="24"/>
          <w:highlight w:val="none"/>
        </w:rPr>
        <w:t>毛或少毛、无破</w:t>
      </w:r>
      <w:r>
        <w:rPr>
          <w:rFonts w:hint="eastAsia" w:ascii="宋体" w:hAnsi="宋体" w:eastAsia="宋体" w:cs="宋体"/>
          <w:color w:val="auto"/>
          <w:spacing w:val="-1"/>
          <w:sz w:val="24"/>
          <w:szCs w:val="24"/>
          <w:highlight w:val="none"/>
        </w:rPr>
        <w:t>皮、无花皮、无明显淤块；无注水、无内脏、无血水、无异味。</w:t>
      </w:r>
    </w:p>
    <w:p w14:paraId="2525B62B">
      <w:pPr>
        <w:pStyle w:val="5"/>
        <w:spacing w:before="4" w:line="399" w:lineRule="auto"/>
        <w:ind w:left="9" w:right="63"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⑥鲜鸡质量标准：外形完整、大小适中、具有鲜鸡肉正常气味。鸡</w:t>
      </w:r>
      <w:r>
        <w:rPr>
          <w:rFonts w:hint="eastAsia" w:ascii="宋体" w:hAnsi="宋体" w:eastAsia="宋体" w:cs="宋体"/>
          <w:color w:val="auto"/>
          <w:spacing w:val="-4"/>
          <w:sz w:val="24"/>
          <w:szCs w:val="24"/>
          <w:highlight w:val="none"/>
        </w:rPr>
        <w:t>肚内无内脏、眼</w:t>
      </w:r>
      <w:r>
        <w:rPr>
          <w:rFonts w:hint="eastAsia" w:ascii="宋体" w:hAnsi="宋体" w:eastAsia="宋体" w:cs="宋体"/>
          <w:color w:val="auto"/>
          <w:spacing w:val="-3"/>
          <w:sz w:val="24"/>
          <w:szCs w:val="24"/>
          <w:highlight w:val="none"/>
        </w:rPr>
        <w:t>球饱满，因品种不同而呈淡黄、淡红、灰白或灰黑等颜色，鸡肉切面发亮、外表微</w:t>
      </w:r>
      <w:r>
        <w:rPr>
          <w:rFonts w:hint="eastAsia" w:ascii="宋体" w:hAnsi="宋体" w:eastAsia="宋体" w:cs="宋体"/>
          <w:color w:val="auto"/>
          <w:spacing w:val="-4"/>
          <w:sz w:val="24"/>
          <w:szCs w:val="24"/>
          <w:highlight w:val="none"/>
        </w:rPr>
        <w:t>干或</w:t>
      </w:r>
      <w:r>
        <w:rPr>
          <w:rFonts w:hint="eastAsia" w:ascii="宋体" w:hAnsi="宋体" w:eastAsia="宋体" w:cs="宋体"/>
          <w:color w:val="auto"/>
          <w:spacing w:val="-3"/>
          <w:sz w:val="24"/>
          <w:szCs w:val="24"/>
          <w:highlight w:val="none"/>
        </w:rPr>
        <w:t>微湿润、不粘手、指按压凹陷立即恢复，淤血斑无或极少，无打水症状、无破皮、</w:t>
      </w:r>
      <w:r>
        <w:rPr>
          <w:rFonts w:hint="eastAsia" w:ascii="宋体" w:hAnsi="宋体" w:eastAsia="宋体" w:cs="宋体"/>
          <w:color w:val="auto"/>
          <w:spacing w:val="-4"/>
          <w:sz w:val="24"/>
          <w:szCs w:val="24"/>
          <w:highlight w:val="none"/>
        </w:rPr>
        <w:t>鸡翼</w:t>
      </w:r>
      <w:r>
        <w:rPr>
          <w:rFonts w:hint="eastAsia" w:ascii="宋体" w:hAnsi="宋体" w:eastAsia="宋体" w:cs="宋体"/>
          <w:color w:val="auto"/>
          <w:spacing w:val="-1"/>
          <w:sz w:val="24"/>
          <w:szCs w:val="24"/>
          <w:highlight w:val="none"/>
        </w:rPr>
        <w:t>部或关节，无骨折或因骨折破皮而使骨头外露。</w:t>
      </w:r>
    </w:p>
    <w:p w14:paraId="28B92720">
      <w:pPr>
        <w:pStyle w:val="5"/>
        <w:spacing w:before="1" w:line="400" w:lineRule="auto"/>
        <w:ind w:left="10" w:right="63" w:firstLine="4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⑦水产类质量标准：必须提供水产品的产地证明、检验合格证明等</w:t>
      </w:r>
      <w:r>
        <w:rPr>
          <w:rFonts w:hint="eastAsia" w:ascii="宋体" w:hAnsi="宋体" w:eastAsia="宋体" w:cs="宋体"/>
          <w:color w:val="auto"/>
          <w:spacing w:val="-4"/>
          <w:sz w:val="24"/>
          <w:szCs w:val="24"/>
          <w:highlight w:val="none"/>
        </w:rPr>
        <w:t>相关资质。新鲜</w:t>
      </w:r>
      <w:r>
        <w:rPr>
          <w:rFonts w:hint="eastAsia" w:ascii="宋体" w:hAnsi="宋体" w:eastAsia="宋体" w:cs="宋体"/>
          <w:color w:val="auto"/>
          <w:spacing w:val="-3"/>
          <w:sz w:val="24"/>
          <w:szCs w:val="24"/>
          <w:highlight w:val="none"/>
        </w:rPr>
        <w:t>鱼类要求鱼眼睛清亮，角膜透明，鳞片上覆有透明黏液层，皮肤天然色泽明显，</w:t>
      </w:r>
      <w:r>
        <w:rPr>
          <w:rFonts w:hint="eastAsia" w:ascii="宋体" w:hAnsi="宋体" w:eastAsia="宋体" w:cs="宋体"/>
          <w:color w:val="auto"/>
          <w:spacing w:val="-4"/>
          <w:sz w:val="24"/>
          <w:szCs w:val="24"/>
          <w:highlight w:val="none"/>
        </w:rPr>
        <w:t>必须来</w:t>
      </w:r>
      <w:r>
        <w:rPr>
          <w:rFonts w:hint="eastAsia" w:ascii="宋体" w:hAnsi="宋体" w:eastAsia="宋体" w:cs="宋体"/>
          <w:color w:val="auto"/>
          <w:spacing w:val="-3"/>
          <w:sz w:val="24"/>
          <w:szCs w:val="24"/>
          <w:highlight w:val="none"/>
        </w:rPr>
        <w:t>自无污染水域，新鲜度良好，组织紧密有弹性，无异味，无外来杂质，不含有毒</w:t>
      </w:r>
      <w:r>
        <w:rPr>
          <w:rFonts w:hint="eastAsia" w:ascii="宋体" w:hAnsi="宋体" w:eastAsia="宋体" w:cs="宋体"/>
          <w:color w:val="auto"/>
          <w:spacing w:val="-4"/>
          <w:sz w:val="24"/>
          <w:szCs w:val="24"/>
          <w:highlight w:val="none"/>
        </w:rPr>
        <w:t>有害物</w:t>
      </w:r>
      <w:r>
        <w:rPr>
          <w:rFonts w:hint="eastAsia" w:ascii="宋体" w:hAnsi="宋体" w:eastAsia="宋体" w:cs="宋体"/>
          <w:color w:val="auto"/>
          <w:spacing w:val="-1"/>
          <w:sz w:val="24"/>
          <w:szCs w:val="24"/>
          <w:highlight w:val="none"/>
        </w:rPr>
        <w:t>质。包装应清洁、坚实、无破损。</w:t>
      </w:r>
    </w:p>
    <w:p w14:paraId="11B6DF79">
      <w:pPr>
        <w:pStyle w:val="5"/>
        <w:keepNext w:val="0"/>
        <w:keepLines w:val="0"/>
        <w:pageBreakBefore w:val="0"/>
        <w:widowControl w:val="0"/>
        <w:kinsoku/>
        <w:wordWrap/>
        <w:overflowPunct/>
        <w:topLinePunct w:val="0"/>
        <w:autoSpaceDE/>
        <w:autoSpaceDN/>
        <w:bidi w:val="0"/>
        <w:adjustRightInd/>
        <w:snapToGrid/>
        <w:spacing w:before="189" w:line="401" w:lineRule="auto"/>
        <w:ind w:left="11" w:right="153" w:firstLine="484"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⑧冷冻禽类食品解冻后净重量不少于</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1"/>
          <w:sz w:val="24"/>
          <w:szCs w:val="24"/>
          <w:highlight w:val="none"/>
        </w:rPr>
        <w:t>90</w:t>
      </w:r>
      <w:r>
        <w:rPr>
          <w:rFonts w:hint="eastAsia" w:ascii="宋体" w:hAnsi="宋体" w:eastAsia="宋体" w:cs="宋体"/>
          <w:color w:val="auto"/>
          <w:spacing w:val="-21"/>
          <w:sz w:val="24"/>
          <w:szCs w:val="24"/>
          <w:highlight w:val="none"/>
        </w:rPr>
        <w:t>％</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21"/>
          <w:sz w:val="24"/>
          <w:szCs w:val="24"/>
          <w:highlight w:val="none"/>
        </w:rPr>
        <w:t>，</w:t>
      </w:r>
      <w:r>
        <w:rPr>
          <w:rFonts w:hint="eastAsia" w:ascii="宋体" w:hAnsi="宋体" w:eastAsia="宋体" w:cs="宋体"/>
          <w:color w:val="auto"/>
          <w:spacing w:val="1"/>
          <w:sz w:val="24"/>
          <w:szCs w:val="24"/>
          <w:highlight w:val="none"/>
        </w:rPr>
        <w:t>冷冻肉畜类食品解冻后净重量不少于</w:t>
      </w:r>
      <w:r>
        <w:rPr>
          <w:rFonts w:hint="eastAsia" w:ascii="宋体" w:hAnsi="宋体" w:eastAsia="宋体" w:cs="宋体"/>
          <w:color w:val="auto"/>
          <w:spacing w:val="-1"/>
          <w:sz w:val="24"/>
          <w:szCs w:val="24"/>
          <w:highlight w:val="none"/>
        </w:rPr>
        <w:t>92%，冷冻水产类食品解冻后净重量不少于82%。所有冷冻食品要求清晰列出产品品牌、</w:t>
      </w:r>
      <w:r>
        <w:rPr>
          <w:rFonts w:hint="eastAsia" w:ascii="宋体" w:hAnsi="宋体" w:eastAsia="宋体" w:cs="宋体"/>
          <w:color w:val="auto"/>
          <w:spacing w:val="-3"/>
          <w:sz w:val="24"/>
          <w:szCs w:val="24"/>
          <w:highlight w:val="none"/>
        </w:rPr>
        <w:t>规格、类型、包装方式、包装净重、含冰量等相关参数。且肉体冻实而坚硬，无</w:t>
      </w:r>
      <w:r>
        <w:rPr>
          <w:rFonts w:hint="eastAsia" w:ascii="宋体" w:hAnsi="宋体" w:eastAsia="宋体" w:cs="宋体"/>
          <w:color w:val="auto"/>
          <w:spacing w:val="-4"/>
          <w:sz w:val="24"/>
          <w:szCs w:val="24"/>
          <w:highlight w:val="none"/>
        </w:rPr>
        <w:t>化冻及</w:t>
      </w:r>
      <w:r>
        <w:rPr>
          <w:rFonts w:hint="eastAsia" w:ascii="宋体" w:hAnsi="宋体" w:eastAsia="宋体" w:cs="宋体"/>
          <w:color w:val="auto"/>
          <w:spacing w:val="-1"/>
          <w:sz w:val="24"/>
          <w:szCs w:val="24"/>
          <w:highlight w:val="none"/>
        </w:rPr>
        <w:t>复冻现象，交货时干净、新鲜、无异味，符合相关国标。</w:t>
      </w:r>
    </w:p>
    <w:p w14:paraId="7EF02029">
      <w:pPr>
        <w:pStyle w:val="5"/>
        <w:spacing w:line="400" w:lineRule="auto"/>
        <w:ind w:left="12" w:right="235" w:firstLine="475"/>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⑨所供货物应保持较好的外观和质量等级，符合国家食品部门的有</w:t>
      </w:r>
      <w:r>
        <w:rPr>
          <w:rFonts w:hint="eastAsia" w:ascii="宋体" w:hAnsi="宋体" w:eastAsia="宋体" w:cs="宋体"/>
          <w:color w:val="auto"/>
          <w:spacing w:val="-4"/>
          <w:sz w:val="24"/>
          <w:szCs w:val="24"/>
          <w:highlight w:val="none"/>
        </w:rPr>
        <w:t>关标准，保证无</w:t>
      </w:r>
      <w:r>
        <w:rPr>
          <w:rFonts w:hint="eastAsia" w:ascii="宋体" w:hAnsi="宋体" w:eastAsia="宋体" w:cs="宋体"/>
          <w:color w:val="auto"/>
          <w:spacing w:val="-3"/>
          <w:sz w:val="24"/>
          <w:szCs w:val="24"/>
          <w:highlight w:val="none"/>
        </w:rPr>
        <w:t>异味、无霉烂变质，肉类保证来源于正规肉类加工企业，供货时须提交当批</w:t>
      </w:r>
      <w:r>
        <w:rPr>
          <w:rFonts w:hint="eastAsia" w:ascii="宋体" w:hAnsi="宋体" w:eastAsia="宋体" w:cs="宋体"/>
          <w:color w:val="auto"/>
          <w:spacing w:val="-4"/>
          <w:sz w:val="24"/>
          <w:szCs w:val="24"/>
          <w:highlight w:val="none"/>
        </w:rPr>
        <w:t>次货物有效</w:t>
      </w:r>
      <w:r>
        <w:rPr>
          <w:rFonts w:hint="eastAsia" w:ascii="宋体" w:hAnsi="宋体" w:eastAsia="宋体" w:cs="宋体"/>
          <w:color w:val="auto"/>
          <w:spacing w:val="-1"/>
          <w:sz w:val="24"/>
          <w:szCs w:val="24"/>
          <w:highlight w:val="none"/>
        </w:rPr>
        <w:t>的动物检疫合格证复印件（原件备查）。</w:t>
      </w:r>
    </w:p>
    <w:p w14:paraId="4E509795">
      <w:pPr>
        <w:pStyle w:val="5"/>
        <w:spacing w:line="22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第二、蔬果类</w:t>
      </w:r>
    </w:p>
    <w:p w14:paraId="640E6FF5">
      <w:pPr>
        <w:pStyle w:val="5"/>
        <w:spacing w:before="232" w:line="218"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①质量要求：</w:t>
      </w:r>
    </w:p>
    <w:p w14:paraId="717AEE7D">
      <w:pPr>
        <w:pStyle w:val="5"/>
        <w:spacing w:before="238" w:line="400" w:lineRule="auto"/>
        <w:ind w:left="1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成熟度适中，新鲜，色泽良好，形态正常，个体均匀，清洗干净，符</w:t>
      </w:r>
      <w:r>
        <w:rPr>
          <w:rFonts w:hint="eastAsia" w:ascii="宋体" w:hAnsi="宋体" w:eastAsia="宋体" w:cs="宋体"/>
          <w:color w:val="auto"/>
          <w:spacing w:val="-5"/>
          <w:sz w:val="24"/>
          <w:szCs w:val="24"/>
          <w:highlight w:val="none"/>
        </w:rPr>
        <w:t>合“八无六有</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rPr>
        <w:t>要求。“八无</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4"/>
          <w:sz w:val="24"/>
          <w:szCs w:val="24"/>
          <w:highlight w:val="none"/>
        </w:rPr>
        <w:t>”：即无农药残留超标、无重金属残留超标，无亚硝酸盐残留超标、无青</w:t>
      </w:r>
      <w:r>
        <w:rPr>
          <w:rFonts w:hint="eastAsia" w:ascii="宋体" w:hAnsi="宋体" w:eastAsia="宋体" w:cs="宋体"/>
          <w:color w:val="auto"/>
          <w:sz w:val="24"/>
          <w:szCs w:val="24"/>
          <w:highlight w:val="none"/>
        </w:rPr>
        <w:t>帮老叶、茎叶类蔬菜无根须、无泥沙、无杂物</w:t>
      </w:r>
      <w:r>
        <w:rPr>
          <w:rFonts w:hint="eastAsia" w:ascii="宋体" w:hAnsi="宋体" w:eastAsia="宋体" w:cs="宋体"/>
          <w:color w:val="auto"/>
          <w:spacing w:val="-1"/>
          <w:sz w:val="24"/>
          <w:szCs w:val="24"/>
          <w:highlight w:val="none"/>
        </w:rPr>
        <w:t>、无其他污染；“六有</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”：有生产标准，有质量检测、有产品包装，有采摘日期、有产地标示、有冷链储运。</w:t>
      </w:r>
    </w:p>
    <w:p w14:paraId="03203299">
      <w:pPr>
        <w:pStyle w:val="5"/>
        <w:spacing w:before="1" w:line="217" w:lineRule="auto"/>
        <w:ind w:left="48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②具体要求：</w:t>
      </w:r>
    </w:p>
    <w:p w14:paraId="57F69319">
      <w:pPr>
        <w:pStyle w:val="5"/>
        <w:spacing w:before="235" w:line="400" w:lineRule="auto"/>
        <w:ind w:left="13" w:right="154" w:firstLine="49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1)各种蔬菜都应具有本品种固有的颜色，大多数有发亮的光泽，以此显示蔬菜的成</w:t>
      </w:r>
      <w:r>
        <w:rPr>
          <w:rFonts w:hint="eastAsia" w:ascii="宋体" w:hAnsi="宋体" w:eastAsia="宋体" w:cs="宋体"/>
          <w:color w:val="auto"/>
          <w:spacing w:val="-7"/>
          <w:sz w:val="24"/>
          <w:szCs w:val="24"/>
          <w:highlight w:val="none"/>
        </w:rPr>
        <w:t>熟度及鲜嫩程度；不允许有腐烂变质的亚硝酸盐味和其他异常气味；应避</w:t>
      </w:r>
      <w:r>
        <w:rPr>
          <w:rFonts w:hint="eastAsia" w:ascii="宋体" w:hAnsi="宋体" w:eastAsia="宋体" w:cs="宋体"/>
          <w:color w:val="auto"/>
          <w:spacing w:val="-8"/>
          <w:sz w:val="24"/>
          <w:szCs w:val="24"/>
          <w:highlight w:val="none"/>
        </w:rPr>
        <w:t>免各种非正常、</w:t>
      </w:r>
      <w:r>
        <w:rPr>
          <w:rFonts w:hint="eastAsia" w:ascii="宋体" w:hAnsi="宋体" w:eastAsia="宋体" w:cs="宋体"/>
          <w:color w:val="auto"/>
          <w:sz w:val="24"/>
          <w:szCs w:val="24"/>
          <w:highlight w:val="none"/>
        </w:rPr>
        <w:t>不新鲜的蔬菜，例如萎蔫、枯塌、损伤、病变</w:t>
      </w:r>
      <w:r>
        <w:rPr>
          <w:rFonts w:hint="eastAsia" w:ascii="宋体" w:hAnsi="宋体" w:eastAsia="宋体" w:cs="宋体"/>
          <w:color w:val="auto"/>
          <w:spacing w:val="-1"/>
          <w:sz w:val="24"/>
          <w:szCs w:val="24"/>
          <w:highlight w:val="none"/>
        </w:rPr>
        <w:t>、虫害侵蚀等引起的形态异常等。</w:t>
      </w:r>
    </w:p>
    <w:p w14:paraId="3057EBD1">
      <w:pPr>
        <w:pStyle w:val="5"/>
        <w:spacing w:line="400" w:lineRule="auto"/>
        <w:ind w:left="9" w:right="235"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2)叶菜类（大白菜、小白菜、菠菜、甘蓝、荠菜、空心菜、茼蒿</w:t>
      </w:r>
      <w:r>
        <w:rPr>
          <w:rFonts w:hint="eastAsia" w:ascii="宋体" w:hAnsi="宋体" w:eastAsia="宋体" w:cs="宋体"/>
          <w:color w:val="auto"/>
          <w:spacing w:val="-4"/>
          <w:sz w:val="24"/>
          <w:szCs w:val="24"/>
          <w:highlight w:val="none"/>
        </w:rPr>
        <w:t>、苋菜、芹菜等叶</w:t>
      </w:r>
      <w:r>
        <w:rPr>
          <w:rFonts w:hint="eastAsia" w:ascii="宋体" w:hAnsi="宋体" w:eastAsia="宋体" w:cs="宋体"/>
          <w:color w:val="auto"/>
          <w:spacing w:val="-3"/>
          <w:sz w:val="24"/>
          <w:szCs w:val="24"/>
          <w:highlight w:val="none"/>
        </w:rPr>
        <w:t>菜类</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3"/>
          <w:sz w:val="24"/>
          <w:szCs w:val="24"/>
          <w:highlight w:val="none"/>
        </w:rPr>
        <w:t>品质鲜嫩形态好，色泽正常，茎基部削平，无枯黄叶</w:t>
      </w:r>
      <w:r>
        <w:rPr>
          <w:rFonts w:hint="eastAsia" w:ascii="宋体" w:hAnsi="宋体" w:eastAsia="宋体" w:cs="宋体"/>
          <w:color w:val="auto"/>
          <w:spacing w:val="-4"/>
          <w:sz w:val="24"/>
          <w:szCs w:val="24"/>
          <w:highlight w:val="none"/>
        </w:rPr>
        <w:t>、病叶、泥土、明显机械</w:t>
      </w:r>
      <w:r>
        <w:rPr>
          <w:rFonts w:hint="eastAsia" w:ascii="宋体" w:hAnsi="宋体" w:eastAsia="宋体" w:cs="宋体"/>
          <w:color w:val="auto"/>
          <w:spacing w:val="-3"/>
          <w:sz w:val="24"/>
          <w:szCs w:val="24"/>
          <w:highlight w:val="none"/>
        </w:rPr>
        <w:t>伤和病虫害伤，无烧心焦边、腐烂等现象，无抽苔（菜心除外</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无畸形、异味，结球</w:t>
      </w:r>
      <w:r>
        <w:rPr>
          <w:rFonts w:hint="eastAsia" w:ascii="宋体" w:hAnsi="宋体" w:eastAsia="宋体" w:cs="宋体"/>
          <w:color w:val="auto"/>
          <w:spacing w:val="-1"/>
          <w:sz w:val="24"/>
          <w:szCs w:val="24"/>
          <w:highlight w:val="none"/>
        </w:rPr>
        <w:t>叶菜要结球适度，花椰菜应新鲜洁白，不带叶麸，无畸形花。</w:t>
      </w:r>
    </w:p>
    <w:p w14:paraId="20A3A417">
      <w:pPr>
        <w:pStyle w:val="5"/>
        <w:spacing w:line="400" w:lineRule="auto"/>
        <w:ind w:left="15" w:right="235"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3)茄果类（番茄、茄子、甜椒、辣椒等</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3"/>
          <w:sz w:val="24"/>
          <w:szCs w:val="24"/>
          <w:highlight w:val="none"/>
        </w:rPr>
        <w:t>果实整洁，成熟度适中，番茄</w:t>
      </w:r>
      <w:r>
        <w:rPr>
          <w:rFonts w:hint="eastAsia" w:ascii="宋体" w:hAnsi="宋体" w:eastAsia="宋体" w:cs="宋体"/>
          <w:color w:val="auto"/>
          <w:spacing w:val="-4"/>
          <w:sz w:val="24"/>
          <w:szCs w:val="24"/>
          <w:highlight w:val="none"/>
        </w:rPr>
        <w:t>花蒂不明</w:t>
      </w:r>
      <w:r>
        <w:rPr>
          <w:rFonts w:hint="eastAsia" w:ascii="宋体" w:hAnsi="宋体" w:eastAsia="宋体" w:cs="宋体"/>
          <w:color w:val="auto"/>
          <w:spacing w:val="-3"/>
          <w:sz w:val="24"/>
          <w:szCs w:val="24"/>
          <w:highlight w:val="none"/>
        </w:rPr>
        <w:t>显，无裂果及空洞现象。茄果不能有裂蒂及果皮变硬现象，无腐烂、</w:t>
      </w:r>
      <w:r>
        <w:rPr>
          <w:rFonts w:hint="eastAsia" w:ascii="宋体" w:hAnsi="宋体" w:eastAsia="宋体" w:cs="宋体"/>
          <w:color w:val="auto"/>
          <w:spacing w:val="-4"/>
          <w:sz w:val="24"/>
          <w:szCs w:val="24"/>
          <w:highlight w:val="none"/>
        </w:rPr>
        <w:t>畸形、异味，无明显机械伤。</w:t>
      </w:r>
    </w:p>
    <w:p w14:paraId="762EA594">
      <w:pPr>
        <w:pStyle w:val="5"/>
        <w:spacing w:before="1" w:line="399" w:lineRule="auto"/>
        <w:ind w:left="9" w:right="171" w:firstLine="47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4）瓜果类（黄瓜、冬瓜、丝瓜、苦瓜、南瓜、毛节瓜等</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5"/>
          <w:sz w:val="24"/>
          <w:szCs w:val="24"/>
          <w:highlight w:val="none"/>
        </w:rPr>
        <w:t>形状、色泽基本一致，</w:t>
      </w:r>
      <w:r>
        <w:rPr>
          <w:rFonts w:hint="eastAsia" w:ascii="宋体" w:hAnsi="宋体" w:eastAsia="宋体" w:cs="宋体"/>
          <w:color w:val="auto"/>
          <w:spacing w:val="-1"/>
          <w:sz w:val="24"/>
          <w:szCs w:val="24"/>
          <w:highlight w:val="none"/>
        </w:rPr>
        <w:t>瓜条均匀，无腐烂、畸形、异味、明显机械伤，不带泥土。</w:t>
      </w:r>
    </w:p>
    <w:p w14:paraId="64417353">
      <w:pPr>
        <w:pStyle w:val="5"/>
        <w:spacing w:line="22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第三、豆制品</w:t>
      </w:r>
    </w:p>
    <w:p w14:paraId="76988AB3">
      <w:pPr>
        <w:pStyle w:val="5"/>
        <w:keepNext w:val="0"/>
        <w:keepLines w:val="0"/>
        <w:pageBreakBefore w:val="0"/>
        <w:widowControl w:val="0"/>
        <w:kinsoku/>
        <w:wordWrap/>
        <w:overflowPunct/>
        <w:topLinePunct w:val="0"/>
        <w:autoSpaceDE/>
        <w:autoSpaceDN/>
        <w:bidi w:val="0"/>
        <w:adjustRightInd/>
        <w:snapToGrid/>
        <w:spacing w:line="360" w:lineRule="auto"/>
        <w:ind w:left="0" w:firstLine="468"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必须具有合格产品检验报告。所用的原辅材料、包装材</w:t>
      </w:r>
      <w:r>
        <w:rPr>
          <w:rFonts w:hint="eastAsia" w:ascii="宋体" w:hAnsi="宋体" w:eastAsia="宋体" w:cs="宋体"/>
          <w:color w:val="auto"/>
          <w:spacing w:val="-4"/>
          <w:sz w:val="24"/>
          <w:szCs w:val="24"/>
          <w:highlight w:val="none"/>
        </w:rPr>
        <w:t>料必须符合国家标准、行业</w:t>
      </w:r>
      <w:r>
        <w:rPr>
          <w:rFonts w:hint="eastAsia" w:ascii="宋体" w:hAnsi="宋体" w:eastAsia="宋体" w:cs="宋体"/>
          <w:color w:val="auto"/>
          <w:spacing w:val="-3"/>
          <w:sz w:val="24"/>
          <w:szCs w:val="24"/>
          <w:highlight w:val="none"/>
        </w:rPr>
        <w:t>标准及有关规定；不得使用变质或未去除有害物质的原料、辅料，油炸豆制品所</w:t>
      </w:r>
      <w:r>
        <w:rPr>
          <w:rFonts w:hint="eastAsia" w:ascii="宋体" w:hAnsi="宋体" w:eastAsia="宋体" w:cs="宋体"/>
          <w:color w:val="auto"/>
          <w:spacing w:val="-4"/>
          <w:sz w:val="24"/>
          <w:szCs w:val="24"/>
          <w:highlight w:val="none"/>
        </w:rPr>
        <w:t>用油脂</w:t>
      </w:r>
      <w:r>
        <w:rPr>
          <w:rFonts w:hint="eastAsia" w:ascii="宋体" w:hAnsi="宋体" w:eastAsia="宋体" w:cs="宋体"/>
          <w:color w:val="auto"/>
          <w:spacing w:val="-3"/>
          <w:sz w:val="24"/>
          <w:szCs w:val="24"/>
          <w:highlight w:val="none"/>
        </w:rPr>
        <w:t>必须符合安全卫生标准，禁止反复使用。发酵豆制品所使用的菌种应防止污染和变</w:t>
      </w:r>
      <w:r>
        <w:rPr>
          <w:rFonts w:hint="eastAsia" w:ascii="宋体" w:hAnsi="宋体" w:eastAsia="宋体" w:cs="宋体"/>
          <w:color w:val="auto"/>
          <w:spacing w:val="-4"/>
          <w:sz w:val="24"/>
          <w:szCs w:val="24"/>
          <w:highlight w:val="none"/>
        </w:rPr>
        <w:t>异产</w:t>
      </w:r>
      <w:r>
        <w:rPr>
          <w:rFonts w:hint="eastAsia" w:ascii="宋体" w:hAnsi="宋体" w:eastAsia="宋体" w:cs="宋体"/>
          <w:color w:val="auto"/>
          <w:spacing w:val="-7"/>
          <w:sz w:val="24"/>
          <w:szCs w:val="24"/>
          <w:highlight w:val="none"/>
        </w:rPr>
        <w:t>毒。不得将次硫酸氢钠甲醛（吊白块）等工业原料作为食品添加剂在豆制品加工中使</w:t>
      </w:r>
      <w:r>
        <w:rPr>
          <w:rFonts w:hint="eastAsia" w:ascii="宋体" w:hAnsi="宋体" w:eastAsia="宋体" w:cs="宋体"/>
          <w:color w:val="auto"/>
          <w:spacing w:val="-8"/>
          <w:sz w:val="24"/>
          <w:szCs w:val="24"/>
          <w:highlight w:val="none"/>
        </w:rPr>
        <w:t>用。</w:t>
      </w:r>
      <w:r>
        <w:rPr>
          <w:rFonts w:hint="eastAsia" w:ascii="宋体" w:hAnsi="宋体" w:eastAsia="宋体" w:cs="宋体"/>
          <w:color w:val="auto"/>
          <w:sz w:val="24"/>
          <w:szCs w:val="24"/>
          <w:highlight w:val="none"/>
        </w:rPr>
        <w:t>所使用的稳定剂和凝固剂必须符合国家、行</w:t>
      </w:r>
      <w:r>
        <w:rPr>
          <w:rFonts w:hint="eastAsia" w:ascii="宋体" w:hAnsi="宋体" w:eastAsia="宋体" w:cs="宋体"/>
          <w:color w:val="auto"/>
          <w:spacing w:val="-1"/>
          <w:sz w:val="24"/>
          <w:szCs w:val="24"/>
          <w:highlight w:val="none"/>
        </w:rPr>
        <w:t>业食品添加剂使用标准。</w:t>
      </w:r>
    </w:p>
    <w:p w14:paraId="1B4DD023">
      <w:pPr>
        <w:pStyle w:val="5"/>
        <w:spacing w:line="219"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第四、粮油</w:t>
      </w:r>
    </w:p>
    <w:p w14:paraId="1BFB2473">
      <w:pPr>
        <w:pStyle w:val="5"/>
        <w:spacing w:before="235" w:line="400" w:lineRule="auto"/>
        <w:ind w:left="9" w:right="14"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①中标人所提供产品质量必须符合行业标准要求，不得有掺假、</w:t>
      </w:r>
      <w:r>
        <w:rPr>
          <w:rFonts w:hint="eastAsia" w:ascii="宋体" w:hAnsi="宋体" w:eastAsia="宋体" w:cs="宋体"/>
          <w:color w:val="auto"/>
          <w:spacing w:val="-4"/>
          <w:sz w:val="24"/>
          <w:szCs w:val="24"/>
          <w:highlight w:val="none"/>
        </w:rPr>
        <w:t>变质、变味、过期</w:t>
      </w:r>
      <w:r>
        <w:rPr>
          <w:rFonts w:hint="eastAsia" w:ascii="宋体" w:hAnsi="宋体" w:eastAsia="宋体" w:cs="宋体"/>
          <w:color w:val="auto"/>
          <w:spacing w:val="-3"/>
          <w:sz w:val="24"/>
          <w:szCs w:val="24"/>
          <w:highlight w:val="none"/>
        </w:rPr>
        <w:t>等现象出现，严禁伪劣、假冒、无证不合格的物品，不得有腐烂、变质、油脂酸败</w:t>
      </w:r>
      <w:r>
        <w:rPr>
          <w:rFonts w:hint="eastAsia" w:ascii="宋体" w:hAnsi="宋体" w:eastAsia="宋体" w:cs="宋体"/>
          <w:color w:val="auto"/>
          <w:spacing w:val="-4"/>
          <w:sz w:val="24"/>
          <w:szCs w:val="24"/>
          <w:highlight w:val="none"/>
        </w:rPr>
        <w:t>、霉</w:t>
      </w:r>
      <w:r>
        <w:rPr>
          <w:rFonts w:hint="eastAsia" w:ascii="宋体" w:hAnsi="宋体" w:eastAsia="宋体" w:cs="宋体"/>
          <w:color w:val="auto"/>
          <w:spacing w:val="-1"/>
          <w:sz w:val="24"/>
          <w:szCs w:val="24"/>
          <w:highlight w:val="none"/>
        </w:rPr>
        <w:t>变、生虫、污秽不洁、混有异物或者其他感官性状异常，可</w:t>
      </w:r>
      <w:r>
        <w:rPr>
          <w:rFonts w:hint="eastAsia" w:ascii="宋体" w:hAnsi="宋体" w:eastAsia="宋体" w:cs="宋体"/>
          <w:color w:val="auto"/>
          <w:spacing w:val="-2"/>
          <w:sz w:val="24"/>
          <w:szCs w:val="24"/>
          <w:highlight w:val="none"/>
        </w:rPr>
        <w:t>能对人体健康有害的物品。</w:t>
      </w:r>
    </w:p>
    <w:p w14:paraId="1DCB5A12">
      <w:pPr>
        <w:pStyle w:val="5"/>
        <w:spacing w:before="3" w:line="399" w:lineRule="auto"/>
        <w:ind w:left="9" w:right="8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②米、油要提供</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z w:val="24"/>
          <w:szCs w:val="24"/>
          <w:highlight w:val="none"/>
        </w:rPr>
        <w:t>QS</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z w:val="24"/>
          <w:szCs w:val="24"/>
          <w:highlight w:val="none"/>
        </w:rPr>
        <w:t>认证、国家机关发出的产品检验合格</w:t>
      </w:r>
      <w:r>
        <w:rPr>
          <w:rFonts w:hint="eastAsia" w:ascii="宋体" w:hAnsi="宋体" w:eastAsia="宋体" w:cs="宋体"/>
          <w:color w:val="auto"/>
          <w:spacing w:val="-1"/>
          <w:sz w:val="24"/>
          <w:szCs w:val="24"/>
          <w:highlight w:val="none"/>
        </w:rPr>
        <w:t>证书。有外包装的食品，</w:t>
      </w:r>
      <w:r>
        <w:rPr>
          <w:rFonts w:hint="eastAsia" w:ascii="宋体" w:hAnsi="宋体" w:eastAsia="宋体" w:cs="宋体"/>
          <w:color w:val="auto"/>
          <w:spacing w:val="-3"/>
          <w:sz w:val="24"/>
          <w:szCs w:val="24"/>
          <w:highlight w:val="none"/>
        </w:rPr>
        <w:t>包装箱完整，同时包装箱要印有注册商标、生产厂家名称、厂址、出厂日期、产品</w:t>
      </w:r>
      <w:r>
        <w:rPr>
          <w:rFonts w:hint="eastAsia" w:ascii="宋体" w:hAnsi="宋体" w:eastAsia="宋体" w:cs="宋体"/>
          <w:color w:val="auto"/>
          <w:spacing w:val="-4"/>
          <w:sz w:val="24"/>
          <w:szCs w:val="24"/>
          <w:highlight w:val="none"/>
        </w:rPr>
        <w:t>合格</w:t>
      </w:r>
      <w:r>
        <w:rPr>
          <w:rFonts w:hint="eastAsia" w:ascii="宋体" w:hAnsi="宋体" w:eastAsia="宋体" w:cs="宋体"/>
          <w:color w:val="auto"/>
          <w:spacing w:val="-1"/>
          <w:sz w:val="24"/>
          <w:szCs w:val="24"/>
          <w:highlight w:val="none"/>
        </w:rPr>
        <w:t>证、保质期限、产品成份、厂家电话号码。</w:t>
      </w:r>
    </w:p>
    <w:p w14:paraId="7D0732D5">
      <w:pPr>
        <w:pStyle w:val="5"/>
        <w:spacing w:before="1" w:line="219"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第五、干调、冻品等食品</w:t>
      </w:r>
    </w:p>
    <w:p w14:paraId="43C57497">
      <w:pPr>
        <w:pStyle w:val="5"/>
        <w:spacing w:before="235" w:line="21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①必须按照超市供应的品牌和规格如实供应</w:t>
      </w:r>
      <w:r>
        <w:rPr>
          <w:rFonts w:hint="eastAsia" w:ascii="宋体" w:hAnsi="宋体" w:eastAsia="宋体" w:cs="宋体"/>
          <w:color w:val="auto"/>
          <w:spacing w:val="-1"/>
          <w:sz w:val="24"/>
          <w:szCs w:val="24"/>
          <w:highlight w:val="none"/>
        </w:rPr>
        <w:t>，不得擅自调整更换。</w:t>
      </w:r>
    </w:p>
    <w:p w14:paraId="318E8EC8">
      <w:pPr>
        <w:pStyle w:val="5"/>
        <w:spacing w:before="237" w:line="400" w:lineRule="auto"/>
        <w:ind w:left="8" w:right="81"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②中标人所供食品有外包装的，包装箱完整；没有外包装的，中标</w:t>
      </w:r>
      <w:r>
        <w:rPr>
          <w:rFonts w:hint="eastAsia" w:ascii="宋体" w:hAnsi="宋体" w:eastAsia="宋体" w:cs="宋体"/>
          <w:color w:val="auto"/>
          <w:spacing w:val="-4"/>
          <w:sz w:val="24"/>
          <w:szCs w:val="24"/>
          <w:highlight w:val="none"/>
        </w:rPr>
        <w:t>人必须提供食品检验检疫证明资料。所供食品必须经“QS</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4"/>
          <w:sz w:val="24"/>
          <w:szCs w:val="24"/>
          <w:highlight w:val="none"/>
        </w:rPr>
        <w:t>”认证或国家有关部门检验达到无公害食品标</w:t>
      </w:r>
      <w:r>
        <w:rPr>
          <w:rFonts w:hint="eastAsia" w:ascii="宋体" w:hAnsi="宋体" w:eastAsia="宋体" w:cs="宋体"/>
          <w:color w:val="auto"/>
          <w:spacing w:val="-5"/>
          <w:sz w:val="24"/>
          <w:szCs w:val="24"/>
          <w:highlight w:val="none"/>
        </w:rPr>
        <w:t>准，具体标准为“六有三无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5"/>
          <w:sz w:val="24"/>
          <w:szCs w:val="24"/>
          <w:highlight w:val="none"/>
        </w:rPr>
        <w:t>”，“六有</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5"/>
          <w:sz w:val="24"/>
          <w:szCs w:val="24"/>
          <w:highlight w:val="none"/>
        </w:rPr>
        <w:t>”：有生产日期、有保质期、有质量合格证、有</w:t>
      </w:r>
      <w:r>
        <w:rPr>
          <w:rFonts w:hint="eastAsia" w:ascii="宋体" w:hAnsi="宋体" w:eastAsia="宋体" w:cs="宋体"/>
          <w:color w:val="auto"/>
          <w:spacing w:val="-4"/>
          <w:sz w:val="24"/>
          <w:szCs w:val="24"/>
          <w:highlight w:val="none"/>
        </w:rPr>
        <w:t>生产厂家、有注册商标、有国家管理质量体系认证标示；“三无</w:t>
      </w:r>
      <w:r>
        <w:rPr>
          <w:rFonts w:hint="eastAsia" w:ascii="宋体" w:hAnsi="宋体" w:eastAsia="宋体" w:cs="宋体"/>
          <w:color w:val="auto"/>
          <w:spacing w:val="-84"/>
          <w:sz w:val="24"/>
          <w:szCs w:val="24"/>
          <w:highlight w:val="none"/>
        </w:rPr>
        <w:t xml:space="preserve"> </w:t>
      </w:r>
      <w:r>
        <w:rPr>
          <w:rFonts w:hint="eastAsia" w:ascii="宋体" w:hAnsi="宋体" w:eastAsia="宋体" w:cs="宋体"/>
          <w:color w:val="auto"/>
          <w:spacing w:val="-4"/>
          <w:sz w:val="24"/>
          <w:szCs w:val="24"/>
          <w:highlight w:val="none"/>
        </w:rPr>
        <w:t>”：无假冒伪劣、无腐</w:t>
      </w:r>
      <w:r>
        <w:rPr>
          <w:rFonts w:hint="eastAsia" w:ascii="宋体" w:hAnsi="宋体" w:eastAsia="宋体" w:cs="宋体"/>
          <w:color w:val="auto"/>
          <w:spacing w:val="-1"/>
          <w:sz w:val="24"/>
          <w:szCs w:val="24"/>
          <w:highlight w:val="none"/>
        </w:rPr>
        <w:t>烂变质、无过期产品。</w:t>
      </w:r>
    </w:p>
    <w:p w14:paraId="262DC28A">
      <w:pPr>
        <w:pStyle w:val="5"/>
        <w:spacing w:line="22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第六、主食类</w:t>
      </w:r>
    </w:p>
    <w:p w14:paraId="20741B77">
      <w:pPr>
        <w:pStyle w:val="5"/>
        <w:spacing w:before="231" w:line="401" w:lineRule="auto"/>
        <w:ind w:left="11" w:firstLine="48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必须是新鲜的、无异味。成品须为当天制作，有生产日期标签及质保期，保证新鲜、</w:t>
      </w:r>
      <w:r>
        <w:rPr>
          <w:rFonts w:hint="eastAsia" w:ascii="宋体" w:hAnsi="宋体" w:eastAsia="宋体" w:cs="宋体"/>
          <w:color w:val="auto"/>
          <w:spacing w:val="-3"/>
          <w:sz w:val="24"/>
          <w:szCs w:val="24"/>
          <w:highlight w:val="none"/>
        </w:rPr>
        <w:t>温度适宜。</w:t>
      </w:r>
    </w:p>
    <w:p w14:paraId="032DA019">
      <w:pPr>
        <w:pStyle w:val="5"/>
        <w:spacing w:line="22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第七、水果、奶类</w:t>
      </w:r>
    </w:p>
    <w:p w14:paraId="1479128A">
      <w:pPr>
        <w:pStyle w:val="5"/>
        <w:spacing w:before="232" w:line="401" w:lineRule="auto"/>
        <w:ind w:left="9"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①水果质量要求：达到二等（含）以上标准。成熟度适中，应具</w:t>
      </w:r>
      <w:r>
        <w:rPr>
          <w:rFonts w:hint="eastAsia" w:ascii="宋体" w:hAnsi="宋体" w:eastAsia="宋体" w:cs="宋体"/>
          <w:color w:val="auto"/>
          <w:spacing w:val="-4"/>
          <w:sz w:val="24"/>
          <w:szCs w:val="24"/>
          <w:highlight w:val="none"/>
        </w:rPr>
        <w:t>有良好的色泽及形</w:t>
      </w:r>
      <w:r>
        <w:rPr>
          <w:rFonts w:hint="eastAsia" w:ascii="宋体" w:hAnsi="宋体" w:eastAsia="宋体" w:cs="宋体"/>
          <w:color w:val="auto"/>
          <w:spacing w:val="-7"/>
          <w:sz w:val="24"/>
          <w:szCs w:val="24"/>
          <w:highlight w:val="none"/>
        </w:rPr>
        <w:t>态特征，果品表面清洁新鲜，无病虫害和机械损伤等，农药残留量须低于国家规定标</w:t>
      </w:r>
      <w:r>
        <w:rPr>
          <w:rFonts w:hint="eastAsia" w:ascii="宋体" w:hAnsi="宋体" w:eastAsia="宋体" w:cs="宋体"/>
          <w:color w:val="auto"/>
          <w:spacing w:val="-8"/>
          <w:sz w:val="24"/>
          <w:szCs w:val="24"/>
          <w:highlight w:val="none"/>
        </w:rPr>
        <w:t>准。</w:t>
      </w:r>
    </w:p>
    <w:p w14:paraId="4F88CF9F">
      <w:pPr>
        <w:pStyle w:val="5"/>
        <w:spacing w:before="1" w:line="217" w:lineRule="auto"/>
        <w:ind w:left="48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②奶制品</w:t>
      </w:r>
    </w:p>
    <w:p w14:paraId="3D182326">
      <w:pPr>
        <w:pStyle w:val="5"/>
        <w:spacing w:before="236" w:line="219" w:lineRule="auto"/>
        <w:ind w:left="5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1）必须经检验检疫部门检验合格并盖章，酸奶必须为生产日期</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2"/>
          <w:sz w:val="24"/>
          <w:szCs w:val="24"/>
          <w:highlight w:val="none"/>
        </w:rPr>
        <w:t>天内的。</w:t>
      </w:r>
    </w:p>
    <w:p w14:paraId="369B69E4">
      <w:pPr>
        <w:pStyle w:val="5"/>
        <w:spacing w:before="236" w:line="219" w:lineRule="auto"/>
        <w:ind w:left="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2）色泽：要求鲜奶为乳白色或稍带淡黄色。</w:t>
      </w:r>
    </w:p>
    <w:p w14:paraId="46FC1FFB">
      <w:pPr>
        <w:pStyle w:val="5"/>
        <w:spacing w:before="236"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3）稠度：鲜奶不发粘，无絮状物、无凝块</w:t>
      </w:r>
      <w:r>
        <w:rPr>
          <w:rFonts w:hint="eastAsia" w:ascii="宋体" w:hAnsi="宋体" w:eastAsia="宋体" w:cs="宋体"/>
          <w:color w:val="auto"/>
          <w:spacing w:val="-1"/>
          <w:sz w:val="24"/>
          <w:szCs w:val="24"/>
          <w:highlight w:val="none"/>
        </w:rPr>
        <w:t>、无沉淀，呈均匀一致的胶状流体。</w:t>
      </w:r>
    </w:p>
    <w:p w14:paraId="13F5A2EA">
      <w:pPr>
        <w:pStyle w:val="5"/>
        <w:spacing w:before="231" w:line="222"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（3）配送要求：</w:t>
      </w:r>
    </w:p>
    <w:p w14:paraId="5A886578">
      <w:pPr>
        <w:pStyle w:val="5"/>
        <w:spacing w:before="232" w:line="400" w:lineRule="auto"/>
        <w:ind w:left="13" w:right="120" w:firstLine="4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①配送方法：物资配送到指定食堂，根据物资保质</w:t>
      </w:r>
      <w:r>
        <w:rPr>
          <w:rFonts w:hint="eastAsia" w:ascii="宋体" w:hAnsi="宋体" w:eastAsia="宋体" w:cs="宋体"/>
          <w:color w:val="auto"/>
          <w:spacing w:val="-5"/>
          <w:sz w:val="24"/>
          <w:szCs w:val="24"/>
          <w:highlight w:val="none"/>
        </w:rPr>
        <w:t>期限，早餐物资暂按每天</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5"/>
          <w:sz w:val="24"/>
          <w:szCs w:val="24"/>
          <w:highlight w:val="none"/>
        </w:rPr>
        <w:t>1</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次进</w:t>
      </w:r>
      <w:r>
        <w:rPr>
          <w:rFonts w:hint="eastAsia" w:ascii="宋体" w:hAnsi="宋体" w:eastAsia="宋体" w:cs="宋体"/>
          <w:color w:val="auto"/>
          <w:spacing w:val="-1"/>
          <w:sz w:val="24"/>
          <w:szCs w:val="24"/>
          <w:highlight w:val="none"/>
        </w:rPr>
        <w:t>行配送，如每次配送有遗漏，中标人应按照采购人要求安排补送。</w:t>
      </w:r>
    </w:p>
    <w:p w14:paraId="191334FC">
      <w:pPr>
        <w:pStyle w:val="5"/>
        <w:spacing w:before="1" w:line="400" w:lineRule="auto"/>
        <w:ind w:left="9" w:right="120"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②包装要求：为便于点验核算，所有货品均应按原包装规格送货，</w:t>
      </w:r>
      <w:r>
        <w:rPr>
          <w:rFonts w:hint="eastAsia" w:ascii="宋体" w:hAnsi="宋体" w:eastAsia="宋体" w:cs="宋体"/>
          <w:color w:val="auto"/>
          <w:spacing w:val="-4"/>
          <w:sz w:val="24"/>
          <w:szCs w:val="24"/>
          <w:highlight w:val="none"/>
        </w:rPr>
        <w:t>中标人填报供货</w:t>
      </w:r>
      <w:r>
        <w:rPr>
          <w:rFonts w:hint="eastAsia" w:ascii="宋体" w:hAnsi="宋体" w:eastAsia="宋体" w:cs="宋体"/>
          <w:color w:val="auto"/>
          <w:spacing w:val="-1"/>
          <w:sz w:val="24"/>
          <w:szCs w:val="24"/>
          <w:highlight w:val="none"/>
        </w:rPr>
        <w:t>清单须时，需注明包装规格。</w:t>
      </w:r>
    </w:p>
    <w:p w14:paraId="7ECCCF8E">
      <w:pPr>
        <w:pStyle w:val="5"/>
        <w:spacing w:before="3" w:line="399" w:lineRule="auto"/>
        <w:ind w:left="11" w:right="70"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③配送损耗：中标人在每次配送中应在采购人需求量上增加</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
          <w:sz w:val="24"/>
          <w:szCs w:val="24"/>
          <w:highlight w:val="none"/>
        </w:rPr>
        <w:t>5%的配送额，验收完</w:t>
      </w:r>
      <w:r>
        <w:rPr>
          <w:rFonts w:hint="eastAsia" w:ascii="宋体" w:hAnsi="宋体" w:eastAsia="宋体" w:cs="宋体"/>
          <w:color w:val="auto"/>
          <w:spacing w:val="-2"/>
          <w:sz w:val="24"/>
          <w:szCs w:val="24"/>
          <w:highlight w:val="none"/>
        </w:rPr>
        <w:t>成后，如有超出供货范围的多余物资，由中标人自行运回处理；如存在物资数量不足，</w:t>
      </w:r>
      <w:r>
        <w:rPr>
          <w:rFonts w:hint="eastAsia" w:ascii="宋体" w:hAnsi="宋体" w:eastAsia="宋体" w:cs="宋体"/>
          <w:color w:val="auto"/>
          <w:spacing w:val="-1"/>
          <w:sz w:val="24"/>
          <w:szCs w:val="24"/>
          <w:highlight w:val="none"/>
        </w:rPr>
        <w:t>中标人应按照采购人要求安排补送。</w:t>
      </w:r>
    </w:p>
    <w:p w14:paraId="143968BF">
      <w:pPr>
        <w:pStyle w:val="5"/>
        <w:spacing w:line="400" w:lineRule="auto"/>
        <w:ind w:left="11" w:right="119" w:firstLine="47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④运输要求：生鲜类物资应根据保质期限配送，供货数量和次数须</w:t>
      </w:r>
      <w:r>
        <w:rPr>
          <w:rFonts w:hint="eastAsia" w:ascii="宋体" w:hAnsi="宋体" w:eastAsia="宋体" w:cs="宋体"/>
          <w:color w:val="auto"/>
          <w:spacing w:val="-4"/>
          <w:sz w:val="24"/>
          <w:szCs w:val="24"/>
          <w:highlight w:val="none"/>
        </w:rPr>
        <w:t>由中标人自行核</w:t>
      </w:r>
      <w:r>
        <w:rPr>
          <w:rFonts w:hint="eastAsia" w:ascii="宋体" w:hAnsi="宋体" w:eastAsia="宋体" w:cs="宋体"/>
          <w:color w:val="auto"/>
          <w:spacing w:val="-3"/>
          <w:sz w:val="24"/>
          <w:szCs w:val="24"/>
          <w:highlight w:val="none"/>
        </w:rPr>
        <w:t>算后运送，需要冷藏的货品应采用冷链运送。配送车辆、人员应相对固定，运</w:t>
      </w:r>
      <w:r>
        <w:rPr>
          <w:rFonts w:hint="eastAsia" w:ascii="宋体" w:hAnsi="宋体" w:eastAsia="宋体" w:cs="宋体"/>
          <w:color w:val="auto"/>
          <w:spacing w:val="-4"/>
          <w:sz w:val="24"/>
          <w:szCs w:val="24"/>
          <w:highlight w:val="none"/>
        </w:rPr>
        <w:t>输车辆应</w:t>
      </w:r>
      <w:r>
        <w:rPr>
          <w:rFonts w:hint="eastAsia" w:ascii="宋体" w:hAnsi="宋体" w:eastAsia="宋体" w:cs="宋体"/>
          <w:color w:val="auto"/>
          <w:spacing w:val="-1"/>
          <w:sz w:val="24"/>
          <w:szCs w:val="24"/>
          <w:highlight w:val="none"/>
        </w:rPr>
        <w:t>内外干净、整洁，不得人货混装。</w:t>
      </w:r>
    </w:p>
    <w:p w14:paraId="38E05293">
      <w:pPr>
        <w:pStyle w:val="5"/>
        <w:spacing w:line="400" w:lineRule="auto"/>
        <w:ind w:left="9" w:right="120"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⑤应急配送：因特殊任务需求或发生其他特殊情况，需要中标人临</w:t>
      </w:r>
      <w:r>
        <w:rPr>
          <w:rFonts w:hint="eastAsia" w:ascii="宋体" w:hAnsi="宋体" w:eastAsia="宋体" w:cs="宋体"/>
          <w:color w:val="auto"/>
          <w:spacing w:val="-4"/>
          <w:sz w:val="24"/>
          <w:szCs w:val="24"/>
          <w:highlight w:val="none"/>
        </w:rPr>
        <w:t>时应急配送，所</w:t>
      </w:r>
      <w:r>
        <w:rPr>
          <w:rFonts w:hint="eastAsia" w:ascii="宋体" w:hAnsi="宋体" w:eastAsia="宋体" w:cs="宋体"/>
          <w:color w:val="auto"/>
          <w:spacing w:val="-1"/>
          <w:sz w:val="24"/>
          <w:szCs w:val="24"/>
          <w:highlight w:val="none"/>
        </w:rPr>
        <w:t>产生的物资款与当月实际配额一并核报；对于临时性增补的物资能够在计划下达后</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1"/>
          <w:sz w:val="24"/>
          <w:szCs w:val="24"/>
          <w:highlight w:val="none"/>
        </w:rPr>
        <w:t>2小时内送达，中标人应提供应急配送的应急预案。</w:t>
      </w:r>
    </w:p>
    <w:p w14:paraId="50B8E3AF">
      <w:pPr>
        <w:pStyle w:val="5"/>
        <w:spacing w:before="2" w:line="399" w:lineRule="auto"/>
        <w:ind w:left="20" w:firstLine="46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⑥为避免采购的生鲜货品在运送途中产生变质，要求在当日气温超过</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4"/>
          <w:sz w:val="24"/>
          <w:szCs w:val="24"/>
          <w:highlight w:val="none"/>
        </w:rPr>
        <w:t>20℃(含</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w:t>
      </w:r>
      <w:r>
        <w:rPr>
          <w:rFonts w:hint="eastAsia" w:ascii="宋体" w:hAnsi="宋体" w:eastAsia="宋体" w:cs="宋体"/>
          <w:color w:val="auto"/>
          <w:spacing w:val="-2"/>
          <w:sz w:val="24"/>
          <w:szCs w:val="24"/>
          <w:highlight w:val="none"/>
        </w:rPr>
        <w:t>时启用相应的冷藏保鲜设备。</w:t>
      </w:r>
    </w:p>
    <w:p w14:paraId="2F749CE5">
      <w:pPr>
        <w:pStyle w:val="5"/>
        <w:spacing w:before="1" w:line="220"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（4）食品卫生安全和质量要求</w:t>
      </w:r>
    </w:p>
    <w:p w14:paraId="60278B38">
      <w:pPr>
        <w:pStyle w:val="5"/>
        <w:spacing w:before="232" w:line="400" w:lineRule="auto"/>
        <w:ind w:left="13" w:right="120"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★①投标人须提供书面承诺，食品卫生安全：遵守国家、行业关于</w:t>
      </w:r>
      <w:r>
        <w:rPr>
          <w:rFonts w:hint="eastAsia" w:ascii="宋体" w:hAnsi="宋体" w:eastAsia="宋体" w:cs="宋体"/>
          <w:b/>
          <w:bCs/>
          <w:color w:val="auto"/>
          <w:sz w:val="24"/>
          <w:szCs w:val="24"/>
          <w:highlight w:val="none"/>
        </w:rPr>
        <w:t>食品卫生安全</w:t>
      </w:r>
      <w:r>
        <w:rPr>
          <w:rFonts w:hint="eastAsia" w:ascii="宋体" w:hAnsi="宋体" w:eastAsia="宋体" w:cs="宋体"/>
          <w:b/>
          <w:bCs/>
          <w:color w:val="auto"/>
          <w:spacing w:val="1"/>
          <w:sz w:val="24"/>
          <w:szCs w:val="24"/>
          <w:highlight w:val="none"/>
        </w:rPr>
        <w:t>的相关法律、法规，确保饮食安全；因食品安全问题及配送</w:t>
      </w:r>
      <w:r>
        <w:rPr>
          <w:rFonts w:hint="eastAsia" w:ascii="宋体" w:hAnsi="宋体" w:eastAsia="宋体" w:cs="宋体"/>
          <w:b/>
          <w:bCs/>
          <w:color w:val="auto"/>
          <w:sz w:val="24"/>
          <w:szCs w:val="24"/>
          <w:highlight w:val="none"/>
        </w:rPr>
        <w:t>过程中发生的任何安全事</w:t>
      </w:r>
      <w:r>
        <w:rPr>
          <w:rFonts w:hint="eastAsia" w:ascii="宋体" w:hAnsi="宋体" w:eastAsia="宋体" w:cs="宋体"/>
          <w:b/>
          <w:bCs/>
          <w:color w:val="auto"/>
          <w:spacing w:val="1"/>
          <w:sz w:val="24"/>
          <w:szCs w:val="24"/>
          <w:highlight w:val="none"/>
        </w:rPr>
        <w:t>故的一切后果均由中标人负责，并根据相关法律法规进行处</w:t>
      </w:r>
      <w:r>
        <w:rPr>
          <w:rFonts w:hint="eastAsia" w:ascii="宋体" w:hAnsi="宋体" w:eastAsia="宋体" w:cs="宋体"/>
          <w:b/>
          <w:bCs/>
          <w:color w:val="auto"/>
          <w:sz w:val="24"/>
          <w:szCs w:val="24"/>
          <w:highlight w:val="none"/>
        </w:rPr>
        <w:t>罚及赔偿；造成严重后果</w:t>
      </w:r>
      <w:r>
        <w:rPr>
          <w:rFonts w:hint="eastAsia" w:ascii="宋体" w:hAnsi="宋体" w:eastAsia="宋体" w:cs="宋体"/>
          <w:b/>
          <w:bCs/>
          <w:color w:val="auto"/>
          <w:spacing w:val="-2"/>
          <w:sz w:val="24"/>
          <w:szCs w:val="24"/>
          <w:highlight w:val="none"/>
        </w:rPr>
        <w:t>的，采购人有权取消结算款、扣除履约保证金、解</w:t>
      </w:r>
      <w:r>
        <w:rPr>
          <w:rFonts w:hint="eastAsia" w:ascii="宋体" w:hAnsi="宋体" w:eastAsia="宋体" w:cs="宋体"/>
          <w:b/>
          <w:bCs/>
          <w:color w:val="auto"/>
          <w:spacing w:val="-3"/>
          <w:sz w:val="24"/>
          <w:szCs w:val="24"/>
          <w:highlight w:val="none"/>
        </w:rPr>
        <w:t>除本合同。</w:t>
      </w:r>
    </w:p>
    <w:p w14:paraId="245014C8">
      <w:pPr>
        <w:pStyle w:val="5"/>
        <w:spacing w:line="400" w:lineRule="auto"/>
        <w:ind w:left="10" w:right="120" w:firstLine="4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②中标人应严格遵守《食品卫生法》和《动物检疫法》等相关规定</w:t>
      </w:r>
      <w:r>
        <w:rPr>
          <w:rFonts w:hint="eastAsia" w:ascii="宋体" w:hAnsi="宋体" w:eastAsia="宋体" w:cs="宋体"/>
          <w:color w:val="auto"/>
          <w:spacing w:val="-4"/>
          <w:sz w:val="24"/>
          <w:szCs w:val="24"/>
          <w:highlight w:val="none"/>
        </w:rPr>
        <w:t>，一经发现供应</w:t>
      </w:r>
      <w:r>
        <w:rPr>
          <w:rFonts w:hint="eastAsia" w:ascii="宋体" w:hAnsi="宋体" w:eastAsia="宋体" w:cs="宋体"/>
          <w:color w:val="auto"/>
          <w:spacing w:val="-3"/>
          <w:sz w:val="24"/>
          <w:szCs w:val="24"/>
          <w:highlight w:val="none"/>
        </w:rPr>
        <w:t>以下食品，除全部退货外，将取消中标人的供货合同，没收全部履约保证金，中</w:t>
      </w:r>
      <w:r>
        <w:rPr>
          <w:rFonts w:hint="eastAsia" w:ascii="宋体" w:hAnsi="宋体" w:eastAsia="宋体" w:cs="宋体"/>
          <w:color w:val="auto"/>
          <w:spacing w:val="-4"/>
          <w:sz w:val="24"/>
          <w:szCs w:val="24"/>
          <w:highlight w:val="none"/>
        </w:rPr>
        <w:t>标人承</w:t>
      </w:r>
      <w:r>
        <w:rPr>
          <w:rFonts w:hint="eastAsia" w:ascii="宋体" w:hAnsi="宋体" w:eastAsia="宋体" w:cs="宋体"/>
          <w:color w:val="auto"/>
          <w:spacing w:val="-1"/>
          <w:sz w:val="24"/>
          <w:szCs w:val="24"/>
          <w:highlight w:val="none"/>
        </w:rPr>
        <w:t>担由此造成的经济责任和法律责任：</w:t>
      </w:r>
    </w:p>
    <w:p w14:paraId="0D05FF32">
      <w:pPr>
        <w:pStyle w:val="5"/>
        <w:spacing w:before="189" w:line="220" w:lineRule="auto"/>
        <w:ind w:left="492"/>
        <w:rPr>
          <w:rFonts w:hint="eastAsia" w:ascii="宋体" w:hAnsi="宋体" w:eastAsia="宋体" w:cs="宋体"/>
          <w:color w:val="auto"/>
          <w:spacing w:val="-3"/>
          <w:sz w:val="24"/>
          <w:szCs w:val="24"/>
          <w:highlight w:val="none"/>
        </w:rPr>
      </w:pPr>
      <w:r>
        <w:rPr>
          <w:rFonts w:hint="eastAsia" w:ascii="宋体" w:hAnsi="宋体" w:eastAsia="宋体" w:cs="宋体"/>
          <w:color w:val="auto"/>
          <w:sz w:val="24"/>
          <w:szCs w:val="24"/>
          <w:highlight w:val="none"/>
        </w:rPr>
        <w:t>1）腐败变质、油脂酸败、霉变、生虫、污秽不洁</w:t>
      </w:r>
      <w:r>
        <w:rPr>
          <w:rFonts w:hint="eastAsia" w:ascii="宋体" w:hAnsi="宋体" w:eastAsia="宋体" w:cs="宋体"/>
          <w:color w:val="auto"/>
          <w:spacing w:val="-1"/>
          <w:sz w:val="24"/>
          <w:szCs w:val="24"/>
          <w:highlight w:val="none"/>
        </w:rPr>
        <w:t>、混有异物或者其他对人体健康</w:t>
      </w:r>
      <w:r>
        <w:rPr>
          <w:rFonts w:hint="eastAsia" w:ascii="宋体" w:hAnsi="宋体" w:eastAsia="宋体" w:cs="宋体"/>
          <w:color w:val="auto"/>
          <w:spacing w:val="-3"/>
          <w:sz w:val="24"/>
          <w:szCs w:val="24"/>
          <w:highlight w:val="none"/>
        </w:rPr>
        <w:t>有害的；</w:t>
      </w:r>
    </w:p>
    <w:p w14:paraId="19C84CE2">
      <w:pPr>
        <w:pStyle w:val="5"/>
        <w:spacing w:before="189" w:line="22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2）含有毒、有害物质或者被有害物质污染，对人体健康有害的；</w:t>
      </w:r>
    </w:p>
    <w:p w14:paraId="3629B56C">
      <w:pPr>
        <w:pStyle w:val="5"/>
        <w:spacing w:before="232"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3）含有致病性寄生虫、微生物或者微生物含量超过国家限定标准的；</w:t>
      </w:r>
    </w:p>
    <w:p w14:paraId="0BB4A612">
      <w:pPr>
        <w:pStyle w:val="5"/>
        <w:spacing w:before="234" w:line="220"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4）未经动物检疫部门检疫、检验或者检疫、检验不</w:t>
      </w:r>
      <w:r>
        <w:rPr>
          <w:rFonts w:hint="eastAsia" w:ascii="宋体" w:hAnsi="宋体" w:eastAsia="宋体" w:cs="宋体"/>
          <w:color w:val="auto"/>
          <w:spacing w:val="-1"/>
          <w:sz w:val="24"/>
          <w:szCs w:val="24"/>
          <w:highlight w:val="none"/>
        </w:rPr>
        <w:t>合格的肉类及其制品；</w:t>
      </w:r>
    </w:p>
    <w:p w14:paraId="0C1CB578">
      <w:pPr>
        <w:pStyle w:val="5"/>
        <w:spacing w:before="234"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5）病死、毒死或者死因不明的禽、蓄、兽、水产动物等及其制品；</w:t>
      </w:r>
    </w:p>
    <w:p w14:paraId="125FB670">
      <w:pPr>
        <w:pStyle w:val="5"/>
        <w:spacing w:before="2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6）掺假、掺杂、伪造，影响营养、卫生的；</w:t>
      </w:r>
    </w:p>
    <w:p w14:paraId="56AC65CE">
      <w:pPr>
        <w:pStyle w:val="5"/>
        <w:spacing w:before="235" w:line="220" w:lineRule="auto"/>
        <w:ind w:left="49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7）用非食品原料加工的，加入非食品用化学物质或者将非食品当作食品的；</w:t>
      </w:r>
    </w:p>
    <w:p w14:paraId="0A7980F5">
      <w:pPr>
        <w:pStyle w:val="5"/>
        <w:spacing w:before="235" w:line="221"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8）超过保质期限的。</w:t>
      </w:r>
    </w:p>
    <w:p w14:paraId="1F01D7A3">
      <w:pPr>
        <w:pStyle w:val="5"/>
        <w:spacing w:before="231" w:line="400" w:lineRule="auto"/>
        <w:ind w:left="9" w:right="63"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③如中标人送至的食材品质、质量或其他不满足采购人的要求时，</w:t>
      </w:r>
      <w:r>
        <w:rPr>
          <w:rFonts w:hint="eastAsia" w:ascii="宋体" w:hAnsi="宋体" w:eastAsia="宋体" w:cs="宋体"/>
          <w:color w:val="auto"/>
          <w:spacing w:val="-4"/>
          <w:sz w:val="24"/>
          <w:szCs w:val="24"/>
          <w:highlight w:val="none"/>
        </w:rPr>
        <w:t>采购人有权退回</w:t>
      </w:r>
      <w:r>
        <w:rPr>
          <w:rFonts w:hint="eastAsia" w:ascii="宋体" w:hAnsi="宋体" w:eastAsia="宋体" w:cs="宋体"/>
          <w:color w:val="auto"/>
          <w:spacing w:val="-3"/>
          <w:sz w:val="24"/>
          <w:szCs w:val="24"/>
          <w:highlight w:val="none"/>
        </w:rPr>
        <w:t>食材并要求中标人在规定的时间内更换合格的食材：如不能按时送到由此产生的损</w:t>
      </w:r>
      <w:r>
        <w:rPr>
          <w:rFonts w:hint="eastAsia" w:ascii="宋体" w:hAnsi="宋体" w:eastAsia="宋体" w:cs="宋体"/>
          <w:color w:val="auto"/>
          <w:spacing w:val="-4"/>
          <w:sz w:val="24"/>
          <w:szCs w:val="24"/>
          <w:highlight w:val="none"/>
        </w:rPr>
        <w:t>失由</w:t>
      </w:r>
      <w:r>
        <w:rPr>
          <w:rFonts w:hint="eastAsia" w:ascii="宋体" w:hAnsi="宋体" w:eastAsia="宋体" w:cs="宋体"/>
          <w:color w:val="auto"/>
          <w:sz w:val="24"/>
          <w:szCs w:val="24"/>
          <w:highlight w:val="none"/>
        </w:rPr>
        <w:t>中标人承担相应的赔偿，根据情节严重情况</w:t>
      </w:r>
      <w:r>
        <w:rPr>
          <w:rFonts w:hint="eastAsia" w:ascii="宋体" w:hAnsi="宋体" w:eastAsia="宋体" w:cs="宋体"/>
          <w:color w:val="auto"/>
          <w:spacing w:val="-1"/>
          <w:sz w:val="24"/>
          <w:szCs w:val="24"/>
          <w:highlight w:val="none"/>
        </w:rPr>
        <w:t>，采购人有权解除合同。</w:t>
      </w:r>
    </w:p>
    <w:p w14:paraId="74377494">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3、★项目人员配备要求</w:t>
      </w:r>
    </w:p>
    <w:p w14:paraId="4E6B556B">
      <w:pPr>
        <w:pStyle w:val="5"/>
        <w:spacing w:before="233" w:line="400" w:lineRule="auto"/>
        <w:ind w:left="8" w:right="65" w:firstLine="49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（1）人员数量：投标人须为本项目提供不少于</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4"/>
          <w:sz w:val="24"/>
          <w:szCs w:val="24"/>
          <w:highlight w:val="none"/>
        </w:rPr>
        <w:t>4</w:t>
      </w:r>
      <w:r>
        <w:rPr>
          <w:rFonts w:hint="eastAsia" w:ascii="宋体" w:hAnsi="宋体" w:eastAsia="宋体" w:cs="宋体"/>
          <w:color w:val="auto"/>
          <w:spacing w:val="-49"/>
          <w:sz w:val="24"/>
          <w:szCs w:val="24"/>
          <w:highlight w:val="none"/>
        </w:rPr>
        <w:t xml:space="preserve"> </w:t>
      </w:r>
      <w:r>
        <w:rPr>
          <w:rFonts w:hint="eastAsia" w:ascii="宋体" w:hAnsi="宋体" w:eastAsia="宋体" w:cs="宋体"/>
          <w:b/>
          <w:bCs/>
          <w:color w:val="auto"/>
          <w:spacing w:val="-4"/>
          <w:sz w:val="24"/>
          <w:szCs w:val="24"/>
          <w:highlight w:val="none"/>
        </w:rPr>
        <w:t>人的项目服务团队，包</w:t>
      </w:r>
      <w:r>
        <w:rPr>
          <w:rFonts w:hint="eastAsia" w:ascii="宋体" w:hAnsi="宋体" w:eastAsia="宋体" w:cs="宋体"/>
          <w:b/>
          <w:bCs/>
          <w:color w:val="auto"/>
          <w:spacing w:val="-5"/>
          <w:sz w:val="24"/>
          <w:szCs w:val="24"/>
          <w:highlight w:val="none"/>
        </w:rPr>
        <w:t>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b/>
          <w:bCs/>
          <w:color w:val="auto"/>
          <w:spacing w:val="-5"/>
          <w:sz w:val="24"/>
          <w:szCs w:val="24"/>
          <w:highlight w:val="none"/>
        </w:rPr>
        <w:t>2</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5"/>
          <w:sz w:val="24"/>
          <w:szCs w:val="24"/>
          <w:highlight w:val="none"/>
        </w:rPr>
        <w:t>名司</w:t>
      </w:r>
      <w:r>
        <w:rPr>
          <w:rFonts w:hint="eastAsia" w:ascii="宋体" w:hAnsi="宋体" w:eastAsia="宋体" w:cs="宋体"/>
          <w:b/>
          <w:bCs/>
          <w:color w:val="auto"/>
          <w:spacing w:val="-4"/>
          <w:sz w:val="24"/>
          <w:szCs w:val="24"/>
          <w:highlight w:val="none"/>
        </w:rPr>
        <w:t>机，2</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pacing w:val="-4"/>
          <w:sz w:val="24"/>
          <w:szCs w:val="24"/>
          <w:highlight w:val="none"/>
        </w:rPr>
        <w:t>名专职配送人员。</w:t>
      </w:r>
    </w:p>
    <w:p w14:paraId="2F841C79">
      <w:pPr>
        <w:pStyle w:val="5"/>
        <w:spacing w:before="2" w:line="400"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（2）人员条件：投标人拟投入本项目人员</w:t>
      </w:r>
      <w:r>
        <w:rPr>
          <w:rFonts w:hint="eastAsia" w:ascii="宋体" w:hAnsi="宋体" w:eastAsia="宋体" w:cs="宋体"/>
          <w:b/>
          <w:bCs/>
          <w:color w:val="auto"/>
          <w:sz w:val="24"/>
          <w:szCs w:val="24"/>
          <w:highlight w:val="none"/>
        </w:rPr>
        <w:t>均须有有效的健康证件(投标文件中提</w:t>
      </w:r>
      <w:r>
        <w:rPr>
          <w:rFonts w:hint="eastAsia" w:ascii="宋体" w:hAnsi="宋体" w:eastAsia="宋体" w:cs="宋体"/>
          <w:b/>
          <w:bCs/>
          <w:color w:val="auto"/>
          <w:spacing w:val="-3"/>
          <w:sz w:val="24"/>
          <w:szCs w:val="24"/>
          <w:highlight w:val="none"/>
        </w:rPr>
        <w:t>供身份证和健康证复印件)。</w:t>
      </w:r>
    </w:p>
    <w:p w14:paraId="44495F18">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4、★项目工具设备配备要求</w:t>
      </w:r>
    </w:p>
    <w:p w14:paraId="07314148">
      <w:pPr>
        <w:pStyle w:val="5"/>
        <w:spacing w:before="231" w:line="400" w:lineRule="auto"/>
        <w:ind w:left="12" w:right="63"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投标人具备满足本项目需求的物资配送能力，须配备不少于两台的配送车</w:t>
      </w:r>
      <w:r>
        <w:rPr>
          <w:rFonts w:hint="eastAsia" w:ascii="宋体" w:hAnsi="宋体" w:eastAsia="宋体" w:cs="宋体"/>
          <w:b/>
          <w:bCs/>
          <w:color w:val="auto"/>
          <w:sz w:val="24"/>
          <w:szCs w:val="24"/>
          <w:highlight w:val="none"/>
        </w:rPr>
        <w:t>辆，其</w:t>
      </w:r>
      <w:r>
        <w:rPr>
          <w:rFonts w:hint="eastAsia" w:ascii="宋体" w:hAnsi="宋体" w:eastAsia="宋体" w:cs="宋体"/>
          <w:b/>
          <w:bCs/>
          <w:color w:val="auto"/>
          <w:spacing w:val="1"/>
          <w:sz w:val="24"/>
          <w:szCs w:val="24"/>
          <w:highlight w:val="none"/>
        </w:rPr>
        <w:t>中至少包含一台冷藏运输车。（车辆为自有或租赁均可，提供</w:t>
      </w:r>
      <w:r>
        <w:rPr>
          <w:rFonts w:hint="eastAsia" w:ascii="宋体" w:hAnsi="宋体" w:eastAsia="宋体" w:cs="宋体"/>
          <w:b/>
          <w:bCs/>
          <w:color w:val="auto"/>
          <w:sz w:val="24"/>
          <w:szCs w:val="24"/>
          <w:highlight w:val="none"/>
        </w:rPr>
        <w:t>车辆行驶证、购买发票</w:t>
      </w:r>
      <w:bookmarkStart w:id="9" w:name="bookmark65"/>
      <w:bookmarkEnd w:id="9"/>
      <w:r>
        <w:rPr>
          <w:rFonts w:hint="eastAsia" w:ascii="宋体" w:hAnsi="宋体" w:eastAsia="宋体" w:cs="宋体"/>
          <w:b/>
          <w:bCs/>
          <w:color w:val="auto"/>
          <w:spacing w:val="-3"/>
          <w:sz w:val="24"/>
          <w:szCs w:val="24"/>
          <w:highlight w:val="none"/>
        </w:rPr>
        <w:t>或租赁协议等证明材料）</w:t>
      </w:r>
    </w:p>
    <w:p w14:paraId="0206176D">
      <w:pPr>
        <w:bidi w:val="0"/>
        <w:rPr>
          <w:rFonts w:hint="eastAsia" w:ascii="宋体" w:hAnsi="宋体" w:eastAsia="宋体" w:cs="宋体"/>
          <w:color w:val="auto"/>
          <w:sz w:val="24"/>
          <w:szCs w:val="24"/>
          <w:highlight w:val="none"/>
        </w:rPr>
      </w:pPr>
      <w:bookmarkStart w:id="10" w:name="bookmark102"/>
      <w:bookmarkEnd w:id="10"/>
      <w:r>
        <w:rPr>
          <w:rFonts w:hint="eastAsia" w:ascii="宋体" w:hAnsi="宋体" w:eastAsia="宋体" w:cs="宋体"/>
          <w:b/>
          <w:bCs/>
          <w:color w:val="auto"/>
          <w:spacing w:val="-6"/>
          <w:sz w:val="24"/>
          <w:szCs w:val="24"/>
          <w:highlight w:val="none"/>
        </w:rPr>
        <w:t>四、项目履约验收</w:t>
      </w:r>
    </w:p>
    <w:p w14:paraId="689F6977">
      <w:pPr>
        <w:pStyle w:val="5"/>
        <w:spacing w:before="234" w:line="400" w:lineRule="auto"/>
        <w:ind w:left="10" w:right="63" w:firstLine="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（1）验收标准：配送食材按招标文件中的食材质量要求以及国</w:t>
      </w:r>
      <w:r>
        <w:rPr>
          <w:rFonts w:hint="eastAsia" w:ascii="宋体" w:hAnsi="宋体" w:eastAsia="宋体" w:cs="宋体"/>
          <w:color w:val="auto"/>
          <w:spacing w:val="-1"/>
          <w:sz w:val="24"/>
          <w:szCs w:val="24"/>
          <w:highlight w:val="none"/>
        </w:rPr>
        <w:t>家相关标准、行业标准、地方标准或者其他标准、规范进行验收。</w:t>
      </w:r>
    </w:p>
    <w:p w14:paraId="0FEC1E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（2）验收流程：采购人指派质量检测员、负责现场验收工作。</w:t>
      </w:r>
      <w:r>
        <w:rPr>
          <w:rFonts w:hint="eastAsia" w:ascii="宋体" w:hAnsi="宋体" w:eastAsia="宋体" w:cs="宋体"/>
          <w:color w:val="auto"/>
          <w:spacing w:val="-1"/>
          <w:sz w:val="24"/>
          <w:szCs w:val="24"/>
          <w:highlight w:val="none"/>
        </w:rPr>
        <w:t>质量检测员严格按</w:t>
      </w:r>
      <w:r>
        <w:rPr>
          <w:rFonts w:hint="eastAsia" w:ascii="宋体" w:hAnsi="宋体" w:eastAsia="宋体" w:cs="宋体"/>
          <w:color w:val="auto"/>
          <w:spacing w:val="-4"/>
          <w:sz w:val="24"/>
          <w:szCs w:val="24"/>
          <w:highlight w:val="none"/>
        </w:rPr>
        <w:t>照“验收标准</w:t>
      </w:r>
      <w:r>
        <w:rPr>
          <w:rFonts w:hint="eastAsia" w:ascii="宋体" w:hAnsi="宋体" w:eastAsia="宋体" w:cs="宋体"/>
          <w:color w:val="auto"/>
          <w:spacing w:val="-84"/>
          <w:sz w:val="24"/>
          <w:szCs w:val="24"/>
          <w:highlight w:val="none"/>
        </w:rPr>
        <w:t xml:space="preserve"> </w:t>
      </w:r>
      <w:r>
        <w:rPr>
          <w:rFonts w:hint="eastAsia" w:ascii="宋体" w:hAnsi="宋体" w:eastAsia="宋体" w:cs="宋体"/>
          <w:color w:val="auto"/>
          <w:spacing w:val="-4"/>
          <w:sz w:val="24"/>
          <w:szCs w:val="24"/>
          <w:highlight w:val="none"/>
        </w:rPr>
        <w:t>”进行品种、质量验收，并填写验收记录。经投标人配送人员、采购人质</w:t>
      </w:r>
      <w:r>
        <w:rPr>
          <w:rFonts w:hint="eastAsia" w:ascii="宋体" w:hAnsi="宋体" w:eastAsia="宋体" w:cs="宋体"/>
          <w:color w:val="auto"/>
          <w:spacing w:val="-3"/>
          <w:sz w:val="24"/>
          <w:szCs w:val="24"/>
          <w:highlight w:val="none"/>
        </w:rPr>
        <w:t>量检测员、食堂人员验收签字确认后，方完成配送工作。采购人还可指派第三方检</w:t>
      </w:r>
      <w:r>
        <w:rPr>
          <w:rFonts w:hint="eastAsia" w:ascii="宋体" w:hAnsi="宋体" w:eastAsia="宋体" w:cs="宋体"/>
          <w:color w:val="auto"/>
          <w:spacing w:val="-4"/>
          <w:sz w:val="24"/>
          <w:szCs w:val="24"/>
          <w:highlight w:val="none"/>
        </w:rPr>
        <w:t>测机</w:t>
      </w:r>
      <w:r>
        <w:rPr>
          <w:rFonts w:hint="eastAsia" w:ascii="宋体" w:hAnsi="宋体" w:eastAsia="宋体" w:cs="宋体"/>
          <w:color w:val="auto"/>
          <w:spacing w:val="-7"/>
          <w:sz w:val="24"/>
          <w:szCs w:val="24"/>
          <w:highlight w:val="none"/>
        </w:rPr>
        <w:t>构对中标人提供的食堂原材料进行抽检，若抽</w:t>
      </w:r>
      <w:r>
        <w:rPr>
          <w:rFonts w:hint="eastAsia" w:ascii="宋体" w:hAnsi="宋体" w:eastAsia="宋体" w:cs="宋体"/>
          <w:color w:val="auto"/>
          <w:spacing w:val="-8"/>
          <w:sz w:val="24"/>
          <w:szCs w:val="24"/>
          <w:highlight w:val="none"/>
        </w:rPr>
        <w:t>检不合格，造成的损失由中标人全部承担，</w:t>
      </w:r>
      <w:r>
        <w:rPr>
          <w:rFonts w:hint="eastAsia" w:ascii="宋体" w:hAnsi="宋体" w:eastAsia="宋体" w:cs="宋体"/>
          <w:color w:val="auto"/>
          <w:spacing w:val="-1"/>
          <w:sz w:val="24"/>
          <w:szCs w:val="24"/>
          <w:highlight w:val="none"/>
        </w:rPr>
        <w:t>采购人并扣除中标人履约保证金的</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5%作为处罚，并解除供货合同。</w:t>
      </w:r>
      <w:bookmarkStart w:id="11" w:name="bookmark66"/>
      <w:bookmarkEnd w:id="11"/>
    </w:p>
    <w:tbl>
      <w:tblPr>
        <w:tblStyle w:val="8"/>
        <w:tblW w:w="77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4"/>
        <w:gridCol w:w="1258"/>
        <w:gridCol w:w="3155"/>
        <w:gridCol w:w="2443"/>
      </w:tblGrid>
      <w:tr w14:paraId="7DDA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14D3">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lang w:val="en-US" w:eastAsia="zh-CN" w:bidi="ar"/>
              </w:rPr>
              <w:t>内容</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EEFC">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lang w:val="en-US" w:eastAsia="zh-CN" w:bidi="ar"/>
              </w:rPr>
              <w:t>项目</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70AB">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lang w:val="en-US" w:eastAsia="zh-CN" w:bidi="ar"/>
              </w:rPr>
              <w:t>要求</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B41F">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6"/>
                <w:lang w:val="en-US" w:eastAsia="zh-CN" w:bidi="ar"/>
              </w:rPr>
              <w:t>扣</w:t>
            </w:r>
            <w:r>
              <w:rPr>
                <w:rStyle w:val="15"/>
                <w:lang w:val="en-US" w:eastAsia="zh-CN" w:bidi="ar"/>
              </w:rPr>
              <w:t>款标准</w:t>
            </w:r>
          </w:p>
        </w:tc>
      </w:tr>
      <w:tr w14:paraId="66E88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A0B3D">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配送时效</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7B11">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7"/>
                <w:b/>
                <w:bCs/>
                <w:lang w:val="en-US" w:eastAsia="zh-CN" w:bidi="ar"/>
              </w:rPr>
              <w:t>准时送达率</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FEC5">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100%准时送达</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8F8D">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若超时扣除500元/次</w:t>
            </w:r>
          </w:p>
        </w:tc>
      </w:tr>
      <w:tr w14:paraId="072E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1F6CF">
            <w:pPr>
              <w:jc w:val="center"/>
              <w:rPr>
                <w:rFonts w:hint="eastAsia" w:ascii="宋体" w:hAnsi="宋体" w:eastAsia="宋体" w:cs="宋体"/>
                <w:b/>
                <w:bCs/>
                <w:i w:val="0"/>
                <w:iCs w:val="0"/>
                <w:color w:val="000000"/>
                <w:sz w:val="16"/>
                <w:szCs w:val="16"/>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7E02">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配送响应速度</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9829">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紧急订单30分钟内响应，常规订</w:t>
            </w:r>
            <w:r>
              <w:rPr>
                <w:rStyle w:val="17"/>
                <w:lang w:val="en-US" w:eastAsia="zh-CN" w:bidi="ar"/>
              </w:rPr>
              <w:br w:type="textWrapping"/>
            </w:r>
            <w:r>
              <w:rPr>
                <w:rStyle w:val="17"/>
                <w:lang w:val="en-US" w:eastAsia="zh-CN" w:bidi="ar"/>
              </w:rPr>
              <w:t>单1小时内响应</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D8F9">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不达标扣除500元/次</w:t>
            </w:r>
          </w:p>
        </w:tc>
      </w:tr>
      <w:tr w14:paraId="7A1D0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A9C35">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食材质量</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0FA3">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7"/>
                <w:b/>
                <w:bCs/>
                <w:lang w:val="en-US" w:eastAsia="zh-CN" w:bidi="ar"/>
              </w:rPr>
              <w:t>食材新鲜度</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2CB3">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所有食材符合新鲜度要求，无腐烂、变质</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48A3">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出现不合格1000元/次</w:t>
            </w:r>
          </w:p>
        </w:tc>
      </w:tr>
      <w:tr w14:paraId="56AE0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9AC58">
            <w:pPr>
              <w:jc w:val="center"/>
              <w:rPr>
                <w:rFonts w:hint="eastAsia" w:ascii="宋体" w:hAnsi="宋体" w:eastAsia="宋体" w:cs="宋体"/>
                <w:b/>
                <w:bCs/>
                <w:i w:val="0"/>
                <w:iCs w:val="0"/>
                <w:color w:val="000000"/>
                <w:sz w:val="16"/>
                <w:szCs w:val="16"/>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8E93">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食材规格达标</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83CB">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食材规格、重量符合订单要求，不</w:t>
            </w:r>
            <w:r>
              <w:rPr>
                <w:rStyle w:val="17"/>
                <w:lang w:val="en-US" w:eastAsia="zh-CN" w:bidi="ar"/>
              </w:rPr>
              <w:br w:type="textWrapping"/>
            </w:r>
            <w:r>
              <w:rPr>
                <w:rStyle w:val="17"/>
                <w:lang w:val="en-US" w:eastAsia="zh-CN" w:bidi="ar"/>
              </w:rPr>
              <w:t>得出现缺斤短两</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95DA">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出现不合格500元/次</w:t>
            </w:r>
          </w:p>
        </w:tc>
      </w:tr>
      <w:tr w14:paraId="41C79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24FE1">
            <w:pPr>
              <w:jc w:val="center"/>
              <w:rPr>
                <w:rFonts w:hint="eastAsia" w:ascii="宋体" w:hAnsi="宋体" w:eastAsia="宋体" w:cs="宋体"/>
                <w:b/>
                <w:bCs/>
                <w:i w:val="0"/>
                <w:iCs w:val="0"/>
                <w:color w:val="000000"/>
                <w:sz w:val="16"/>
                <w:szCs w:val="16"/>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6139">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包装密封卫生</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A719">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食材包装完好、密封，无破损、污染</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CCB1">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出现不合格500元/次</w:t>
            </w:r>
          </w:p>
        </w:tc>
      </w:tr>
      <w:tr w14:paraId="2F11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1A547">
            <w:pPr>
              <w:jc w:val="center"/>
              <w:rPr>
                <w:rFonts w:hint="eastAsia" w:ascii="宋体" w:hAnsi="宋体" w:eastAsia="宋体" w:cs="宋体"/>
                <w:b/>
                <w:bCs/>
                <w:i w:val="0"/>
                <w:iCs w:val="0"/>
                <w:color w:val="000000"/>
                <w:sz w:val="16"/>
                <w:szCs w:val="16"/>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C172">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操作规范</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9AF7">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生熟食材分开存放、运输，交叉污染风险</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7C32">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出现不合格500元/次</w:t>
            </w:r>
          </w:p>
        </w:tc>
      </w:tr>
      <w:tr w14:paraId="7CD06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99C9">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卫生要求</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477A">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7"/>
                <w:b/>
                <w:bCs/>
                <w:lang w:val="en-US" w:eastAsia="zh-CN" w:bidi="ar"/>
              </w:rPr>
              <w:t>卫生要求</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8483">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每天工作完毕后，及时清理厨房现</w:t>
            </w:r>
            <w:r>
              <w:rPr>
                <w:rStyle w:val="17"/>
                <w:lang w:val="en-US" w:eastAsia="zh-CN" w:bidi="ar"/>
              </w:rPr>
              <w:br w:type="textWrapping"/>
            </w:r>
            <w:r>
              <w:rPr>
                <w:rStyle w:val="17"/>
                <w:lang w:val="en-US" w:eastAsia="zh-CN" w:bidi="ar"/>
              </w:rPr>
              <w:t>场，垃圾分类。将生产用具、炉灶</w:t>
            </w:r>
            <w:r>
              <w:rPr>
                <w:rStyle w:val="17"/>
                <w:lang w:val="en-US" w:eastAsia="zh-CN" w:bidi="ar"/>
              </w:rPr>
              <w:br w:type="textWrapping"/>
            </w:r>
            <w:r>
              <w:rPr>
                <w:rStyle w:val="17"/>
                <w:lang w:val="en-US" w:eastAsia="zh-CN" w:bidi="ar"/>
              </w:rPr>
              <w:t>台、工作台、工作柜、清洗干净，</w:t>
            </w:r>
            <w:r>
              <w:rPr>
                <w:rStyle w:val="17"/>
                <w:lang w:val="en-US" w:eastAsia="zh-CN" w:bidi="ar"/>
              </w:rPr>
              <w:br w:type="textWrapping"/>
            </w:r>
            <w:r>
              <w:rPr>
                <w:rStyle w:val="17"/>
                <w:lang w:val="en-US" w:eastAsia="zh-CN" w:bidi="ar"/>
              </w:rPr>
              <w:t xml:space="preserve">       不能有污渍。</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CFE7">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不达标扣除500元/次</w:t>
            </w:r>
          </w:p>
        </w:tc>
      </w:tr>
      <w:tr w14:paraId="1540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7348">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价格合规</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CE90">
            <w:pPr>
              <w:keepNext w:val="0"/>
              <w:keepLines w:val="0"/>
              <w:widowControl/>
              <w:suppressLineNumbers w:val="0"/>
              <w:jc w:val="center"/>
              <w:textAlignment w:val="center"/>
              <w:rPr>
                <w:rFonts w:ascii="宋体" w:hAnsi="宋体" w:eastAsia="宋体" w:cs="宋体"/>
                <w:b/>
                <w:bCs/>
                <w:i w:val="0"/>
                <w:iCs w:val="0"/>
                <w:color w:val="000000"/>
                <w:sz w:val="16"/>
                <w:szCs w:val="16"/>
                <w:u w:val="none"/>
              </w:rPr>
            </w:pPr>
            <w:r>
              <w:rPr>
                <w:rStyle w:val="15"/>
                <w:b/>
                <w:bCs/>
                <w:lang w:val="en-US" w:eastAsia="zh-CN" w:bidi="ar"/>
              </w:rPr>
              <w:t>价格合规</w:t>
            </w:r>
          </w:p>
        </w:tc>
        <w:tc>
          <w:tcPr>
            <w:tcW w:w="3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6E93">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配送价格符合合同约定</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3871">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Style w:val="17"/>
                <w:lang w:val="en-US" w:eastAsia="zh-CN" w:bidi="ar"/>
              </w:rPr>
              <w:t>出现不合格1000元/次</w:t>
            </w:r>
          </w:p>
        </w:tc>
      </w:tr>
      <w:tr w14:paraId="40CC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7718" w:type="dxa"/>
            <w:gridSpan w:val="4"/>
            <w:tcBorders>
              <w:top w:val="nil"/>
              <w:left w:val="nil"/>
              <w:bottom w:val="nil"/>
              <w:right w:val="nil"/>
            </w:tcBorders>
            <w:shd w:val="clear" w:color="auto" w:fill="auto"/>
            <w:vAlign w:val="top"/>
          </w:tcPr>
          <w:p w14:paraId="11E6E281">
            <w:pPr>
              <w:keepNext w:val="0"/>
              <w:keepLines w:val="0"/>
              <w:widowControl/>
              <w:suppressLineNumbers w:val="0"/>
              <w:jc w:val="center"/>
              <w:textAlignment w:val="top"/>
              <w:rPr>
                <w:rFonts w:ascii="黑体" w:hAnsi="宋体" w:eastAsia="黑体" w:cs="黑体"/>
                <w:i w:val="0"/>
                <w:iCs w:val="0"/>
                <w:color w:val="000000"/>
                <w:sz w:val="12"/>
                <w:szCs w:val="12"/>
                <w:u w:val="none"/>
              </w:rPr>
            </w:pPr>
            <w:r>
              <w:rPr>
                <w:rStyle w:val="18"/>
                <w:lang w:val="en-US" w:eastAsia="zh-CN" w:bidi="ar"/>
              </w:rPr>
              <w:t>十</w:t>
            </w:r>
          </w:p>
        </w:tc>
      </w:tr>
    </w:tbl>
    <w:p w14:paraId="66BBF004">
      <w:pPr>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hint="eastAsia" w:ascii="宋体" w:hAnsi="宋体" w:eastAsia="宋体" w:cs="宋体"/>
          <w:color w:val="auto"/>
          <w:spacing w:val="-1"/>
          <w:sz w:val="24"/>
          <w:szCs w:val="24"/>
          <w:highlight w:val="none"/>
          <w:lang w:eastAsia="zh-CN"/>
        </w:rPr>
      </w:pPr>
    </w:p>
    <w:p w14:paraId="7EAAB8D6">
      <w:pPr>
        <w:bidi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五、商务和技术主要要求对照表</w:t>
      </w:r>
    </w:p>
    <w:p w14:paraId="00BF64D4">
      <w:pPr>
        <w:spacing w:before="93"/>
        <w:rPr>
          <w:rFonts w:hint="eastAsia" w:ascii="宋体" w:hAnsi="宋体" w:eastAsia="宋体" w:cs="宋体"/>
          <w:color w:val="auto"/>
          <w:sz w:val="24"/>
          <w:szCs w:val="24"/>
          <w:highlight w:val="none"/>
        </w:rPr>
      </w:pPr>
    </w:p>
    <w:tbl>
      <w:tblPr>
        <w:tblStyle w:val="12"/>
        <w:tblW w:w="8483" w:type="dxa"/>
        <w:tblInd w:w="2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2"/>
        <w:gridCol w:w="2977"/>
        <w:gridCol w:w="4424"/>
      </w:tblGrid>
      <w:tr w14:paraId="497BC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082" w:type="dxa"/>
            <w:vAlign w:val="top"/>
          </w:tcPr>
          <w:p w14:paraId="7AD43F0D">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项目</w:t>
            </w:r>
          </w:p>
        </w:tc>
        <w:tc>
          <w:tcPr>
            <w:tcW w:w="2977" w:type="dxa"/>
            <w:vAlign w:val="top"/>
          </w:tcPr>
          <w:p w14:paraId="463E2450">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分项</w:t>
            </w:r>
          </w:p>
        </w:tc>
        <w:tc>
          <w:tcPr>
            <w:tcW w:w="4424" w:type="dxa"/>
            <w:vAlign w:val="top"/>
          </w:tcPr>
          <w:p w14:paraId="3F71B2B8">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内容</w:t>
            </w:r>
          </w:p>
        </w:tc>
      </w:tr>
      <w:tr w14:paraId="213C0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82" w:type="dxa"/>
            <w:vMerge w:val="restart"/>
            <w:tcBorders>
              <w:bottom w:val="nil"/>
            </w:tcBorders>
            <w:vAlign w:val="center"/>
          </w:tcPr>
          <w:p w14:paraId="6B42D569">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p w14:paraId="11DCA9CF">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商务部分</w:t>
            </w:r>
          </w:p>
        </w:tc>
        <w:tc>
          <w:tcPr>
            <w:tcW w:w="2977" w:type="dxa"/>
            <w:vAlign w:val="top"/>
          </w:tcPr>
          <w:p w14:paraId="05CB8DA0">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类似业绩</w:t>
            </w:r>
          </w:p>
        </w:tc>
        <w:tc>
          <w:tcPr>
            <w:tcW w:w="4424" w:type="dxa"/>
            <w:vAlign w:val="center"/>
          </w:tcPr>
          <w:p w14:paraId="7FA95E37">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36AB0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82" w:type="dxa"/>
            <w:vMerge w:val="continue"/>
            <w:tcBorders>
              <w:top w:val="nil"/>
              <w:bottom w:val="nil"/>
            </w:tcBorders>
            <w:vAlign w:val="center"/>
          </w:tcPr>
          <w:p w14:paraId="45D7DCE0">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759F3DDA">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企业信誉</w:t>
            </w:r>
          </w:p>
        </w:tc>
        <w:tc>
          <w:tcPr>
            <w:tcW w:w="4424" w:type="dxa"/>
            <w:vAlign w:val="center"/>
          </w:tcPr>
          <w:p w14:paraId="08D7CDE6">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767E4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82" w:type="dxa"/>
            <w:vMerge w:val="continue"/>
            <w:tcBorders>
              <w:top w:val="nil"/>
              <w:bottom w:val="nil"/>
            </w:tcBorders>
            <w:vAlign w:val="center"/>
          </w:tcPr>
          <w:p w14:paraId="722F1DD6">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5CF0E9CB">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保险保障</w:t>
            </w:r>
          </w:p>
        </w:tc>
        <w:tc>
          <w:tcPr>
            <w:tcW w:w="4424" w:type="dxa"/>
            <w:vAlign w:val="center"/>
          </w:tcPr>
          <w:p w14:paraId="6B9FE6F7">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50E63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082" w:type="dxa"/>
            <w:vMerge w:val="continue"/>
            <w:tcBorders>
              <w:top w:val="nil"/>
            </w:tcBorders>
            <w:vAlign w:val="center"/>
          </w:tcPr>
          <w:p w14:paraId="3ED673D3">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21A96AD1">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项目人员</w:t>
            </w:r>
          </w:p>
        </w:tc>
        <w:tc>
          <w:tcPr>
            <w:tcW w:w="4424" w:type="dxa"/>
            <w:vAlign w:val="center"/>
          </w:tcPr>
          <w:p w14:paraId="520ACE5F">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7CA9E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restart"/>
            <w:tcBorders>
              <w:bottom w:val="nil"/>
            </w:tcBorders>
            <w:vAlign w:val="center"/>
          </w:tcPr>
          <w:p w14:paraId="1A70D361">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p w14:paraId="7C89D219">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技术部分</w:t>
            </w:r>
          </w:p>
        </w:tc>
        <w:tc>
          <w:tcPr>
            <w:tcW w:w="2977" w:type="dxa"/>
            <w:vAlign w:val="top"/>
          </w:tcPr>
          <w:p w14:paraId="4482BDEE">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整体</w:t>
            </w:r>
            <w:r>
              <w:rPr>
                <w:rFonts w:hint="eastAsia" w:ascii="宋体" w:hAnsi="宋体" w:eastAsia="宋体" w:cs="宋体"/>
                <w:color w:val="auto"/>
                <w:spacing w:val="9"/>
                <w:sz w:val="24"/>
                <w:szCs w:val="24"/>
                <w:highlight w:val="none"/>
              </w:rPr>
              <w:t>服务方案</w:t>
            </w:r>
          </w:p>
        </w:tc>
        <w:tc>
          <w:tcPr>
            <w:tcW w:w="4424" w:type="dxa"/>
            <w:vAlign w:val="center"/>
          </w:tcPr>
          <w:p w14:paraId="54A5AF58">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0656D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continue"/>
            <w:tcBorders>
              <w:top w:val="nil"/>
              <w:bottom w:val="nil"/>
            </w:tcBorders>
            <w:vAlign w:val="top"/>
          </w:tcPr>
          <w:p w14:paraId="64C2FB22">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0E2A973F">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食品质量控制</w:t>
            </w:r>
          </w:p>
        </w:tc>
        <w:tc>
          <w:tcPr>
            <w:tcW w:w="4424" w:type="dxa"/>
            <w:vAlign w:val="center"/>
          </w:tcPr>
          <w:p w14:paraId="508C0EC7">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7321B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continue"/>
            <w:tcBorders>
              <w:top w:val="nil"/>
              <w:bottom w:val="nil"/>
            </w:tcBorders>
            <w:vAlign w:val="top"/>
          </w:tcPr>
          <w:p w14:paraId="7656E76D">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684232FB">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设备和场地维护</w:t>
            </w:r>
          </w:p>
        </w:tc>
        <w:tc>
          <w:tcPr>
            <w:tcW w:w="4424" w:type="dxa"/>
            <w:vAlign w:val="center"/>
          </w:tcPr>
          <w:p w14:paraId="0C8375E3">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1262C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continue"/>
            <w:tcBorders>
              <w:top w:val="nil"/>
              <w:bottom w:val="nil"/>
            </w:tcBorders>
            <w:vAlign w:val="top"/>
          </w:tcPr>
          <w:p w14:paraId="0C7F85E7">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19A733E4">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安全自检能力</w:t>
            </w:r>
          </w:p>
        </w:tc>
        <w:tc>
          <w:tcPr>
            <w:tcW w:w="4424" w:type="dxa"/>
            <w:vAlign w:val="center"/>
          </w:tcPr>
          <w:p w14:paraId="574E8D30">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210F0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continue"/>
            <w:tcBorders>
              <w:top w:val="nil"/>
              <w:bottom w:val="nil"/>
            </w:tcBorders>
            <w:vAlign w:val="top"/>
          </w:tcPr>
          <w:p w14:paraId="269CA425">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4E6DB06E">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人员卫生控制</w:t>
            </w:r>
          </w:p>
        </w:tc>
        <w:tc>
          <w:tcPr>
            <w:tcW w:w="4424" w:type="dxa"/>
            <w:vAlign w:val="center"/>
          </w:tcPr>
          <w:p w14:paraId="128AFB65">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11476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82" w:type="dxa"/>
            <w:vMerge w:val="continue"/>
            <w:tcBorders>
              <w:top w:val="nil"/>
              <w:bottom w:val="nil"/>
            </w:tcBorders>
            <w:vAlign w:val="top"/>
          </w:tcPr>
          <w:p w14:paraId="743241F1">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75D2FA27">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人员配备</w:t>
            </w:r>
          </w:p>
        </w:tc>
        <w:tc>
          <w:tcPr>
            <w:tcW w:w="4424" w:type="dxa"/>
            <w:vAlign w:val="center"/>
          </w:tcPr>
          <w:p w14:paraId="000EBD3A">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7AD6C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82" w:type="dxa"/>
            <w:vMerge w:val="continue"/>
            <w:tcBorders>
              <w:top w:val="nil"/>
              <w:bottom w:val="nil"/>
            </w:tcBorders>
            <w:vAlign w:val="top"/>
          </w:tcPr>
          <w:p w14:paraId="34DD9354">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4B574071">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eastAsia="zh-CN"/>
              </w:rPr>
              <w:t>菜品设计</w:t>
            </w:r>
          </w:p>
        </w:tc>
        <w:tc>
          <w:tcPr>
            <w:tcW w:w="4424" w:type="dxa"/>
            <w:vAlign w:val="center"/>
          </w:tcPr>
          <w:p w14:paraId="35B8F6E8">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037A4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82" w:type="dxa"/>
            <w:tcBorders>
              <w:top w:val="nil"/>
              <w:bottom w:val="nil"/>
            </w:tcBorders>
            <w:vAlign w:val="top"/>
          </w:tcPr>
          <w:p w14:paraId="132CF583">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7CE8AFF9">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应急预案</w:t>
            </w:r>
          </w:p>
        </w:tc>
        <w:tc>
          <w:tcPr>
            <w:tcW w:w="4424" w:type="dxa"/>
            <w:vAlign w:val="center"/>
          </w:tcPr>
          <w:p w14:paraId="7585A2C9">
            <w:pPr>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r w14:paraId="24572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082" w:type="dxa"/>
            <w:tcBorders>
              <w:top w:val="nil"/>
            </w:tcBorders>
            <w:vAlign w:val="top"/>
          </w:tcPr>
          <w:p w14:paraId="28365CC8">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p>
        </w:tc>
        <w:tc>
          <w:tcPr>
            <w:tcW w:w="2977" w:type="dxa"/>
            <w:vAlign w:val="top"/>
          </w:tcPr>
          <w:p w14:paraId="42CDA891">
            <w:pPr>
              <w:pStyle w:val="14"/>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验收方案</w:t>
            </w:r>
          </w:p>
        </w:tc>
        <w:tc>
          <w:tcPr>
            <w:tcW w:w="4424" w:type="dxa"/>
            <w:vAlign w:val="center"/>
          </w:tcPr>
          <w:p w14:paraId="36874387">
            <w:pPr>
              <w:keepNext w:val="0"/>
              <w:keepLines w:val="0"/>
              <w:pageBreakBefore w:val="0"/>
              <w:widowControl w:val="0"/>
              <w:kinsoku/>
              <w:wordWrap/>
              <w:overflowPunct/>
              <w:topLinePunct w:val="0"/>
              <w:autoSpaceDE/>
              <w:autoSpaceDN/>
              <w:bidi w:val="0"/>
              <w:adjustRightInd/>
              <w:snapToGrid/>
              <w:spacing w:before="151" w:line="228" w:lineRule="auto"/>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按评分标准提供证明材料</w:t>
            </w:r>
          </w:p>
        </w:tc>
      </w:tr>
    </w:tbl>
    <w:p w14:paraId="44CC6D57">
      <w:pPr>
        <w:spacing w:line="440" w:lineRule="exact"/>
        <w:rPr>
          <w:color w:val="auto"/>
          <w:sz w:val="24"/>
          <w:highlight w:val="none"/>
        </w:rPr>
      </w:pPr>
    </w:p>
    <w:p w14:paraId="7BC75BE4">
      <w:pPr>
        <w:pStyle w:val="2"/>
        <w:spacing w:before="0" w:after="0" w:line="360" w:lineRule="auto"/>
        <w:rPr>
          <w:rFonts w:hint="default" w:hAnsi="宋体" w:cs="宋体"/>
          <w:color w:val="auto"/>
          <w:szCs w:val="32"/>
        </w:rPr>
      </w:pPr>
      <w:bookmarkStart w:id="12" w:name="_Toc109897480"/>
      <w:bookmarkStart w:id="13" w:name="_Toc109899998"/>
      <w:bookmarkStart w:id="14" w:name="_Toc109900417"/>
      <w:r>
        <w:rPr>
          <w:rFonts w:ascii="微软雅黑" w:hAnsi="微软雅黑" w:eastAsia="微软雅黑"/>
          <w:color w:val="auto"/>
          <w:szCs w:val="32"/>
          <w:highlight w:val="none"/>
        </w:rPr>
        <w:br w:type="page"/>
      </w:r>
      <w:bookmarkStart w:id="15" w:name="_Toc13232"/>
      <w:r>
        <w:rPr>
          <w:rFonts w:hAnsi="宋体" w:cs="宋体"/>
          <w:color w:val="auto"/>
          <w:szCs w:val="32"/>
        </w:rPr>
        <w:t>第</w:t>
      </w:r>
      <w:r>
        <w:rPr>
          <w:rFonts w:hint="eastAsia" w:hAnsi="宋体" w:cs="宋体"/>
          <w:color w:val="auto"/>
          <w:szCs w:val="32"/>
          <w:lang w:val="en-US" w:eastAsia="zh-CN"/>
        </w:rPr>
        <w:t>二</w:t>
      </w:r>
      <w:r>
        <w:rPr>
          <w:rFonts w:hAnsi="宋体" w:cs="宋体"/>
          <w:color w:val="auto"/>
          <w:szCs w:val="32"/>
        </w:rPr>
        <w:t>章 合同草案（供参考）</w:t>
      </w:r>
      <w:bookmarkEnd w:id="15"/>
    </w:p>
    <w:p w14:paraId="5834BD02">
      <w:pPr>
        <w:spacing w:line="440" w:lineRule="exact"/>
        <w:ind w:firstLine="480" w:firstLineChars="200"/>
        <w:rPr>
          <w:rFonts w:ascii="宋体" w:hAnsi="宋体" w:cs="宋体"/>
          <w:color w:val="auto"/>
          <w:sz w:val="24"/>
        </w:rPr>
      </w:pPr>
      <w:r>
        <w:rPr>
          <w:rFonts w:hint="eastAsia" w:ascii="宋体" w:hAnsi="宋体" w:cs="宋体"/>
          <w:color w:val="auto"/>
          <w:sz w:val="24"/>
        </w:rPr>
        <w:t>根据《政府采购法》和《民法典》。采购人和供应商之间的权利和义务，应当按照平等的原则以合同方式约定。此合同书仅作为签订正式合同时的参考，正式合同书应包括本参考格式之内容。</w:t>
      </w:r>
    </w:p>
    <w:p w14:paraId="451210FE">
      <w:pPr>
        <w:rPr>
          <w:rFonts w:ascii="微软雅黑" w:hAnsi="微软雅黑" w:eastAsia="微软雅黑"/>
          <w:color w:val="auto"/>
          <w:szCs w:val="32"/>
          <w:highlight w:val="none"/>
        </w:rPr>
      </w:pPr>
    </w:p>
    <w:p w14:paraId="089687A1">
      <w:pPr>
        <w:pStyle w:val="2"/>
        <w:spacing w:before="0" w:beforeLines="0" w:after="0" w:afterLines="0" w:line="360" w:lineRule="auto"/>
        <w:rPr>
          <w:rFonts w:hint="default" w:ascii="微软雅黑" w:hAnsi="微软雅黑" w:eastAsia="微软雅黑"/>
          <w:color w:val="auto"/>
          <w:szCs w:val="32"/>
          <w:highlight w:val="none"/>
        </w:rPr>
      </w:pPr>
      <w:r>
        <w:rPr>
          <w:rFonts w:ascii="微软雅黑" w:hAnsi="微软雅黑" w:eastAsia="微软雅黑"/>
          <w:color w:val="auto"/>
          <w:szCs w:val="32"/>
          <w:highlight w:val="none"/>
        </w:rPr>
        <w:br w:type="page"/>
      </w:r>
      <w:bookmarkStart w:id="16" w:name="_Toc3211"/>
      <w:r>
        <w:rPr>
          <w:rFonts w:ascii="微软雅黑" w:hAnsi="微软雅黑" w:eastAsia="微软雅黑"/>
          <w:color w:val="auto"/>
          <w:szCs w:val="32"/>
          <w:highlight w:val="none"/>
        </w:rPr>
        <w:t>第</w:t>
      </w:r>
      <w:r>
        <w:rPr>
          <w:rFonts w:hint="eastAsia" w:ascii="微软雅黑" w:hAnsi="微软雅黑" w:eastAsia="微软雅黑"/>
          <w:color w:val="auto"/>
          <w:szCs w:val="32"/>
          <w:highlight w:val="none"/>
          <w:lang w:val="en-US" w:eastAsia="zh-CN"/>
        </w:rPr>
        <w:t>三</w:t>
      </w:r>
      <w:r>
        <w:rPr>
          <w:rFonts w:ascii="微软雅黑" w:hAnsi="微软雅黑" w:eastAsia="微软雅黑"/>
          <w:color w:val="auto"/>
          <w:szCs w:val="32"/>
          <w:highlight w:val="none"/>
        </w:rPr>
        <w:t xml:space="preserve">章 </w:t>
      </w:r>
      <w:bookmarkEnd w:id="2"/>
      <w:r>
        <w:rPr>
          <w:rFonts w:ascii="微软雅黑" w:hAnsi="微软雅黑" w:eastAsia="微软雅黑"/>
          <w:color w:val="auto"/>
          <w:szCs w:val="32"/>
          <w:highlight w:val="none"/>
        </w:rPr>
        <w:t>评审程序、方法及标准</w:t>
      </w:r>
      <w:bookmarkEnd w:id="12"/>
      <w:bookmarkEnd w:id="13"/>
      <w:bookmarkEnd w:id="14"/>
      <w:bookmarkEnd w:id="16"/>
    </w:p>
    <w:bookmarkEnd w:id="3"/>
    <w:bookmarkEnd w:id="4"/>
    <w:bookmarkEnd w:id="5"/>
    <w:p w14:paraId="1E204C87">
      <w:pPr>
        <w:spacing w:line="276" w:lineRule="auto"/>
        <w:ind w:firstLine="400" w:firstLineChars="20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根据《政府采购法》、《政府采购法实施条例》、《政府采购货物和服务招标投标管理办法》等相关法律法规确定以下评标办法、程序及标准。</w:t>
      </w:r>
    </w:p>
    <w:p w14:paraId="107687C4">
      <w:pPr>
        <w:pStyle w:val="3"/>
        <w:numPr>
          <w:ilvl w:val="0"/>
          <w:numId w:val="1"/>
        </w:numPr>
        <w:spacing w:before="0" w:after="0" w:line="276" w:lineRule="auto"/>
        <w:ind w:left="616" w:hanging="616"/>
        <w:jc w:val="left"/>
        <w:rPr>
          <w:rFonts w:hint="eastAsia" w:ascii="宋体" w:hAnsi="宋体" w:eastAsia="宋体" w:cs="宋体"/>
          <w:bCs w:val="0"/>
          <w:color w:val="auto"/>
          <w:sz w:val="21"/>
          <w:szCs w:val="21"/>
          <w:highlight w:val="none"/>
          <w:lang w:val="zh-CN"/>
        </w:rPr>
      </w:pPr>
      <w:bookmarkStart w:id="17" w:name="_Toc32150"/>
      <w:bookmarkStart w:id="18" w:name="_Toc18661"/>
      <w:bookmarkStart w:id="19" w:name="_Toc278891605"/>
      <w:bookmarkStart w:id="20" w:name="_Toc272247708"/>
      <w:bookmarkStart w:id="21" w:name="_Toc4316"/>
      <w:bookmarkStart w:id="22" w:name="_Toc494561961"/>
      <w:r>
        <w:rPr>
          <w:rFonts w:hint="eastAsia" w:ascii="宋体" w:hAnsi="宋体" w:eastAsia="宋体" w:cs="宋体"/>
          <w:bCs w:val="0"/>
          <w:color w:val="auto"/>
          <w:sz w:val="21"/>
          <w:szCs w:val="21"/>
          <w:highlight w:val="none"/>
          <w:lang w:val="zh-CN"/>
        </w:rPr>
        <w:t>评标办法前附表</w:t>
      </w:r>
      <w:bookmarkEnd w:id="17"/>
      <w:bookmarkEnd w:id="18"/>
    </w:p>
    <w:p w14:paraId="0579311C">
      <w:pPr>
        <w:pStyle w:val="19"/>
        <w:rPr>
          <w:highlight w:val="none"/>
        </w:rPr>
      </w:pPr>
      <w:r>
        <w:rPr>
          <w:rFonts w:hint="eastAsia"/>
          <w:highlight w:val="none"/>
        </w:rPr>
        <w:t>下面所列资料是对评标方法和评标程序的具体补充和说明。如有矛盾，应以本表为准。</w:t>
      </w:r>
    </w:p>
    <w:tbl>
      <w:tblPr>
        <w:tblStyle w:val="8"/>
        <w:tblW w:w="8531"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0"/>
        <w:gridCol w:w="5841"/>
      </w:tblGrid>
      <w:tr w14:paraId="5F3EE5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noWrap w:val="0"/>
            <w:vAlign w:val="center"/>
          </w:tcPr>
          <w:p w14:paraId="65182832">
            <w:pPr>
              <w:spacing w:after="0"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1720" w:type="dxa"/>
            <w:tcBorders>
              <w:top w:val="single" w:color="auto" w:sz="4" w:space="0"/>
              <w:left w:val="single" w:color="auto" w:sz="4" w:space="0"/>
              <w:bottom w:val="single" w:color="auto" w:sz="4" w:space="0"/>
              <w:right w:val="single" w:color="auto" w:sz="4" w:space="0"/>
            </w:tcBorders>
            <w:shd w:val="clear" w:color="auto" w:fill="D8D8D8"/>
            <w:noWrap w:val="0"/>
            <w:vAlign w:val="center"/>
          </w:tcPr>
          <w:p w14:paraId="4D3AC29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5841" w:type="dxa"/>
            <w:tcBorders>
              <w:top w:val="single" w:color="auto" w:sz="4" w:space="0"/>
              <w:left w:val="single" w:color="auto" w:sz="4" w:space="0"/>
              <w:bottom w:val="single" w:color="auto" w:sz="4" w:space="0"/>
              <w:right w:val="single" w:color="auto" w:sz="4" w:space="0"/>
            </w:tcBorders>
            <w:shd w:val="clear" w:color="auto" w:fill="D8D8D8"/>
            <w:noWrap w:val="0"/>
            <w:vAlign w:val="center"/>
          </w:tcPr>
          <w:p w14:paraId="41F875DF">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  容</w:t>
            </w:r>
          </w:p>
        </w:tc>
      </w:tr>
      <w:tr w14:paraId="0DBE7B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tcBorders>
            <w:noWrap w:val="0"/>
            <w:vAlign w:val="center"/>
          </w:tcPr>
          <w:p w14:paraId="2F0DED62">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1720" w:type="dxa"/>
            <w:tcBorders>
              <w:top w:val="single" w:color="auto" w:sz="4" w:space="0"/>
            </w:tcBorders>
            <w:noWrap w:val="0"/>
            <w:vAlign w:val="center"/>
          </w:tcPr>
          <w:p w14:paraId="6399D214">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异常低价审查</w:t>
            </w:r>
          </w:p>
        </w:tc>
        <w:tc>
          <w:tcPr>
            <w:tcW w:w="5841" w:type="dxa"/>
            <w:tcBorders>
              <w:top w:val="single" w:color="auto" w:sz="4" w:space="0"/>
            </w:tcBorders>
            <w:noWrap w:val="0"/>
            <w:vAlign w:val="center"/>
          </w:tcPr>
          <w:p w14:paraId="5D7A3922">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（1）投标报价低于全部通过符合性审查投标人投标报价平均值65％的；</w:t>
            </w:r>
          </w:p>
          <w:p w14:paraId="0129A252">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（2）投标报价低于通过符合性审查的次低报价投标人投标报价65％的；</w:t>
            </w:r>
          </w:p>
          <w:p w14:paraId="2286217F">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（3）投标报价低于采购项目最高限价65％的；</w:t>
            </w:r>
          </w:p>
          <w:p w14:paraId="0C055EFB">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（4）评审委员会基于专业判断，认为投标人报价过低，有可能影响产品质量或者不能诚信履约的其他情形。相关法律法规对投标人报价有规定的，从其规定。</w:t>
            </w:r>
          </w:p>
        </w:tc>
      </w:tr>
      <w:tr w14:paraId="49B284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tcBorders>
            <w:noWrap w:val="0"/>
            <w:vAlign w:val="center"/>
          </w:tcPr>
          <w:p w14:paraId="24555B9C">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1720" w:type="dxa"/>
            <w:tcBorders>
              <w:top w:val="single" w:color="auto" w:sz="4" w:space="0"/>
            </w:tcBorders>
            <w:noWrap w:val="0"/>
            <w:vAlign w:val="center"/>
          </w:tcPr>
          <w:p w14:paraId="6CF4937E">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报价修正规定</w:t>
            </w:r>
          </w:p>
        </w:tc>
        <w:tc>
          <w:tcPr>
            <w:tcW w:w="5841" w:type="dxa"/>
            <w:tcBorders>
              <w:top w:val="single" w:color="auto" w:sz="4" w:space="0"/>
            </w:tcBorders>
            <w:noWrap w:val="0"/>
            <w:vAlign w:val="center"/>
          </w:tcPr>
          <w:p w14:paraId="09EC0FA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（1）投标文件中开标一览表内容与投标文件中相应内容不一致的，以开标一览表为准；</w:t>
            </w:r>
          </w:p>
          <w:p w14:paraId="5FE7A176">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756286A3">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（3）单价金额小数点或百分比有明显错位的，以开标一览表的总价为准，并修改单价；</w:t>
            </w:r>
          </w:p>
          <w:p w14:paraId="28AA3EEC">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097AF5C6">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（5）同时出现两种以上不一致的，按照前款规定的顺序修正。</w:t>
            </w:r>
          </w:p>
        </w:tc>
      </w:tr>
      <w:tr w14:paraId="73B145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noWrap w:val="0"/>
            <w:vAlign w:val="center"/>
          </w:tcPr>
          <w:p w14:paraId="143E670D">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720" w:type="dxa"/>
            <w:noWrap w:val="0"/>
            <w:vAlign w:val="center"/>
          </w:tcPr>
          <w:p w14:paraId="466CB8B9">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5841" w:type="dxa"/>
            <w:noWrap w:val="0"/>
            <w:vAlign w:val="center"/>
          </w:tcPr>
          <w:p w14:paraId="08632F1F">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w:t>
            </w:r>
          </w:p>
        </w:tc>
      </w:tr>
      <w:tr w14:paraId="0B801D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noWrap w:val="0"/>
            <w:vAlign w:val="center"/>
          </w:tcPr>
          <w:p w14:paraId="2D462E44">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1720" w:type="dxa"/>
            <w:noWrap w:val="0"/>
            <w:vAlign w:val="center"/>
          </w:tcPr>
          <w:p w14:paraId="48C60AC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相同品牌中标候选人推荐方式</w:t>
            </w:r>
          </w:p>
        </w:tc>
        <w:tc>
          <w:tcPr>
            <w:tcW w:w="5841" w:type="dxa"/>
            <w:noWrap w:val="0"/>
            <w:vAlign w:val="center"/>
          </w:tcPr>
          <w:p w14:paraId="0FE8A741">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得分最高的同品牌投标人获得中标候选人推荐资格；评审得分相同的，由采购人确定或者采购人委托评标委员会以投票方式确定一家投标人获得中标人推荐资格，其它同品牌投标人不作为中标候选人。</w:t>
            </w:r>
          </w:p>
          <w:p w14:paraId="49A8B48D">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报价最低的同品牌投标人获得中标候选人推荐资格；报价相同的，由采购人确定或者采购人委托评标委员会以投票方式确定一家投标人获得中标人推荐资格，其它投标无效。</w:t>
            </w:r>
          </w:p>
        </w:tc>
      </w:tr>
      <w:tr w14:paraId="1B613D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noWrap w:val="0"/>
            <w:vAlign w:val="center"/>
          </w:tcPr>
          <w:p w14:paraId="5764C8E3">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1720" w:type="dxa"/>
            <w:noWrap w:val="0"/>
            <w:vAlign w:val="center"/>
          </w:tcPr>
          <w:p w14:paraId="1FA1BB1B">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中标候选人排序方式</w:t>
            </w:r>
          </w:p>
        </w:tc>
        <w:tc>
          <w:tcPr>
            <w:tcW w:w="5841" w:type="dxa"/>
            <w:noWrap w:val="0"/>
            <w:vAlign w:val="center"/>
          </w:tcPr>
          <w:p w14:paraId="4330E68D">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结果排序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tc>
      </w:tr>
    </w:tbl>
    <w:p w14:paraId="36DB3AB7">
      <w:pPr>
        <w:numPr>
          <w:ilvl w:val="0"/>
          <w:numId w:val="0"/>
        </w:numPr>
        <w:spacing w:before="0" w:after="0" w:line="276" w:lineRule="auto"/>
        <w:ind w:leftChars="0"/>
        <w:jc w:val="left"/>
        <w:outlineLvl w:val="9"/>
        <w:rPr>
          <w:rFonts w:hint="eastAsia" w:ascii="宋体" w:hAnsi="宋体" w:eastAsia="宋体" w:cs="宋体"/>
          <w:bCs w:val="0"/>
          <w:color w:val="auto"/>
          <w:sz w:val="21"/>
          <w:szCs w:val="21"/>
          <w:highlight w:val="none"/>
          <w:lang w:val="zh-CN"/>
        </w:rPr>
      </w:pPr>
    </w:p>
    <w:p w14:paraId="431BC9DD">
      <w:pPr>
        <w:pStyle w:val="3"/>
        <w:numPr>
          <w:ilvl w:val="0"/>
          <w:numId w:val="1"/>
        </w:numPr>
        <w:spacing w:before="0" w:after="0" w:line="276" w:lineRule="auto"/>
        <w:ind w:left="616" w:hanging="616"/>
        <w:jc w:val="left"/>
        <w:rPr>
          <w:rFonts w:hint="eastAsia" w:ascii="宋体" w:hAnsi="宋体" w:eastAsia="宋体" w:cs="宋体"/>
          <w:bCs w:val="0"/>
          <w:color w:val="auto"/>
          <w:sz w:val="21"/>
          <w:szCs w:val="21"/>
          <w:highlight w:val="none"/>
          <w:lang w:val="zh-CN"/>
        </w:rPr>
      </w:pPr>
      <w:r>
        <w:rPr>
          <w:rFonts w:hint="eastAsia" w:ascii="宋体" w:hAnsi="宋体" w:eastAsia="宋体" w:cs="宋体"/>
          <w:bCs w:val="0"/>
          <w:color w:val="auto"/>
          <w:sz w:val="21"/>
          <w:szCs w:val="21"/>
          <w:highlight w:val="none"/>
          <w:lang w:val="zh-CN"/>
        </w:rPr>
        <w:t>评标</w:t>
      </w:r>
      <w:bookmarkEnd w:id="19"/>
      <w:bookmarkEnd w:id="20"/>
      <w:r>
        <w:rPr>
          <w:rFonts w:hint="eastAsia" w:ascii="宋体" w:hAnsi="宋体" w:eastAsia="宋体" w:cs="宋体"/>
          <w:bCs w:val="0"/>
          <w:color w:val="auto"/>
          <w:sz w:val="21"/>
          <w:szCs w:val="21"/>
          <w:highlight w:val="none"/>
          <w:lang w:val="zh-CN"/>
        </w:rPr>
        <w:t>方法</w:t>
      </w:r>
      <w:bookmarkEnd w:id="21"/>
      <w:bookmarkEnd w:id="22"/>
    </w:p>
    <w:p w14:paraId="4D268672">
      <w:pPr>
        <w:spacing w:line="276" w:lineRule="auto"/>
        <w:ind w:firstLine="400" w:firstLineChars="20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本项目评标采用综合评分法。综合评分法是指投标文件满足招标文件全部实质性要求，且按照评审因素的量化指标评审得分最高的投标人为中标候选人的评标方法。</w:t>
      </w:r>
    </w:p>
    <w:p w14:paraId="2C7C3028">
      <w:pPr>
        <w:spacing w:line="276" w:lineRule="auto"/>
        <w:ind w:firstLine="400" w:firstLineChars="200"/>
        <w:rPr>
          <w:rFonts w:hint="eastAsia" w:ascii="宋体" w:hAnsi="宋体" w:eastAsia="宋体" w:cs="宋体"/>
          <w:bCs/>
          <w:color w:val="auto"/>
          <w:szCs w:val="21"/>
          <w:highlight w:val="none"/>
          <w:lang w:val="zh-CN"/>
        </w:rPr>
      </w:pPr>
    </w:p>
    <w:p w14:paraId="6FE9E49C">
      <w:pPr>
        <w:pStyle w:val="3"/>
        <w:numPr>
          <w:ilvl w:val="0"/>
          <w:numId w:val="1"/>
        </w:numPr>
        <w:spacing w:before="0" w:after="0" w:line="276" w:lineRule="auto"/>
        <w:ind w:left="616" w:hanging="616"/>
        <w:jc w:val="left"/>
        <w:rPr>
          <w:rFonts w:hint="eastAsia" w:ascii="宋体" w:hAnsi="宋体" w:eastAsia="宋体" w:cs="宋体"/>
          <w:bCs w:val="0"/>
          <w:color w:val="auto"/>
          <w:sz w:val="21"/>
          <w:szCs w:val="21"/>
          <w:highlight w:val="none"/>
          <w:lang w:val="zh-CN"/>
        </w:rPr>
      </w:pPr>
      <w:bookmarkStart w:id="23" w:name="_Toc272247709"/>
      <w:bookmarkStart w:id="24" w:name="_Toc278891606"/>
      <w:bookmarkStart w:id="25" w:name="_Toc494561962"/>
      <w:bookmarkStart w:id="26" w:name="_Toc30245"/>
      <w:r>
        <w:rPr>
          <w:rFonts w:hint="eastAsia" w:ascii="宋体" w:hAnsi="宋体" w:eastAsia="宋体" w:cs="宋体"/>
          <w:bCs w:val="0"/>
          <w:color w:val="auto"/>
          <w:sz w:val="21"/>
          <w:szCs w:val="21"/>
          <w:highlight w:val="none"/>
          <w:lang w:val="zh-CN"/>
        </w:rPr>
        <w:t>评标程序</w:t>
      </w:r>
      <w:bookmarkEnd w:id="23"/>
      <w:bookmarkEnd w:id="24"/>
      <w:r>
        <w:rPr>
          <w:rFonts w:hint="eastAsia" w:ascii="宋体" w:hAnsi="宋体" w:eastAsia="宋体" w:cs="宋体"/>
          <w:bCs w:val="0"/>
          <w:color w:val="auto"/>
          <w:sz w:val="21"/>
          <w:szCs w:val="21"/>
          <w:highlight w:val="none"/>
          <w:lang w:val="zh-CN"/>
        </w:rPr>
        <w:t>及标准</w:t>
      </w:r>
      <w:bookmarkEnd w:id="25"/>
      <w:r>
        <w:rPr>
          <w:rFonts w:hint="eastAsia" w:ascii="宋体" w:hAnsi="宋体" w:cs="宋体"/>
          <w:bCs w:val="0"/>
          <w:color w:val="auto"/>
          <w:sz w:val="21"/>
          <w:szCs w:val="21"/>
          <w:highlight w:val="none"/>
          <w:lang w:val="zh-CN"/>
        </w:rPr>
        <w:t>（适合所有标包）</w:t>
      </w:r>
      <w:bookmarkEnd w:id="26"/>
    </w:p>
    <w:p w14:paraId="5CC264C2">
      <w:pPr>
        <w:spacing w:line="276" w:lineRule="auto"/>
        <w:ind w:firstLine="400" w:firstLineChars="20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评标委员会按以下工作程序进行评标：</w:t>
      </w:r>
      <w:r>
        <w:rPr>
          <w:rFonts w:hint="eastAsia" w:ascii="宋体" w:hAnsi="宋体" w:eastAsia="宋体" w:cs="宋体"/>
          <w:color w:val="auto"/>
          <w:szCs w:val="21"/>
          <w:highlight w:val="none"/>
          <w:lang w:val="zh-CN"/>
        </w:rPr>
        <w:t>符合性审查、澄清有关问题、综合比较和评价、确定中标候选人名单。</w:t>
      </w:r>
    </w:p>
    <w:p w14:paraId="0FD29A5A">
      <w:pPr>
        <w:numPr>
          <w:ilvl w:val="0"/>
          <w:numId w:val="2"/>
        </w:numPr>
        <w:spacing w:line="276" w:lineRule="auto"/>
        <w:ind w:left="1017" w:leftChars="154" w:hanging="709" w:hangingChars="353"/>
        <w:rPr>
          <w:rFonts w:hint="eastAsia" w:ascii="宋体" w:hAnsi="宋体" w:eastAsia="宋体" w:cs="宋体"/>
          <w:strike/>
          <w:color w:val="auto"/>
          <w:szCs w:val="21"/>
          <w:highlight w:val="none"/>
          <w:lang w:val="zh-CN"/>
        </w:rPr>
      </w:pPr>
      <w:r>
        <w:rPr>
          <w:rFonts w:hint="eastAsia" w:ascii="宋体" w:hAnsi="宋体" w:eastAsia="宋体" w:cs="宋体"/>
          <w:b/>
          <w:color w:val="auto"/>
          <w:szCs w:val="21"/>
          <w:highlight w:val="none"/>
          <w:lang w:val="zh-CN"/>
        </w:rPr>
        <w:t>符合性审查</w:t>
      </w:r>
    </w:p>
    <w:p w14:paraId="071EE542">
      <w:pPr>
        <w:spacing w:line="276" w:lineRule="auto"/>
        <w:ind w:firstLine="411" w:firstLineChars="196"/>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评标委员会</w:t>
      </w:r>
      <w:r>
        <w:rPr>
          <w:rFonts w:hint="eastAsia" w:ascii="宋体" w:hAnsi="宋体" w:cs="宋体"/>
          <w:color w:val="auto"/>
          <w:sz w:val="21"/>
          <w:szCs w:val="21"/>
          <w:highlight w:val="none"/>
        </w:rPr>
        <w:t>依据依据法律、</w:t>
      </w:r>
      <w:r>
        <w:rPr>
          <w:rFonts w:hint="eastAsia" w:ascii="宋体" w:hAnsi="宋体"/>
          <w:bCs/>
          <w:color w:val="auto"/>
          <w:sz w:val="21"/>
          <w:szCs w:val="21"/>
          <w:highlight w:val="none"/>
          <w:lang w:val="zh-CN"/>
        </w:rPr>
        <w:t>法规及</w:t>
      </w:r>
      <w:r>
        <w:rPr>
          <w:rFonts w:hint="eastAsia" w:ascii="宋体" w:hAnsi="宋体" w:cs="宋体"/>
          <w:color w:val="auto"/>
          <w:sz w:val="21"/>
          <w:szCs w:val="21"/>
          <w:highlight w:val="none"/>
        </w:rPr>
        <w:t>采购文件的规定，对资格审查合格供应商的</w:t>
      </w:r>
      <w:r>
        <w:rPr>
          <w:rFonts w:hint="eastAsia" w:ascii="宋体" w:hAnsi="宋体" w:cs="宋体"/>
          <w:color w:val="auto"/>
          <w:sz w:val="21"/>
          <w:szCs w:val="21"/>
          <w:highlight w:val="none"/>
          <w:lang w:val="en-US" w:eastAsia="zh-CN"/>
        </w:rPr>
        <w:t>投标</w:t>
      </w:r>
      <w:r>
        <w:rPr>
          <w:rFonts w:hint="eastAsia" w:ascii="宋体" w:hAnsi="宋体" w:cs="宋体"/>
          <w:color w:val="auto"/>
          <w:sz w:val="21"/>
          <w:szCs w:val="21"/>
          <w:highlight w:val="none"/>
        </w:rPr>
        <w:t>文件的有效性、完整性和响应程度进行审查，以确定是否对采购文件的实质性要求作出响应，具体评审因素详见下表</w:t>
      </w:r>
    </w:p>
    <w:p w14:paraId="60BB8A74">
      <w:pPr>
        <w:spacing w:line="276" w:lineRule="auto"/>
        <w:ind w:firstLine="394" w:firstLineChars="196"/>
        <w:jc w:val="center"/>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符合性审查表</w:t>
      </w:r>
    </w:p>
    <w:tbl>
      <w:tblPr>
        <w:tblStyle w:val="8"/>
        <w:tblpPr w:leftFromText="180" w:rightFromText="180" w:vertAnchor="text" w:horzAnchor="page" w:tblpX="1154" w:tblpY="318"/>
        <w:tblOverlap w:val="never"/>
        <w:tblW w:w="9351" w:type="dxa"/>
        <w:tblInd w:w="0" w:type="dxa"/>
        <w:tblLayout w:type="fixed"/>
        <w:tblCellMar>
          <w:top w:w="0" w:type="dxa"/>
          <w:left w:w="108" w:type="dxa"/>
          <w:bottom w:w="0" w:type="dxa"/>
          <w:right w:w="108" w:type="dxa"/>
        </w:tblCellMar>
      </w:tblPr>
      <w:tblGrid>
        <w:gridCol w:w="756"/>
        <w:gridCol w:w="3917"/>
        <w:gridCol w:w="4678"/>
      </w:tblGrid>
      <w:tr w14:paraId="5FDD745B">
        <w:tblPrEx>
          <w:tblCellMar>
            <w:top w:w="0" w:type="dxa"/>
            <w:left w:w="108" w:type="dxa"/>
            <w:bottom w:w="0" w:type="dxa"/>
            <w:right w:w="108" w:type="dxa"/>
          </w:tblCellMar>
        </w:tblPrEx>
        <w:trPr>
          <w:trHeight w:val="256" w:hRule="atLeast"/>
        </w:trPr>
        <w:tc>
          <w:tcPr>
            <w:tcW w:w="756" w:type="dxa"/>
            <w:tcBorders>
              <w:top w:val="single" w:color="auto" w:sz="4" w:space="0"/>
              <w:left w:val="single" w:color="auto" w:sz="4" w:space="0"/>
              <w:bottom w:val="single" w:color="auto" w:sz="4" w:space="0"/>
              <w:right w:val="single" w:color="auto" w:sz="4" w:space="0"/>
            </w:tcBorders>
            <w:shd w:val="clear" w:color="000000" w:fill="FFFFFF"/>
            <w:vAlign w:val="center"/>
          </w:tcPr>
          <w:p w14:paraId="511F241A">
            <w:pPr>
              <w:spacing w:after="0"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917" w:type="dxa"/>
            <w:tcBorders>
              <w:top w:val="single" w:color="auto" w:sz="4" w:space="0"/>
              <w:left w:val="nil"/>
              <w:bottom w:val="single" w:color="auto" w:sz="4" w:space="0"/>
              <w:right w:val="single" w:color="auto" w:sz="4" w:space="0"/>
            </w:tcBorders>
            <w:shd w:val="clear" w:color="auto" w:fill="auto"/>
            <w:vAlign w:val="center"/>
          </w:tcPr>
          <w:p w14:paraId="6FA7384C">
            <w:pPr>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4678" w:type="dxa"/>
            <w:tcBorders>
              <w:top w:val="single" w:color="auto" w:sz="4" w:space="0"/>
              <w:left w:val="nil"/>
              <w:bottom w:val="single" w:color="auto" w:sz="4" w:space="0"/>
              <w:right w:val="single" w:color="auto" w:sz="4" w:space="0"/>
            </w:tcBorders>
            <w:shd w:val="clear" w:color="auto" w:fill="auto"/>
            <w:vAlign w:val="center"/>
          </w:tcPr>
          <w:p w14:paraId="0F8D192A">
            <w:pPr>
              <w:spacing w:after="0" w:line="240" w:lineRule="auto"/>
              <w:ind w:right="1020" w:rightChars="5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29795814">
        <w:tblPrEx>
          <w:tblCellMar>
            <w:top w:w="0" w:type="dxa"/>
            <w:left w:w="108" w:type="dxa"/>
            <w:bottom w:w="0" w:type="dxa"/>
            <w:right w:w="108" w:type="dxa"/>
          </w:tblCellMar>
        </w:tblPrEx>
        <w:trPr>
          <w:trHeight w:val="300" w:hRule="atLeast"/>
        </w:trPr>
        <w:tc>
          <w:tcPr>
            <w:tcW w:w="756" w:type="dxa"/>
            <w:tcBorders>
              <w:top w:val="single" w:color="auto" w:sz="4" w:space="0"/>
              <w:left w:val="single" w:color="auto" w:sz="4" w:space="0"/>
              <w:bottom w:val="single" w:color="auto" w:sz="4" w:space="0"/>
              <w:right w:val="single" w:color="auto" w:sz="4" w:space="0"/>
            </w:tcBorders>
            <w:shd w:val="clear" w:color="000000" w:fill="FFFFFF"/>
            <w:vAlign w:val="center"/>
          </w:tcPr>
          <w:p w14:paraId="49D927E9">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917" w:type="dxa"/>
            <w:tcBorders>
              <w:top w:val="single" w:color="auto" w:sz="4" w:space="0"/>
              <w:left w:val="nil"/>
              <w:bottom w:val="single" w:color="auto" w:sz="4" w:space="0"/>
              <w:right w:val="single" w:color="auto" w:sz="4" w:space="0"/>
            </w:tcBorders>
            <w:shd w:val="clear" w:color="auto" w:fill="auto"/>
            <w:vAlign w:val="center"/>
          </w:tcPr>
          <w:p w14:paraId="3941624E">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按采购文件要求签署、盖章；</w:t>
            </w:r>
          </w:p>
        </w:tc>
        <w:tc>
          <w:tcPr>
            <w:tcW w:w="4678" w:type="dxa"/>
            <w:tcBorders>
              <w:top w:val="single" w:color="auto" w:sz="4" w:space="0"/>
              <w:left w:val="nil"/>
              <w:bottom w:val="single" w:color="auto" w:sz="4" w:space="0"/>
              <w:right w:val="single" w:color="auto" w:sz="4" w:space="0"/>
            </w:tcBorders>
            <w:shd w:val="clear" w:color="auto" w:fill="auto"/>
            <w:vAlign w:val="center"/>
          </w:tcPr>
          <w:p w14:paraId="63FA3F2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文件是否按</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文件要求签署、盖章的 (供应商是否使用 CA 数字证书加盖供应商的单位电子印章或扫描上传是否加盖单位公章的电子响应文件；要求“签字”的地方，供应商是否使用 CA 数字证书并加盖法定代表人的个人电子印章或电子签名章或扫描上传未加盖法定代表人签章的电子响应文件)</w:t>
            </w:r>
          </w:p>
        </w:tc>
      </w:tr>
      <w:tr w14:paraId="5F5CC525">
        <w:tblPrEx>
          <w:tblCellMar>
            <w:top w:w="0" w:type="dxa"/>
            <w:left w:w="108" w:type="dxa"/>
            <w:bottom w:w="0" w:type="dxa"/>
            <w:right w:w="108" w:type="dxa"/>
          </w:tblCellMar>
        </w:tblPrEx>
        <w:trPr>
          <w:trHeight w:val="51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511829B5">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917" w:type="dxa"/>
            <w:tcBorders>
              <w:top w:val="nil"/>
              <w:left w:val="nil"/>
              <w:bottom w:val="single" w:color="auto" w:sz="4" w:space="0"/>
              <w:right w:val="single" w:color="auto" w:sz="4" w:space="0"/>
            </w:tcBorders>
            <w:shd w:val="clear" w:color="auto" w:fill="auto"/>
            <w:vAlign w:val="center"/>
          </w:tcPr>
          <w:p w14:paraId="49C0FF7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按采购文件要求报价；</w:t>
            </w:r>
          </w:p>
        </w:tc>
        <w:tc>
          <w:tcPr>
            <w:tcW w:w="4678" w:type="dxa"/>
            <w:tcBorders>
              <w:top w:val="nil"/>
              <w:left w:val="nil"/>
              <w:bottom w:val="single" w:color="auto" w:sz="4" w:space="0"/>
              <w:right w:val="single" w:color="auto" w:sz="4" w:space="0"/>
            </w:tcBorders>
            <w:shd w:val="clear" w:color="auto" w:fill="auto"/>
            <w:vAlign w:val="center"/>
          </w:tcPr>
          <w:p w14:paraId="757D04E2">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报价未超限价，不存在缺项、漏项；没有出现两个及以上不同报价或响应方案；</w:t>
            </w:r>
          </w:p>
        </w:tc>
      </w:tr>
      <w:tr w14:paraId="3D69D466">
        <w:tblPrEx>
          <w:tblCellMar>
            <w:top w:w="0" w:type="dxa"/>
            <w:left w:w="108" w:type="dxa"/>
            <w:bottom w:w="0" w:type="dxa"/>
            <w:right w:w="108" w:type="dxa"/>
          </w:tblCellMar>
        </w:tblPrEx>
        <w:trPr>
          <w:trHeight w:val="51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24C5EE3E">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3917" w:type="dxa"/>
            <w:tcBorders>
              <w:top w:val="nil"/>
              <w:left w:val="nil"/>
              <w:bottom w:val="single" w:color="auto" w:sz="4" w:space="0"/>
              <w:right w:val="single" w:color="auto" w:sz="4" w:space="0"/>
            </w:tcBorders>
            <w:shd w:val="clear" w:color="auto" w:fill="auto"/>
            <w:vAlign w:val="center"/>
          </w:tcPr>
          <w:p w14:paraId="47555FF9">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合同履行期</w:t>
            </w:r>
            <w:r>
              <w:rPr>
                <w:rFonts w:hint="eastAsia" w:ascii="宋体" w:hAnsi="宋体" w:eastAsia="宋体" w:cs="宋体"/>
                <w:color w:val="auto"/>
                <w:sz w:val="21"/>
                <w:szCs w:val="21"/>
                <w:highlight w:val="none"/>
              </w:rPr>
              <w:t>符合采购文件要求；</w:t>
            </w:r>
          </w:p>
        </w:tc>
        <w:tc>
          <w:tcPr>
            <w:tcW w:w="4678" w:type="dxa"/>
            <w:tcBorders>
              <w:top w:val="nil"/>
              <w:left w:val="nil"/>
              <w:bottom w:val="single" w:color="auto" w:sz="4" w:space="0"/>
              <w:right w:val="single" w:color="auto" w:sz="4" w:space="0"/>
            </w:tcBorders>
            <w:shd w:val="clear" w:color="auto" w:fill="auto"/>
            <w:vAlign w:val="center"/>
          </w:tcPr>
          <w:p w14:paraId="4E345AF4">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符合采购文件要求；</w:t>
            </w:r>
          </w:p>
        </w:tc>
      </w:tr>
      <w:tr w14:paraId="10A3CFB3">
        <w:tblPrEx>
          <w:tblCellMar>
            <w:top w:w="0" w:type="dxa"/>
            <w:left w:w="108" w:type="dxa"/>
            <w:bottom w:w="0" w:type="dxa"/>
            <w:right w:w="108" w:type="dxa"/>
          </w:tblCellMar>
        </w:tblPrEx>
        <w:trPr>
          <w:trHeight w:val="30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172DD3F5">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3917" w:type="dxa"/>
            <w:tcBorders>
              <w:top w:val="nil"/>
              <w:left w:val="nil"/>
              <w:bottom w:val="single" w:color="auto" w:sz="4" w:space="0"/>
              <w:right w:val="single" w:color="auto" w:sz="4" w:space="0"/>
            </w:tcBorders>
            <w:shd w:val="clear" w:color="auto" w:fill="auto"/>
            <w:vAlign w:val="center"/>
          </w:tcPr>
          <w:p w14:paraId="6061D9AD">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响应有效期符合采购文件要求；</w:t>
            </w:r>
          </w:p>
        </w:tc>
        <w:tc>
          <w:tcPr>
            <w:tcW w:w="4678" w:type="dxa"/>
            <w:tcBorders>
              <w:top w:val="nil"/>
              <w:left w:val="nil"/>
              <w:bottom w:val="single" w:color="auto" w:sz="4" w:space="0"/>
              <w:right w:val="single" w:color="auto" w:sz="4" w:space="0"/>
            </w:tcBorders>
            <w:shd w:val="clear" w:color="auto" w:fill="auto"/>
            <w:vAlign w:val="center"/>
          </w:tcPr>
          <w:p w14:paraId="3753EE77">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有效期符合采购文件要求；</w:t>
            </w:r>
          </w:p>
        </w:tc>
      </w:tr>
      <w:tr w14:paraId="250BD7E2">
        <w:tblPrEx>
          <w:tblCellMar>
            <w:top w:w="0" w:type="dxa"/>
            <w:left w:w="108" w:type="dxa"/>
            <w:bottom w:w="0" w:type="dxa"/>
            <w:right w:w="108" w:type="dxa"/>
          </w:tblCellMar>
        </w:tblPrEx>
        <w:trPr>
          <w:trHeight w:val="30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7BC04596">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3917" w:type="dxa"/>
            <w:tcBorders>
              <w:top w:val="nil"/>
              <w:left w:val="nil"/>
              <w:bottom w:val="single" w:color="auto" w:sz="4" w:space="0"/>
              <w:right w:val="single" w:color="auto" w:sz="4" w:space="0"/>
            </w:tcBorders>
            <w:shd w:val="clear" w:color="auto" w:fill="auto"/>
            <w:vAlign w:val="center"/>
          </w:tcPr>
          <w:p w14:paraId="685B7BF4">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响应文件未附有采购人不能接受条件；</w:t>
            </w:r>
          </w:p>
        </w:tc>
        <w:tc>
          <w:tcPr>
            <w:tcW w:w="4678" w:type="dxa"/>
            <w:tcBorders>
              <w:top w:val="nil"/>
              <w:left w:val="nil"/>
              <w:bottom w:val="single" w:color="auto" w:sz="4" w:space="0"/>
              <w:right w:val="single" w:color="auto" w:sz="4" w:space="0"/>
            </w:tcBorders>
            <w:shd w:val="clear" w:color="auto" w:fill="auto"/>
            <w:vAlign w:val="center"/>
          </w:tcPr>
          <w:p w14:paraId="41D4EBED">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文件未附有采购人不能接受条件；</w:t>
            </w:r>
          </w:p>
        </w:tc>
      </w:tr>
      <w:tr w14:paraId="7228D6DB">
        <w:tblPrEx>
          <w:tblCellMar>
            <w:top w:w="0" w:type="dxa"/>
            <w:left w:w="108" w:type="dxa"/>
            <w:bottom w:w="0" w:type="dxa"/>
            <w:right w:w="108" w:type="dxa"/>
          </w:tblCellMar>
        </w:tblPrEx>
        <w:trPr>
          <w:trHeight w:val="30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304F1C73">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3917" w:type="dxa"/>
            <w:tcBorders>
              <w:top w:val="nil"/>
              <w:left w:val="nil"/>
              <w:bottom w:val="single" w:color="auto" w:sz="4" w:space="0"/>
              <w:right w:val="single" w:color="auto" w:sz="4" w:space="0"/>
            </w:tcBorders>
            <w:shd w:val="clear" w:color="auto" w:fill="auto"/>
            <w:vAlign w:val="center"/>
          </w:tcPr>
          <w:p w14:paraId="44C50826">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满足采购文件技术、服务及商务等实质性要求；</w:t>
            </w:r>
          </w:p>
        </w:tc>
        <w:tc>
          <w:tcPr>
            <w:tcW w:w="4678" w:type="dxa"/>
            <w:tcBorders>
              <w:top w:val="nil"/>
              <w:left w:val="nil"/>
              <w:bottom w:val="single" w:color="auto" w:sz="4" w:space="0"/>
              <w:right w:val="single" w:color="auto" w:sz="4" w:space="0"/>
            </w:tcBorders>
            <w:shd w:val="clear" w:color="auto" w:fill="auto"/>
            <w:vAlign w:val="center"/>
          </w:tcPr>
          <w:p w14:paraId="7FB5C07C">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满足采购文件技术、服务及商务等实质性要求；</w:t>
            </w:r>
          </w:p>
        </w:tc>
      </w:tr>
      <w:tr w14:paraId="2D15F9A5">
        <w:tblPrEx>
          <w:tblCellMar>
            <w:top w:w="0" w:type="dxa"/>
            <w:left w:w="108" w:type="dxa"/>
            <w:bottom w:w="0" w:type="dxa"/>
            <w:right w:w="108" w:type="dxa"/>
          </w:tblCellMar>
        </w:tblPrEx>
        <w:trPr>
          <w:trHeight w:val="51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24CFD4CB">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3917" w:type="dxa"/>
            <w:tcBorders>
              <w:top w:val="nil"/>
              <w:left w:val="nil"/>
              <w:bottom w:val="single" w:color="auto" w:sz="4" w:space="0"/>
              <w:right w:val="single" w:color="auto" w:sz="4" w:space="0"/>
            </w:tcBorders>
            <w:shd w:val="clear" w:color="auto" w:fill="auto"/>
            <w:vAlign w:val="center"/>
          </w:tcPr>
          <w:p w14:paraId="2B810E20">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无围标串标情况；</w:t>
            </w:r>
          </w:p>
        </w:tc>
        <w:tc>
          <w:tcPr>
            <w:tcW w:w="4678" w:type="dxa"/>
            <w:tcBorders>
              <w:top w:val="nil"/>
              <w:left w:val="nil"/>
              <w:bottom w:val="single" w:color="auto" w:sz="4" w:space="0"/>
              <w:right w:val="single" w:color="auto" w:sz="4" w:space="0"/>
            </w:tcBorders>
            <w:shd w:val="clear" w:color="auto" w:fill="auto"/>
            <w:vAlign w:val="center"/>
          </w:tcPr>
          <w:p w14:paraId="716BA440">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供应商没有下列任一情形：</w:t>
            </w:r>
          </w:p>
          <w:p w14:paraId="00564E91">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（1）不同供应商的响应文件由同一单位或者个人编制；</w:t>
            </w:r>
          </w:p>
          <w:p w14:paraId="302FEDBB">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（2）不同供应商委托同一单位或者个人办理洽谈事宜；</w:t>
            </w:r>
          </w:p>
          <w:p w14:paraId="70B81056">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（3）不同供应商的响应文件载明的项目管理成员或者联系人员为同一人；</w:t>
            </w:r>
          </w:p>
          <w:p w14:paraId="789EA511">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（4）不同供应商的响应文件异常一致或者报价呈规律性差异；</w:t>
            </w:r>
          </w:p>
          <w:p w14:paraId="37715067">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（5）不同供应商的响应文件相互混装；</w:t>
            </w:r>
          </w:p>
          <w:p w14:paraId="4130F8AC">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（6）不同供应商的保证金从同一单位或者个人的账户转出。</w:t>
            </w:r>
          </w:p>
        </w:tc>
      </w:tr>
      <w:tr w14:paraId="1A19714A">
        <w:tblPrEx>
          <w:tblCellMar>
            <w:top w:w="0" w:type="dxa"/>
            <w:left w:w="108" w:type="dxa"/>
            <w:bottom w:w="0" w:type="dxa"/>
            <w:right w:w="108" w:type="dxa"/>
          </w:tblCellMar>
        </w:tblPrEx>
        <w:trPr>
          <w:trHeight w:val="300" w:hRule="atLeast"/>
        </w:trPr>
        <w:tc>
          <w:tcPr>
            <w:tcW w:w="756" w:type="dxa"/>
            <w:tcBorders>
              <w:top w:val="nil"/>
              <w:left w:val="single" w:color="auto" w:sz="4" w:space="0"/>
              <w:bottom w:val="single" w:color="auto" w:sz="4" w:space="0"/>
              <w:right w:val="single" w:color="auto" w:sz="4" w:space="0"/>
            </w:tcBorders>
            <w:shd w:val="clear" w:color="000000" w:fill="FFFFFF"/>
            <w:vAlign w:val="center"/>
          </w:tcPr>
          <w:p w14:paraId="6674FB77">
            <w:pPr>
              <w:spacing w:after="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3917" w:type="dxa"/>
            <w:tcBorders>
              <w:top w:val="nil"/>
              <w:left w:val="nil"/>
              <w:bottom w:val="single" w:color="auto" w:sz="4" w:space="0"/>
              <w:right w:val="single" w:color="auto" w:sz="4" w:space="0"/>
            </w:tcBorders>
            <w:shd w:val="clear" w:color="auto" w:fill="auto"/>
            <w:vAlign w:val="center"/>
          </w:tcPr>
          <w:p w14:paraId="00070253">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不存在法律、法规和采购文件规定的其他无效响应情形。</w:t>
            </w:r>
          </w:p>
        </w:tc>
        <w:tc>
          <w:tcPr>
            <w:tcW w:w="4678" w:type="dxa"/>
            <w:tcBorders>
              <w:top w:val="nil"/>
              <w:left w:val="nil"/>
              <w:bottom w:val="single" w:color="auto" w:sz="4" w:space="0"/>
              <w:right w:val="single" w:color="auto" w:sz="4" w:space="0"/>
            </w:tcBorders>
            <w:shd w:val="clear" w:color="auto" w:fill="auto"/>
            <w:vAlign w:val="center"/>
          </w:tcPr>
          <w:p w14:paraId="5E747794">
            <w:pPr>
              <w:spacing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不存在法律、法规和采购文件规定的其他无效响应情形。</w:t>
            </w:r>
          </w:p>
        </w:tc>
      </w:tr>
    </w:tbl>
    <w:p w14:paraId="7A42B4DD">
      <w:pPr>
        <w:widowControl/>
        <w:jc w:val="left"/>
        <w:rPr>
          <w:rFonts w:hint="eastAsia" w:ascii="宋体" w:hAnsi="宋体" w:eastAsia="宋体" w:cs="宋体"/>
          <w:b/>
          <w:color w:val="auto"/>
          <w:szCs w:val="21"/>
          <w:highlight w:val="none"/>
          <w:lang w:val="zh-CN"/>
        </w:rPr>
      </w:pPr>
    </w:p>
    <w:p w14:paraId="2A1097E9">
      <w:pPr>
        <w:numPr>
          <w:ilvl w:val="0"/>
          <w:numId w:val="2"/>
        </w:numPr>
        <w:spacing w:line="276" w:lineRule="auto"/>
        <w:ind w:left="1017" w:leftChars="154" w:hanging="709" w:hangingChars="353"/>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澄清有关问题</w:t>
      </w:r>
    </w:p>
    <w:p w14:paraId="6BED3FD2">
      <w:pPr>
        <w:numPr>
          <w:ilvl w:val="0"/>
          <w:numId w:val="3"/>
        </w:numPr>
        <w:tabs>
          <w:tab w:val="left" w:pos="616"/>
        </w:tabs>
        <w:spacing w:line="276" w:lineRule="auto"/>
        <w:ind w:left="10" w:leftChars="5" w:firstLine="198" w:firstLineChars="99"/>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评标期间，对于投标文件中含义不明确、同类问题表述不一致或者有明显文字和计算错误的内容，评标委员会应当以书面形式要求投标人作出必要的澄清、说明或者补正。</w:t>
      </w:r>
    </w:p>
    <w:p w14:paraId="2CE1F2B3">
      <w:pPr>
        <w:numPr>
          <w:ilvl w:val="0"/>
          <w:numId w:val="3"/>
        </w:numPr>
        <w:tabs>
          <w:tab w:val="left" w:pos="616"/>
        </w:tabs>
        <w:spacing w:line="276" w:lineRule="auto"/>
        <w:ind w:left="10" w:leftChars="5" w:firstLine="198" w:firstLineChars="99"/>
        <w:rPr>
          <w:rFonts w:hint="eastAsia" w:ascii="宋体" w:hAnsi="宋体" w:eastAsia="宋体" w:cs="宋体"/>
          <w:bCs/>
          <w:strike/>
          <w:color w:val="auto"/>
          <w:szCs w:val="21"/>
          <w:highlight w:val="none"/>
          <w:lang w:val="zh-CN"/>
        </w:rPr>
      </w:pPr>
      <w:r>
        <w:rPr>
          <w:rFonts w:hint="eastAsia" w:ascii="宋体" w:hAnsi="宋体" w:eastAsia="宋体" w:cs="宋体"/>
          <w:bCs/>
          <w:color w:val="auto"/>
          <w:szCs w:val="21"/>
          <w:highlight w:val="none"/>
          <w:lang w:val="zh-CN"/>
        </w:rPr>
        <w:t>投标人应按照评标委员会要求的澄清内容在规定时间内做出澄清。</w:t>
      </w:r>
      <w:r>
        <w:rPr>
          <w:rFonts w:hint="eastAsia" w:ascii="宋体" w:hAnsi="宋体" w:eastAsia="宋体" w:cs="宋体"/>
          <w:color w:val="auto"/>
          <w:szCs w:val="21"/>
          <w:highlight w:val="none"/>
          <w:lang w:val="zh-CN"/>
        </w:rPr>
        <w:t>投标文件报价出现前后不一致的，按照本节第3</w:t>
      </w:r>
      <w:r>
        <w:rPr>
          <w:rFonts w:hint="eastAsia" w:ascii="宋体" w:hAnsi="宋体" w:eastAsia="宋体" w:cs="宋体"/>
          <w:bCs/>
          <w:color w:val="auto"/>
          <w:szCs w:val="21"/>
          <w:highlight w:val="none"/>
          <w:lang w:val="zh-CN"/>
        </w:rPr>
        <w:t>条规定进行修正，</w:t>
      </w:r>
      <w:r>
        <w:rPr>
          <w:rFonts w:hint="eastAsia" w:ascii="宋体" w:hAnsi="宋体" w:eastAsia="宋体" w:cs="宋体"/>
          <w:color w:val="auto"/>
          <w:kern w:val="0"/>
          <w:szCs w:val="21"/>
          <w:highlight w:val="none"/>
          <w:lang w:val="zh-CN"/>
        </w:rPr>
        <w:t>投标人的澄清、说明或者补正不得超出投标文件的范围或者改变投标文件的实质性内容。</w:t>
      </w:r>
    </w:p>
    <w:p w14:paraId="2A626421">
      <w:pPr>
        <w:numPr>
          <w:ilvl w:val="0"/>
          <w:numId w:val="3"/>
        </w:numPr>
        <w:tabs>
          <w:tab w:val="left" w:pos="616"/>
        </w:tabs>
        <w:spacing w:line="276" w:lineRule="auto"/>
        <w:ind w:left="10" w:leftChars="5" w:firstLine="198" w:firstLineChars="99"/>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投标文件报价出现前后不一致的，按照下列规定修正：</w:t>
      </w:r>
    </w:p>
    <w:p w14:paraId="0D115B13">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投标文件中报价一览表内容与投标文件中相应内容不一致的，以报价一览表为准。</w:t>
      </w:r>
    </w:p>
    <w:p w14:paraId="0E3A5CB9">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大写金额和小写金额不一致的，以大写金额为准。</w:t>
      </w:r>
    </w:p>
    <w:p w14:paraId="5B0A5D23">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单价金额小数点或者百分比有明显错位的，以报价一览表的总价为准，并修改单价。</w:t>
      </w:r>
    </w:p>
    <w:p w14:paraId="647838CD">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总价金额与按单价汇总金额不一致的，以单价金额计算结果为准。</w:t>
      </w:r>
    </w:p>
    <w:p w14:paraId="2C8E1E41">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同时出现两种以上不一致的，按照前款规定的顺序修正。</w:t>
      </w:r>
    </w:p>
    <w:p w14:paraId="1A4EAC98">
      <w:pPr>
        <w:numPr>
          <w:ilvl w:val="0"/>
          <w:numId w:val="4"/>
        </w:numPr>
        <w:adjustRightInd w:val="0"/>
        <w:spacing w:line="276" w:lineRule="auto"/>
        <w:ind w:left="742" w:hanging="493"/>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修正后的报价按照本节第4条规定经投标人确认后产生约束力，投标人不确认的，按照</w:t>
      </w:r>
      <w:r>
        <w:rPr>
          <w:rFonts w:hint="eastAsia" w:ascii="宋体" w:hAnsi="宋体" w:eastAsia="宋体" w:cs="宋体"/>
          <w:b/>
          <w:color w:val="auto"/>
          <w:szCs w:val="21"/>
          <w:highlight w:val="none"/>
          <w:lang w:val="zh-CN"/>
        </w:rPr>
        <w:t>无效投标处理</w:t>
      </w:r>
      <w:r>
        <w:rPr>
          <w:rFonts w:hint="eastAsia" w:ascii="宋体" w:hAnsi="宋体" w:eastAsia="宋体" w:cs="宋体"/>
          <w:color w:val="auto"/>
          <w:szCs w:val="21"/>
          <w:highlight w:val="none"/>
          <w:lang w:val="zh-CN"/>
        </w:rPr>
        <w:t>。</w:t>
      </w:r>
    </w:p>
    <w:p w14:paraId="5CB8F5CA">
      <w:pPr>
        <w:numPr>
          <w:ilvl w:val="0"/>
          <w:numId w:val="3"/>
        </w:numPr>
        <w:tabs>
          <w:tab w:val="left" w:pos="616"/>
        </w:tabs>
        <w:spacing w:line="276" w:lineRule="auto"/>
        <w:ind w:left="10" w:leftChars="5" w:firstLine="198" w:firstLineChars="9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投标人的</w:t>
      </w:r>
      <w:r>
        <w:rPr>
          <w:rFonts w:hint="eastAsia" w:ascii="宋体" w:hAnsi="宋体" w:eastAsia="宋体" w:cs="宋体"/>
          <w:color w:val="auto"/>
          <w:kern w:val="0"/>
          <w:szCs w:val="21"/>
          <w:highlight w:val="none"/>
          <w:lang w:val="zh-CN"/>
        </w:rPr>
        <w:t>澄清、说明或者补正</w:t>
      </w:r>
      <w:r>
        <w:rPr>
          <w:rFonts w:hint="eastAsia" w:ascii="宋体" w:hAnsi="宋体" w:eastAsia="宋体" w:cs="宋体"/>
          <w:color w:val="auto"/>
          <w:szCs w:val="21"/>
          <w:highlight w:val="none"/>
          <w:lang w:val="zh-CN"/>
        </w:rPr>
        <w:t>是其投标文件的有效组成部分。</w:t>
      </w:r>
      <w:r>
        <w:rPr>
          <w:rFonts w:hint="eastAsia" w:ascii="宋体" w:hAnsi="宋体" w:eastAsia="宋体" w:cs="宋体"/>
          <w:color w:val="auto"/>
          <w:kern w:val="0"/>
          <w:szCs w:val="21"/>
          <w:highlight w:val="none"/>
          <w:lang w:val="zh-CN"/>
        </w:rPr>
        <w:t>投标人的澄清、说明或者补正应当采用书面形式，并加盖公章，或者由法定代表人或其授权的代表</w:t>
      </w:r>
      <w:r>
        <w:rPr>
          <w:rFonts w:hint="eastAsia" w:ascii="宋体" w:hAnsi="宋体" w:eastAsia="宋体" w:cs="宋体"/>
          <w:bCs/>
          <w:color w:val="auto"/>
          <w:szCs w:val="21"/>
          <w:highlight w:val="none"/>
        </w:rPr>
        <w:t>签名</w:t>
      </w:r>
      <w:r>
        <w:rPr>
          <w:rFonts w:hint="eastAsia" w:ascii="宋体" w:hAnsi="宋体" w:eastAsia="宋体" w:cs="宋体"/>
          <w:color w:val="auto"/>
          <w:kern w:val="0"/>
          <w:szCs w:val="21"/>
          <w:highlight w:val="none"/>
          <w:lang w:val="zh-CN"/>
        </w:rPr>
        <w:t>。</w:t>
      </w:r>
    </w:p>
    <w:p w14:paraId="4AE5CD8F">
      <w:pPr>
        <w:numPr>
          <w:ilvl w:val="0"/>
          <w:numId w:val="2"/>
        </w:numPr>
        <w:spacing w:line="276" w:lineRule="auto"/>
        <w:ind w:left="1017" w:leftChars="154" w:hanging="709" w:hangingChars="353"/>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综合比较与评价</w:t>
      </w:r>
    </w:p>
    <w:p w14:paraId="23629E9A">
      <w:pPr>
        <w:spacing w:line="276" w:lineRule="auto"/>
        <w:ind w:firstLine="400" w:firstLineChars="20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评标委员会应当按照本章中规定的评审因素及评分标准，对符合性审查合格的投标文件进行商务和技术、服务评估，综合比较与评价。</w:t>
      </w:r>
    </w:p>
    <w:p w14:paraId="637A1CE3">
      <w:pPr>
        <w:numPr>
          <w:ilvl w:val="0"/>
          <w:numId w:val="5"/>
        </w:numPr>
        <w:tabs>
          <w:tab w:val="left" w:pos="616"/>
        </w:tabs>
        <w:spacing w:line="276" w:lineRule="auto"/>
        <w:ind w:left="10" w:leftChars="5" w:firstLine="199" w:firstLineChars="99"/>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商务评议</w:t>
      </w:r>
    </w:p>
    <w:p w14:paraId="7B28DEB8">
      <w:pPr>
        <w:spacing w:line="276" w:lineRule="auto"/>
        <w:ind w:firstLine="400" w:firstLineChars="20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评标委员会对符合性审查合格的投标文件进行评议，并依据本章“评审因素及评分标准”中的商务评议进行综合比较和评分。</w:t>
      </w:r>
    </w:p>
    <w:p w14:paraId="527CABD5">
      <w:pPr>
        <w:numPr>
          <w:ilvl w:val="0"/>
          <w:numId w:val="5"/>
        </w:numPr>
        <w:tabs>
          <w:tab w:val="left" w:pos="616"/>
        </w:tabs>
        <w:spacing w:line="276" w:lineRule="auto"/>
        <w:ind w:left="10" w:leftChars="5" w:firstLine="199" w:firstLineChars="99"/>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技术、服务评议</w:t>
      </w:r>
    </w:p>
    <w:p w14:paraId="36286C70">
      <w:pPr>
        <w:spacing w:line="276" w:lineRule="auto"/>
        <w:ind w:firstLine="400" w:firstLineChars="200"/>
        <w:rPr>
          <w:rFonts w:hint="eastAsia" w:ascii="宋体" w:hAnsi="宋体" w:eastAsia="宋体" w:cs="宋体"/>
          <w:color w:val="auto"/>
          <w:kern w:val="0"/>
          <w:szCs w:val="21"/>
          <w:highlight w:val="none"/>
          <w:lang w:val="zh-CN"/>
        </w:rPr>
      </w:pPr>
      <w:r>
        <w:rPr>
          <w:rFonts w:hint="eastAsia" w:ascii="宋体" w:hAnsi="宋体" w:eastAsia="宋体" w:cs="宋体"/>
          <w:bCs/>
          <w:color w:val="auto"/>
          <w:szCs w:val="21"/>
          <w:highlight w:val="none"/>
          <w:lang w:val="zh-CN"/>
        </w:rPr>
        <w:t>评标委员会对符合性审查合格的投标文件进行评议，并依据本章“评审因素及评分标准”中的技术、服务评议进行综合比较和评分。</w:t>
      </w:r>
    </w:p>
    <w:p w14:paraId="6BD7873C">
      <w:pPr>
        <w:numPr>
          <w:ilvl w:val="0"/>
          <w:numId w:val="5"/>
        </w:numPr>
        <w:tabs>
          <w:tab w:val="left" w:pos="616"/>
        </w:tabs>
        <w:spacing w:line="276" w:lineRule="auto"/>
        <w:ind w:left="10" w:leftChars="5" w:firstLine="199" w:firstLineChars="99"/>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价格评议</w:t>
      </w:r>
    </w:p>
    <w:p w14:paraId="6560B644">
      <w:pPr>
        <w:spacing w:line="276" w:lineRule="auto"/>
        <w:ind w:firstLine="40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标委员会对符合性审查合格的投标文件进行价格评议，报价分采用低价优先法计算，即满足招标文件要求且投标价格（落实政府采购政策进行价格调整的，以调整后的价格计算）最低的投标报价为评标基准价，其报价分为满分。其他投标人的报价分值计算详见本章“评审因素及评分标准”中的具体计算方式。</w:t>
      </w:r>
    </w:p>
    <w:p w14:paraId="2C7D9E1A">
      <w:pPr>
        <w:numPr>
          <w:ilvl w:val="0"/>
          <w:numId w:val="6"/>
        </w:numPr>
        <w:adjustRightInd w:val="0"/>
        <w:spacing w:line="276" w:lineRule="auto"/>
        <w:ind w:left="742" w:hanging="493"/>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lang w:val="zh-CN"/>
        </w:rPr>
        <w:t>报价合理性：</w:t>
      </w:r>
      <w:r>
        <w:rPr>
          <w:rFonts w:hint="eastAsia" w:ascii="宋体" w:hAnsi="宋体" w:eastAsia="宋体" w:cs="宋体"/>
          <w:color w:val="auto"/>
          <w:kern w:val="0"/>
          <w:szCs w:val="21"/>
          <w:highlight w:val="none"/>
          <w:lang w:val="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应当将其作为</w:t>
      </w:r>
      <w:r>
        <w:rPr>
          <w:rFonts w:hint="eastAsia" w:ascii="宋体" w:hAnsi="宋体" w:eastAsia="宋体" w:cs="宋体"/>
          <w:b/>
          <w:color w:val="auto"/>
          <w:kern w:val="0"/>
          <w:szCs w:val="21"/>
          <w:highlight w:val="none"/>
          <w:lang w:val="zh-CN"/>
        </w:rPr>
        <w:t>无效投标处理</w:t>
      </w:r>
      <w:r>
        <w:rPr>
          <w:rFonts w:hint="eastAsia" w:ascii="宋体" w:hAnsi="宋体" w:eastAsia="宋体" w:cs="宋体"/>
          <w:color w:val="auto"/>
          <w:kern w:val="0"/>
          <w:szCs w:val="21"/>
          <w:highlight w:val="none"/>
          <w:lang w:val="zh-CN"/>
        </w:rPr>
        <w:t>。</w:t>
      </w:r>
    </w:p>
    <w:p w14:paraId="052737BE">
      <w:pPr>
        <w:numPr>
          <w:ilvl w:val="0"/>
          <w:numId w:val="6"/>
        </w:numPr>
        <w:adjustRightInd w:val="0"/>
        <w:spacing w:line="276" w:lineRule="auto"/>
        <w:ind w:left="742" w:hanging="493"/>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小型和微型企业、监狱企业、残疾人福利性单位价格扣除：</w:t>
      </w:r>
    </w:p>
    <w:p w14:paraId="03DE7B9E">
      <w:pPr>
        <w:widowControl w:val="0"/>
        <w:numPr>
          <w:ilvl w:val="0"/>
          <w:numId w:val="7"/>
        </w:numPr>
        <w:spacing w:after="0" w:line="240" w:lineRule="auto"/>
        <w:ind w:left="709" w:hanging="425"/>
        <w:jc w:val="both"/>
        <w:rPr>
          <w:rFonts w:ascii="宋体" w:hAnsi="宋体"/>
          <w:bCs/>
          <w:color w:val="auto"/>
          <w:kern w:val="2"/>
          <w:sz w:val="21"/>
          <w:szCs w:val="21"/>
          <w:highlight w:val="none"/>
          <w:lang w:val="zh-CN"/>
        </w:rPr>
      </w:pPr>
      <w:r>
        <w:rPr>
          <w:rFonts w:hint="eastAsia" w:ascii="宋体" w:hAnsi="宋体"/>
          <w:bCs/>
          <w:color w:val="auto"/>
          <w:kern w:val="2"/>
          <w:sz w:val="21"/>
          <w:szCs w:val="21"/>
          <w:highlight w:val="none"/>
          <w:lang w:val="zh-CN"/>
        </w:rPr>
        <w:t>非专门面向中小企业的货物类采购项目，按采购文件中采购清单确定的货物，对小型和微型企业制造的货物价格给予</w:t>
      </w:r>
      <w:r>
        <w:rPr>
          <w:rFonts w:hint="eastAsia" w:ascii="宋体" w:hAnsi="宋体"/>
          <w:bCs/>
          <w:color w:val="auto"/>
          <w:kern w:val="2"/>
          <w:sz w:val="21"/>
          <w:szCs w:val="21"/>
          <w:highlight w:val="none"/>
          <w:lang w:val="en-US" w:eastAsia="zh-CN"/>
        </w:rPr>
        <w:t>10</w:t>
      </w:r>
      <w:r>
        <w:rPr>
          <w:rFonts w:hint="eastAsia" w:ascii="宋体" w:hAnsi="宋体"/>
          <w:bCs/>
          <w:color w:val="auto"/>
          <w:kern w:val="2"/>
          <w:sz w:val="21"/>
          <w:szCs w:val="21"/>
          <w:highlight w:val="none"/>
          <w:lang w:val="zh-CN"/>
        </w:rPr>
        <w:t>%的扣除，用扣除后的价格参与评审。供应商提供的货物既有中小企业制造货物，也有大型企业制造货物的，不享受本办法规定的中小企业扶持政策。</w:t>
      </w:r>
    </w:p>
    <w:p w14:paraId="6E482E18">
      <w:pPr>
        <w:widowControl w:val="0"/>
        <w:numPr>
          <w:ilvl w:val="0"/>
          <w:numId w:val="7"/>
        </w:numPr>
        <w:spacing w:after="0" w:line="240" w:lineRule="auto"/>
        <w:ind w:left="709" w:hanging="425"/>
        <w:jc w:val="both"/>
        <w:rPr>
          <w:rFonts w:ascii="宋体" w:hAnsi="宋体"/>
          <w:bCs/>
          <w:color w:val="auto"/>
          <w:kern w:val="2"/>
          <w:sz w:val="21"/>
          <w:szCs w:val="21"/>
          <w:highlight w:val="none"/>
          <w:lang w:val="zh-CN"/>
        </w:rPr>
      </w:pPr>
      <w:r>
        <w:rPr>
          <w:rFonts w:hint="eastAsia" w:ascii="宋体" w:hAnsi="宋体"/>
          <w:bCs/>
          <w:color w:val="auto"/>
          <w:kern w:val="2"/>
          <w:sz w:val="21"/>
          <w:szCs w:val="21"/>
          <w:highlight w:val="none"/>
          <w:lang w:val="zh-CN"/>
        </w:rPr>
        <w:t>非专门面向中小企业的服务类采购项目，供应商是小型和微型企业的价格给予</w:t>
      </w:r>
      <w:r>
        <w:rPr>
          <w:rFonts w:hint="eastAsia" w:ascii="宋体" w:hAnsi="宋体"/>
          <w:bCs/>
          <w:color w:val="auto"/>
          <w:kern w:val="2"/>
          <w:sz w:val="21"/>
          <w:szCs w:val="21"/>
          <w:highlight w:val="none"/>
          <w:lang w:val="en-US" w:eastAsia="zh-CN"/>
        </w:rPr>
        <w:t>10</w:t>
      </w:r>
      <w:r>
        <w:rPr>
          <w:rFonts w:hint="eastAsia" w:ascii="宋体" w:hAnsi="宋体"/>
          <w:bCs/>
          <w:color w:val="auto"/>
          <w:kern w:val="2"/>
          <w:sz w:val="21"/>
          <w:szCs w:val="21"/>
          <w:highlight w:val="none"/>
          <w:lang w:val="zh-CN"/>
        </w:rPr>
        <w:t>%的扣除，用扣除后的价格参与评审。</w:t>
      </w:r>
    </w:p>
    <w:p w14:paraId="662ED202">
      <w:pPr>
        <w:widowControl w:val="0"/>
        <w:numPr>
          <w:ilvl w:val="0"/>
          <w:numId w:val="7"/>
        </w:numPr>
        <w:spacing w:after="0" w:line="240" w:lineRule="auto"/>
        <w:ind w:left="709" w:hanging="425"/>
        <w:jc w:val="both"/>
        <w:rPr>
          <w:rFonts w:ascii="宋体" w:hAnsi="宋体"/>
          <w:bCs/>
          <w:color w:val="auto"/>
          <w:kern w:val="2"/>
          <w:sz w:val="21"/>
          <w:szCs w:val="21"/>
          <w:highlight w:val="none"/>
          <w:lang w:val="zh-CN"/>
        </w:rPr>
      </w:pPr>
      <w:r>
        <w:rPr>
          <w:rFonts w:hint="eastAsia" w:ascii="宋体" w:hAnsi="宋体"/>
          <w:bCs/>
          <w:color w:val="auto"/>
          <w:kern w:val="2"/>
          <w:sz w:val="21"/>
          <w:szCs w:val="21"/>
          <w:highlight w:val="none"/>
          <w:lang w:val="zh-CN"/>
        </w:rPr>
        <w:t>非专门面向中小企业的工程类采购项目，供应商是小型和微型企业的价格给予3%的扣除，用扣除后的价格参与评审。适用招标投标法的政府采购工程建设项目，采用综合评估法但未采用低价优先法计算价格分的，评标时应当在采用原报价进行评分的基础上增加其价格得分的3%作为其价格分。</w:t>
      </w:r>
    </w:p>
    <w:p w14:paraId="15BD4BDC">
      <w:pPr>
        <w:widowControl w:val="0"/>
        <w:numPr>
          <w:ilvl w:val="0"/>
          <w:numId w:val="7"/>
        </w:numPr>
        <w:spacing w:after="0" w:line="240" w:lineRule="auto"/>
        <w:ind w:left="709" w:hanging="425"/>
        <w:jc w:val="both"/>
        <w:rPr>
          <w:rFonts w:ascii="宋体" w:hAnsi="宋体"/>
          <w:bCs/>
          <w:color w:val="auto"/>
          <w:kern w:val="2"/>
          <w:sz w:val="21"/>
          <w:szCs w:val="21"/>
          <w:highlight w:val="none"/>
          <w:lang w:val="zh-CN"/>
        </w:rPr>
      </w:pPr>
      <w:r>
        <w:rPr>
          <w:rFonts w:hint="eastAsia" w:ascii="宋体" w:hAnsi="宋体"/>
          <w:bCs/>
          <w:color w:val="auto"/>
          <w:kern w:val="2"/>
          <w:sz w:val="21"/>
          <w:szCs w:val="21"/>
          <w:highlight w:val="none"/>
          <w:lang w:val="zh-CN"/>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bCs/>
          <w:color w:val="auto"/>
          <w:kern w:val="2"/>
          <w:sz w:val="21"/>
          <w:szCs w:val="21"/>
          <w:highlight w:val="none"/>
          <w:lang w:val="en-US" w:eastAsia="zh-CN"/>
        </w:rPr>
        <w:t>4</w:t>
      </w:r>
      <w:r>
        <w:rPr>
          <w:rFonts w:hint="eastAsia" w:ascii="宋体" w:hAnsi="宋体"/>
          <w:bCs/>
          <w:color w:val="auto"/>
          <w:kern w:val="2"/>
          <w:sz w:val="21"/>
          <w:szCs w:val="21"/>
          <w:highlight w:val="none"/>
          <w:lang w:val="zh-CN"/>
        </w:rPr>
        <w:t>%（工程项目为1%）的扣除，用扣除后的价格参加评审。适用招标投标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w:t>
      </w:r>
    </w:p>
    <w:p w14:paraId="173069A8">
      <w:pPr>
        <w:widowControl w:val="0"/>
        <w:numPr>
          <w:ilvl w:val="0"/>
          <w:numId w:val="7"/>
        </w:numPr>
        <w:spacing w:after="0" w:line="240" w:lineRule="auto"/>
        <w:ind w:left="709" w:hanging="425"/>
        <w:jc w:val="both"/>
        <w:rPr>
          <w:rFonts w:ascii="宋体" w:hAnsi="宋体"/>
          <w:bCs/>
          <w:color w:val="auto"/>
          <w:kern w:val="2"/>
          <w:sz w:val="21"/>
          <w:szCs w:val="21"/>
          <w:highlight w:val="none"/>
          <w:lang w:val="zh-CN"/>
        </w:rPr>
      </w:pPr>
      <w:r>
        <w:rPr>
          <w:rFonts w:hint="eastAsia" w:ascii="宋体" w:hAnsi="宋体"/>
          <w:bCs/>
          <w:color w:val="auto"/>
          <w:kern w:val="2"/>
          <w:sz w:val="21"/>
          <w:szCs w:val="21"/>
          <w:highlight w:val="none"/>
          <w:lang w:val="zh-CN"/>
        </w:rPr>
        <w:t>监狱企业、残疾人福利性单位视同小型、微型企业，享受预留份额、评审中价格扣除等政府采购促进中小企业发展的政府采购政策，残疾人福利性单位属于小型、微型企业的，不重复享受政策。</w:t>
      </w:r>
    </w:p>
    <w:p w14:paraId="7D442D9F">
      <w:pPr>
        <w:widowControl w:val="0"/>
        <w:numPr>
          <w:ilvl w:val="0"/>
          <w:numId w:val="7"/>
        </w:numPr>
        <w:spacing w:after="0" w:line="240" w:lineRule="auto"/>
        <w:ind w:left="709" w:hanging="425"/>
        <w:jc w:val="both"/>
        <w:rPr>
          <w:rFonts w:ascii="宋体" w:hAnsi="宋体"/>
          <w:bCs/>
          <w:color w:val="auto"/>
          <w:sz w:val="21"/>
          <w:szCs w:val="21"/>
          <w:highlight w:val="none"/>
          <w:lang w:val="zh-CN"/>
        </w:rPr>
      </w:pPr>
      <w:r>
        <w:rPr>
          <w:rFonts w:hint="eastAsia" w:ascii="宋体" w:hAnsi="宋体"/>
          <w:bCs/>
          <w:color w:val="auto"/>
          <w:kern w:val="2"/>
          <w:sz w:val="21"/>
          <w:szCs w:val="21"/>
          <w:highlight w:val="none"/>
          <w:lang w:val="zh-CN"/>
        </w:rPr>
        <w:t>小型和微型企业应出具《中小声明函》；残疾人福利性单位提供《残疾人福利性单位声明函》；监狱企业应提供由省级监狱局、戒毒局（含新疆生产兵团）出具的监狱企业</w:t>
      </w:r>
      <w:r>
        <w:rPr>
          <w:rFonts w:hint="eastAsia" w:ascii="宋体" w:hAnsi="宋体"/>
          <w:bCs/>
          <w:color w:val="auto"/>
          <w:sz w:val="21"/>
          <w:szCs w:val="21"/>
          <w:highlight w:val="none"/>
          <w:lang w:val="zh-CN"/>
        </w:rPr>
        <w:t>的证明文件。</w:t>
      </w:r>
    </w:p>
    <w:p w14:paraId="1D9AEE4C">
      <w:pPr>
        <w:widowControl w:val="0"/>
        <w:numPr>
          <w:ilvl w:val="0"/>
          <w:numId w:val="7"/>
        </w:numPr>
        <w:spacing w:after="0" w:line="240" w:lineRule="auto"/>
        <w:ind w:left="709" w:hanging="425"/>
        <w:jc w:val="both"/>
        <w:rPr>
          <w:rFonts w:ascii="宋体" w:hAnsi="宋体"/>
          <w:bCs/>
          <w:color w:val="auto"/>
          <w:sz w:val="21"/>
          <w:szCs w:val="21"/>
          <w:highlight w:val="none"/>
          <w:lang w:val="zh-CN"/>
        </w:rPr>
      </w:pPr>
      <w:r>
        <w:rPr>
          <w:rFonts w:hint="eastAsia" w:ascii="宋体" w:hAnsi="宋体"/>
          <w:bCs/>
          <w:color w:val="auto"/>
          <w:kern w:val="2"/>
          <w:sz w:val="21"/>
          <w:szCs w:val="21"/>
          <w:highlight w:val="none"/>
          <w:lang w:val="zh-CN"/>
        </w:rPr>
        <w:t>根据湖北省财政厅</w:t>
      </w:r>
      <w:r>
        <w:rPr>
          <w:rFonts w:hint="eastAsia" w:ascii="宋体" w:hAnsi="宋体"/>
          <w:bCs/>
          <w:color w:val="auto"/>
          <w:sz w:val="21"/>
          <w:szCs w:val="21"/>
          <w:highlight w:val="none"/>
          <w:lang w:val="zh-CN"/>
        </w:rPr>
        <w:t>、湖北省经济和信息化厅关于进一步加强政府采购促进中小企业发展的通知（鄂财采发〔2021〕8号），对符合以下情形之一的小微企业，以价格优惠幅度的上限（货物或</w:t>
      </w:r>
      <w:r>
        <w:rPr>
          <w:rFonts w:ascii="宋体" w:hAnsi="宋体"/>
          <w:bCs/>
          <w:color w:val="auto"/>
          <w:sz w:val="21"/>
          <w:szCs w:val="21"/>
          <w:highlight w:val="none"/>
          <w:lang w:val="zh-CN"/>
        </w:rPr>
        <w:t>服务</w:t>
      </w:r>
      <w:r>
        <w:rPr>
          <w:rFonts w:hint="eastAsia" w:ascii="宋体" w:hAnsi="宋体"/>
          <w:bCs/>
          <w:color w:val="auto"/>
          <w:sz w:val="21"/>
          <w:szCs w:val="21"/>
          <w:highlight w:val="none"/>
          <w:lang w:val="zh-CN"/>
        </w:rPr>
        <w:t>项目</w:t>
      </w:r>
      <w:r>
        <w:rPr>
          <w:rFonts w:hint="eastAsia" w:ascii="宋体" w:hAnsi="宋体"/>
          <w:bCs/>
          <w:color w:val="auto"/>
          <w:sz w:val="21"/>
          <w:szCs w:val="21"/>
          <w:highlight w:val="none"/>
          <w:lang w:val="en-US" w:eastAsia="zh-CN"/>
        </w:rPr>
        <w:t>20</w:t>
      </w:r>
      <w:r>
        <w:rPr>
          <w:rFonts w:ascii="宋体" w:hAnsi="宋体"/>
          <w:bCs/>
          <w:color w:val="auto"/>
          <w:sz w:val="21"/>
          <w:szCs w:val="21"/>
          <w:highlight w:val="none"/>
          <w:lang w:val="zh-CN"/>
        </w:rPr>
        <w:t>%</w:t>
      </w:r>
      <w:r>
        <w:rPr>
          <w:rFonts w:hint="eastAsia" w:ascii="宋体" w:hAnsi="宋体"/>
          <w:bCs/>
          <w:color w:val="auto"/>
          <w:sz w:val="21"/>
          <w:szCs w:val="21"/>
          <w:highlight w:val="none"/>
          <w:lang w:val="zh-CN"/>
        </w:rPr>
        <w:t>、工程项目5</w:t>
      </w:r>
      <w:r>
        <w:rPr>
          <w:rFonts w:ascii="宋体" w:hAnsi="宋体"/>
          <w:bCs/>
          <w:color w:val="auto"/>
          <w:sz w:val="21"/>
          <w:szCs w:val="21"/>
          <w:highlight w:val="none"/>
          <w:lang w:val="zh-CN"/>
        </w:rPr>
        <w:t>%）</w:t>
      </w:r>
      <w:r>
        <w:rPr>
          <w:rFonts w:hint="eastAsia" w:ascii="宋体" w:hAnsi="宋体"/>
          <w:bCs/>
          <w:color w:val="auto"/>
          <w:sz w:val="21"/>
          <w:szCs w:val="21"/>
          <w:highlight w:val="none"/>
          <w:lang w:val="zh-CN"/>
        </w:rPr>
        <w:t>享受评审优惠：残疾人企业或监狱企业；纳入创新产品应用示范推荐目录内的企业；政府采购项目的品目属于政府优先采购《节能产品政府采购品目清单》《环境标志产品政府采购品目》范围内，获得相关证书的企业。</w:t>
      </w:r>
    </w:p>
    <w:p w14:paraId="3813D067">
      <w:pPr>
        <w:widowControl w:val="0"/>
        <w:numPr>
          <w:ilvl w:val="0"/>
          <w:numId w:val="7"/>
        </w:numPr>
        <w:spacing w:after="0" w:line="240" w:lineRule="auto"/>
        <w:ind w:left="709" w:hanging="425"/>
        <w:jc w:val="both"/>
        <w:rPr>
          <w:rFonts w:ascii="宋体" w:hAnsi="宋体"/>
          <w:bCs/>
          <w:color w:val="auto"/>
          <w:sz w:val="21"/>
          <w:szCs w:val="21"/>
          <w:highlight w:val="none"/>
          <w:lang w:val="zh-CN"/>
        </w:rPr>
      </w:pPr>
      <w:r>
        <w:rPr>
          <w:rFonts w:hint="eastAsia" w:ascii="宋体" w:hAnsi="宋体"/>
          <w:bCs/>
          <w:color w:val="auto"/>
          <w:kern w:val="2"/>
          <w:sz w:val="21"/>
          <w:szCs w:val="21"/>
          <w:highlight w:val="none"/>
          <w:lang w:val="zh-CN"/>
        </w:rPr>
        <w:t>专门面向中小企业采购的项目或者采购标段</w:t>
      </w:r>
      <w:r>
        <w:rPr>
          <w:rFonts w:hint="eastAsia" w:ascii="宋体" w:hAnsi="宋体"/>
          <w:bCs/>
          <w:color w:val="auto"/>
          <w:sz w:val="21"/>
          <w:szCs w:val="21"/>
          <w:highlight w:val="none"/>
          <w:lang w:val="zh-CN"/>
        </w:rPr>
        <w:t>，不再执行价格评审优惠的扶持政策。</w:t>
      </w:r>
    </w:p>
    <w:p w14:paraId="63CBF1F4">
      <w:pPr>
        <w:widowControl w:val="0"/>
        <w:numPr>
          <w:ilvl w:val="0"/>
          <w:numId w:val="7"/>
        </w:numPr>
        <w:spacing w:after="0" w:line="240" w:lineRule="auto"/>
        <w:ind w:left="709" w:hanging="425"/>
        <w:jc w:val="both"/>
        <w:rPr>
          <w:rFonts w:ascii="宋体" w:hAnsi="宋体" w:cs="宋体"/>
          <w:color w:val="auto"/>
          <w:sz w:val="21"/>
          <w:szCs w:val="21"/>
          <w:highlight w:val="none"/>
        </w:rPr>
      </w:pPr>
      <w:r>
        <w:rPr>
          <w:rFonts w:hint="eastAsia" w:ascii="宋体" w:hAnsi="宋体"/>
          <w:bCs/>
          <w:color w:val="auto"/>
          <w:sz w:val="21"/>
          <w:szCs w:val="21"/>
          <w:highlight w:val="none"/>
          <w:lang w:val="zh-CN"/>
        </w:rPr>
        <w:t>中标、成交供应商享受本办法规定的中小企业扶持政策的，采购人、采购代理机构应当随中标、成交结果公开中标、成交供应商的《中小企业声明函》。</w:t>
      </w:r>
    </w:p>
    <w:p w14:paraId="576778C0">
      <w:pPr>
        <w:pStyle w:val="20"/>
        <w:widowControl w:val="0"/>
        <w:numPr>
          <w:ilvl w:val="0"/>
          <w:numId w:val="0"/>
        </w:numPr>
        <w:tabs>
          <w:tab w:val="left" w:pos="616"/>
        </w:tabs>
        <w:spacing w:after="0"/>
        <w:ind w:leftChars="200"/>
        <w:jc w:val="both"/>
        <w:rPr>
          <w:rFonts w:ascii="宋体" w:hAnsi="宋体"/>
          <w:b/>
          <w:color w:val="auto"/>
          <w:sz w:val="21"/>
          <w:szCs w:val="21"/>
          <w:highlight w:val="none"/>
          <w:lang w:val="zh-CN"/>
        </w:rPr>
      </w:pPr>
      <w:r>
        <w:rPr>
          <w:rFonts w:hint="eastAsia" w:ascii="宋体" w:hAnsi="宋体"/>
          <w:b/>
          <w:bCs/>
          <w:color w:val="auto"/>
          <w:sz w:val="21"/>
          <w:szCs w:val="21"/>
          <w:highlight w:val="none"/>
          <w:lang w:val="en-US" w:eastAsia="zh-CN"/>
        </w:rPr>
        <w:t>3.3</w:t>
      </w:r>
      <w:r>
        <w:rPr>
          <w:rFonts w:hint="eastAsia" w:ascii="宋体" w:hAnsi="宋体"/>
          <w:b/>
          <w:bCs/>
          <w:color w:val="auto"/>
          <w:sz w:val="21"/>
          <w:szCs w:val="21"/>
          <w:highlight w:val="none"/>
          <w:lang w:val="zh-CN"/>
        </w:rPr>
        <w:t>政府采购节能环保政策</w:t>
      </w:r>
    </w:p>
    <w:p w14:paraId="2BE62C21">
      <w:pPr>
        <w:numPr>
          <w:ilvl w:val="0"/>
          <w:numId w:val="0"/>
        </w:numPr>
        <w:spacing w:line="276" w:lineRule="auto"/>
        <w:ind w:left="426" w:leftChars="0" w:firstLine="420" w:firstLineChars="200"/>
        <w:rPr>
          <w:rFonts w:hint="eastAsia" w:ascii="宋体" w:hAnsi="宋体" w:eastAsia="宋体" w:cs="宋体"/>
          <w:bCs/>
          <w:color w:val="auto"/>
          <w:szCs w:val="21"/>
          <w:highlight w:val="none"/>
          <w:lang w:val="zh-CN"/>
        </w:rPr>
      </w:pPr>
      <w:r>
        <w:rPr>
          <w:rFonts w:hint="eastAsia" w:ascii="宋体" w:hAnsi="宋体"/>
          <w:bCs/>
          <w:color w:val="auto"/>
          <w:sz w:val="21"/>
          <w:szCs w:val="21"/>
          <w:highlight w:val="none"/>
          <w:lang w:val="zh-CN"/>
        </w:rPr>
        <w:t>根据《财政部、发展改革委、生态环境部、市场监管总局关于调整优化节能产品、环境标志产品政府采购执行机制的通知（财库〔2019〕9号）》的规定，</w:t>
      </w:r>
      <w:r>
        <w:rPr>
          <w:rFonts w:hint="eastAsia" w:ascii="宋体" w:hAnsi="宋体"/>
          <w:bCs/>
          <w:color w:val="auto"/>
          <w:kern w:val="2"/>
          <w:sz w:val="21"/>
          <w:szCs w:val="21"/>
          <w:highlight w:val="none"/>
          <w:lang w:val="zh-CN"/>
        </w:rPr>
        <w:t>采购人拟采购产品属于品目清单</w:t>
      </w:r>
      <w:r>
        <w:rPr>
          <w:rFonts w:hint="eastAsia" w:ascii="宋体" w:hAnsi="宋体"/>
          <w:bCs/>
          <w:color w:val="auto"/>
          <w:sz w:val="21"/>
          <w:szCs w:val="21"/>
          <w:highlight w:val="none"/>
          <w:lang w:val="zh-CN"/>
        </w:rPr>
        <w:t>（指《财政部、生态环境部关于印发环境标志产品政府采购品目清单的通知（财库〔2019〕18号）》、《财政部、发展改革委关于印发节能产品政府采购品目清单的通知（财库〔2019〕19号）》所列清单）范围的，采购人及其委托的采购代理机构应当依据国家确定的认证机构（指《市场监管总局关于发布参与实施政府采购节能产品、环境标志产品认证机构名录的公告（2019年第16号）》中所列认证机构）出具的、处于有效期之内的节能产品、环境标志产品认证证书，对获得证书的产品实施政府优先采购或强制采购。</w:t>
      </w:r>
    </w:p>
    <w:p w14:paraId="209E11E8">
      <w:pPr>
        <w:numPr>
          <w:ilvl w:val="0"/>
          <w:numId w:val="5"/>
        </w:numPr>
        <w:tabs>
          <w:tab w:val="left" w:pos="616"/>
        </w:tabs>
        <w:spacing w:line="276" w:lineRule="auto"/>
        <w:ind w:left="10" w:leftChars="5" w:firstLine="199" w:firstLineChars="99"/>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相同品牌处理原则</w:t>
      </w:r>
    </w:p>
    <w:p w14:paraId="3CDAF5A2">
      <w:pPr>
        <w:numPr>
          <w:ilvl w:val="0"/>
          <w:numId w:val="8"/>
        </w:numPr>
        <w:adjustRightInd w:val="0"/>
        <w:spacing w:line="276" w:lineRule="auto"/>
        <w:ind w:left="756" w:hanging="507"/>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提供相同品牌产品且通过资格审查、符合性审查的不同投标人参加同一合同项下投标的，按一家投标人计算，评审后得分最高的同品牌投标人获得中标人推荐资格；评审得分相同的，由采购人确定或者采购人委托评标委员会以投票方式确定一个投标人获得中标人推荐资格，其他同品牌投标人不作为中标候选人。</w:t>
      </w:r>
    </w:p>
    <w:p w14:paraId="426FB85B">
      <w:pPr>
        <w:numPr>
          <w:ilvl w:val="0"/>
          <w:numId w:val="8"/>
        </w:numPr>
        <w:adjustRightInd w:val="0"/>
        <w:spacing w:line="276" w:lineRule="auto"/>
        <w:ind w:left="756" w:hanging="507"/>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非单一产品采购项目，采购人应当根据采购项目技术构成、产品价格比重等合理确定</w:t>
      </w:r>
      <w:r>
        <w:rPr>
          <w:rFonts w:hint="eastAsia" w:ascii="宋体" w:hAnsi="宋体" w:eastAsia="宋体" w:cs="宋体"/>
          <w:b/>
          <w:color w:val="auto"/>
          <w:kern w:val="0"/>
          <w:szCs w:val="21"/>
          <w:highlight w:val="none"/>
          <w:lang w:val="zh-CN"/>
        </w:rPr>
        <w:t>核心产品</w:t>
      </w:r>
      <w:r>
        <w:rPr>
          <w:rFonts w:hint="eastAsia" w:ascii="宋体" w:hAnsi="宋体" w:eastAsia="宋体" w:cs="宋体"/>
          <w:color w:val="auto"/>
          <w:kern w:val="0"/>
          <w:szCs w:val="21"/>
          <w:highlight w:val="none"/>
          <w:lang w:val="zh-CN"/>
        </w:rPr>
        <w:t>，并以</w:t>
      </w:r>
      <w:r>
        <w:rPr>
          <w:rFonts w:hint="eastAsia" w:ascii="宋体" w:hAnsi="宋体" w:eastAsia="宋体" w:cs="宋体"/>
          <w:b/>
          <w:color w:val="auto"/>
          <w:kern w:val="0"/>
          <w:szCs w:val="21"/>
          <w:highlight w:val="none"/>
          <w:lang w:val="zh-CN"/>
        </w:rPr>
        <w:t>“核心产品”</w:t>
      </w:r>
      <w:r>
        <w:rPr>
          <w:rFonts w:hint="eastAsia" w:ascii="宋体" w:hAnsi="宋体" w:eastAsia="宋体" w:cs="宋体"/>
          <w:color w:val="auto"/>
          <w:kern w:val="0"/>
          <w:szCs w:val="21"/>
          <w:highlight w:val="none"/>
          <w:lang w:val="zh-CN"/>
        </w:rPr>
        <w:t>在招标文件中标注。多家投标人提供的核心产品品牌相同的，按4.1条规定处理。</w:t>
      </w:r>
    </w:p>
    <w:p w14:paraId="20AE5E84">
      <w:pPr>
        <w:numPr>
          <w:ilvl w:val="0"/>
          <w:numId w:val="5"/>
        </w:numPr>
        <w:tabs>
          <w:tab w:val="left" w:pos="616"/>
        </w:tabs>
        <w:spacing w:line="276" w:lineRule="auto"/>
        <w:ind w:left="10" w:leftChars="5" w:firstLine="199" w:firstLineChars="99"/>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计分办法</w:t>
      </w:r>
    </w:p>
    <w:p w14:paraId="01544A1A">
      <w:pPr>
        <w:numPr>
          <w:ilvl w:val="0"/>
          <w:numId w:val="9"/>
        </w:numPr>
        <w:adjustRightInd w:val="0"/>
        <w:spacing w:line="276" w:lineRule="auto"/>
        <w:ind w:left="756" w:hanging="507"/>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采购代理机构对各评委的总分进行复核。各项统计结果均精确到小数点后两位。</w:t>
      </w:r>
    </w:p>
    <w:p w14:paraId="37DA4835">
      <w:pPr>
        <w:numPr>
          <w:ilvl w:val="0"/>
          <w:numId w:val="9"/>
        </w:numPr>
        <w:adjustRightInd w:val="0"/>
        <w:spacing w:line="276" w:lineRule="auto"/>
        <w:ind w:left="756" w:hanging="507"/>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各投标人的最终得分为评委所评定分数的算术平均值。</w:t>
      </w:r>
    </w:p>
    <w:p w14:paraId="0C9DB7B0">
      <w:pPr>
        <w:numPr>
          <w:ilvl w:val="0"/>
          <w:numId w:val="2"/>
        </w:numPr>
        <w:spacing w:line="276" w:lineRule="auto"/>
        <w:ind w:left="1017" w:leftChars="154" w:hanging="709" w:hangingChars="353"/>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推荐中标候选人名单或确定中标人</w:t>
      </w:r>
    </w:p>
    <w:p w14:paraId="38649F23">
      <w:pPr>
        <w:pStyle w:val="20"/>
        <w:numPr>
          <w:ilvl w:val="0"/>
          <w:numId w:val="10"/>
        </w:numPr>
        <w:tabs>
          <w:tab w:val="left" w:pos="426"/>
        </w:tabs>
        <w:spacing w:line="276" w:lineRule="auto"/>
        <w:ind w:left="426" w:hanging="210" w:firstLineChars="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评标委员会按照招标文件确定的评标方法、程序及标准，对投标文件进行评审。评标结果按评审  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59E3F33">
      <w:pPr>
        <w:pStyle w:val="20"/>
        <w:numPr>
          <w:ilvl w:val="0"/>
          <w:numId w:val="10"/>
        </w:numPr>
        <w:tabs>
          <w:tab w:val="left" w:pos="426"/>
        </w:tabs>
        <w:spacing w:line="276" w:lineRule="auto"/>
        <w:ind w:left="426" w:hanging="210" w:firstLineChars="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评标委员会依据评标结果，按各投标人的评审后得分由高到低的顺序向采购人推荐得分前三名的进入中标候选人名单，并形成书面的评标报告。</w:t>
      </w:r>
    </w:p>
    <w:p w14:paraId="53914791">
      <w:pPr>
        <w:pStyle w:val="20"/>
        <w:numPr>
          <w:ilvl w:val="0"/>
          <w:numId w:val="10"/>
        </w:numPr>
        <w:tabs>
          <w:tab w:val="left" w:pos="426"/>
        </w:tabs>
        <w:spacing w:line="276" w:lineRule="auto"/>
        <w:ind w:left="426" w:hanging="210" w:firstLineChars="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中标候选人并列的，由采购人确定或者采购人委托评标委员会以投票方式确定中标人。</w:t>
      </w:r>
    </w:p>
    <w:p w14:paraId="28BE4F5A">
      <w:pPr>
        <w:pStyle w:val="20"/>
        <w:numPr>
          <w:ilvl w:val="0"/>
          <w:numId w:val="10"/>
        </w:numPr>
        <w:tabs>
          <w:tab w:val="left" w:pos="426"/>
        </w:tabs>
        <w:spacing w:line="276" w:lineRule="auto"/>
        <w:ind w:left="426" w:hanging="210" w:firstLineChars="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评标委员会应当在评标报告上签名，对自己的评审意见承担法律责任。对评标报告有异议的，应当在评标报告上签署不同意见，并说明理由，否则视为同意评标报告。</w:t>
      </w:r>
    </w:p>
    <w:p w14:paraId="7F9C0123">
      <w:pPr>
        <w:pStyle w:val="20"/>
        <w:numPr>
          <w:ilvl w:val="0"/>
          <w:numId w:val="10"/>
        </w:numPr>
        <w:tabs>
          <w:tab w:val="left" w:pos="426"/>
        </w:tabs>
        <w:spacing w:line="276" w:lineRule="auto"/>
        <w:ind w:left="426" w:hanging="210" w:firstLineChars="0"/>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若投标人同时</w:t>
      </w:r>
      <w:r>
        <w:rPr>
          <w:rFonts w:hint="eastAsia" w:ascii="宋体" w:hAnsi="宋体" w:eastAsia="宋体" w:cs="宋体"/>
          <w:color w:val="auto"/>
          <w:szCs w:val="21"/>
          <w:highlight w:val="none"/>
        </w:rPr>
        <w:t>投标多包，根据《投标人须知前附表》的规定确定多包中标人。</w:t>
      </w:r>
    </w:p>
    <w:p w14:paraId="19F232E9">
      <w:pPr>
        <w:pStyle w:val="3"/>
        <w:numPr>
          <w:ilvl w:val="0"/>
          <w:numId w:val="1"/>
        </w:numPr>
        <w:spacing w:before="0" w:after="0" w:line="276" w:lineRule="auto"/>
        <w:ind w:left="616" w:hanging="616"/>
        <w:jc w:val="left"/>
        <w:rPr>
          <w:rFonts w:hint="eastAsia" w:ascii="宋体" w:hAnsi="宋体" w:eastAsia="宋体" w:cs="宋体"/>
          <w:bCs w:val="0"/>
          <w:color w:val="auto"/>
          <w:sz w:val="21"/>
          <w:szCs w:val="21"/>
          <w:highlight w:val="none"/>
        </w:rPr>
      </w:pPr>
      <w:bookmarkStart w:id="27" w:name="_Toc5391"/>
      <w:bookmarkStart w:id="28" w:name="_Toc494561963"/>
      <w:r>
        <w:rPr>
          <w:rFonts w:hint="eastAsia" w:ascii="宋体" w:hAnsi="宋体" w:eastAsia="宋体" w:cs="宋体"/>
          <w:bCs w:val="0"/>
          <w:color w:val="auto"/>
          <w:sz w:val="21"/>
          <w:szCs w:val="21"/>
          <w:highlight w:val="none"/>
          <w:lang w:val="zh-CN"/>
        </w:rPr>
        <w:t>评审因素及评分标准</w:t>
      </w:r>
      <w:bookmarkEnd w:id="27"/>
      <w:bookmarkEnd w:id="28"/>
    </w:p>
    <w:p w14:paraId="2D5A3BC1">
      <w:pPr>
        <w:rPr>
          <w:rFonts w:hint="eastAsia" w:ascii="宋体" w:hAnsi="宋体" w:cs="仿宋_GB2312"/>
          <w:b/>
          <w:color w:val="auto"/>
          <w:sz w:val="24"/>
          <w:highlight w:val="none"/>
        </w:rPr>
      </w:pPr>
      <w:bookmarkStart w:id="29" w:name="_Toc48688850"/>
      <w:bookmarkStart w:id="30" w:name="_Toc52960611"/>
      <w:bookmarkStart w:id="31" w:name="_Toc109900003"/>
      <w:bookmarkStart w:id="32" w:name="_Toc52962785"/>
      <w:bookmarkStart w:id="33" w:name="_Toc46772288"/>
      <w:bookmarkStart w:id="34" w:name="_Toc51674269"/>
      <w:bookmarkStart w:id="35" w:name="_Toc109900422"/>
      <w:bookmarkStart w:id="36" w:name="_Toc48846167"/>
      <w:bookmarkStart w:id="37" w:name="_Toc109897485"/>
      <w:r>
        <w:rPr>
          <w:rFonts w:hint="eastAsia" w:ascii="宋体" w:hAnsi="宋体" w:cs="仿宋_GB2312"/>
          <w:b/>
          <w:color w:val="auto"/>
          <w:sz w:val="24"/>
          <w:highlight w:val="none"/>
        </w:rPr>
        <w:t>（三）详细评审</w:t>
      </w:r>
      <w:bookmarkEnd w:id="29"/>
      <w:bookmarkEnd w:id="30"/>
      <w:bookmarkEnd w:id="31"/>
      <w:bookmarkEnd w:id="32"/>
      <w:bookmarkEnd w:id="33"/>
      <w:bookmarkEnd w:id="34"/>
      <w:bookmarkEnd w:id="35"/>
      <w:bookmarkEnd w:id="36"/>
      <w:bookmarkEnd w:id="37"/>
    </w:p>
    <w:tbl>
      <w:tblPr>
        <w:tblStyle w:val="8"/>
        <w:tblW w:w="4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014"/>
        <w:gridCol w:w="5322"/>
        <w:gridCol w:w="563"/>
      </w:tblGrid>
      <w:tr w14:paraId="708B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34" w:type="pct"/>
            <w:noWrap w:val="0"/>
            <w:vAlign w:val="center"/>
          </w:tcPr>
          <w:p w14:paraId="47DD5BED">
            <w:pPr>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评标项目</w:t>
            </w:r>
          </w:p>
        </w:tc>
        <w:tc>
          <w:tcPr>
            <w:tcW w:w="627" w:type="pct"/>
            <w:noWrap w:val="0"/>
            <w:vAlign w:val="center"/>
          </w:tcPr>
          <w:p w14:paraId="3EE892EB">
            <w:pPr>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评标分项</w:t>
            </w:r>
          </w:p>
        </w:tc>
        <w:tc>
          <w:tcPr>
            <w:tcW w:w="3290" w:type="pct"/>
            <w:noWrap w:val="0"/>
            <w:vAlign w:val="center"/>
          </w:tcPr>
          <w:p w14:paraId="49831CCA">
            <w:pPr>
              <w:spacing w:line="40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评审内容</w:t>
            </w:r>
          </w:p>
        </w:tc>
        <w:tc>
          <w:tcPr>
            <w:tcW w:w="348" w:type="pct"/>
            <w:noWrap w:val="0"/>
            <w:vAlign w:val="center"/>
          </w:tcPr>
          <w:p w14:paraId="36DC251B">
            <w:pPr>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r>
      <w:tr w14:paraId="5408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34" w:type="pct"/>
            <w:vMerge w:val="restart"/>
            <w:noWrap w:val="0"/>
            <w:vAlign w:val="center"/>
          </w:tcPr>
          <w:p w14:paraId="6E8E623C">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p>
          <w:p w14:paraId="12029001">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627" w:type="pct"/>
            <w:vMerge w:val="restart"/>
            <w:noWrap w:val="0"/>
            <w:vAlign w:val="center"/>
          </w:tcPr>
          <w:p w14:paraId="1CFF75D9">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3290" w:type="pct"/>
            <w:noWrap w:val="0"/>
            <w:vAlign w:val="top"/>
          </w:tcPr>
          <w:p w14:paraId="5B74DD3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sz w:val="21"/>
                <w:szCs w:val="21"/>
              </w:rPr>
              <w:t>委托管理费</w:t>
            </w:r>
            <w:r>
              <w:rPr>
                <w:rFonts w:hint="eastAsia" w:ascii="宋体" w:hAnsi="宋体" w:eastAsia="宋体" w:cs="宋体"/>
                <w:sz w:val="21"/>
                <w:szCs w:val="21"/>
                <w:lang w:eastAsia="zh-CN"/>
              </w:rPr>
              <w:t>：</w:t>
            </w:r>
            <w:r>
              <w:rPr>
                <w:rFonts w:hint="eastAsia" w:ascii="宋体" w:hAnsi="宋体" w:eastAsia="宋体" w:cs="宋体"/>
                <w:sz w:val="21"/>
                <w:szCs w:val="21"/>
              </w:rPr>
              <w:t>价格分统一采用低价优先法计算，即满足招</w:t>
            </w:r>
            <w:r>
              <w:rPr>
                <w:rFonts w:hint="eastAsia" w:ascii="宋体" w:hAnsi="宋体" w:eastAsia="宋体" w:cs="宋体"/>
                <w:spacing w:val="-1"/>
                <w:sz w:val="21"/>
                <w:szCs w:val="21"/>
              </w:rPr>
              <w:t>标文件要求且投标价格最低的投标报价为评标基准价，其价格分为满分。其他投标人的价格分统一</w:t>
            </w:r>
            <w:r>
              <w:rPr>
                <w:rFonts w:hint="eastAsia" w:ascii="宋体" w:hAnsi="宋体" w:eastAsia="宋体" w:cs="宋体"/>
                <w:sz w:val="21"/>
                <w:szCs w:val="21"/>
              </w:rPr>
              <w:t>按照下列公式计算：投标报价得分=(评标基准价</w:t>
            </w:r>
            <w:r>
              <w:rPr>
                <w:rFonts w:hint="eastAsia" w:ascii="宋体" w:hAnsi="宋体" w:eastAsia="宋体" w:cs="宋体"/>
                <w:spacing w:val="-1"/>
                <w:sz w:val="21"/>
                <w:szCs w:val="21"/>
              </w:rPr>
              <w:t>／投标报价)×5%×100</w:t>
            </w:r>
            <w:r>
              <w:rPr>
                <w:rFonts w:hint="eastAsia" w:ascii="宋体" w:hAnsi="宋体" w:eastAsia="宋体" w:cs="宋体"/>
                <w:spacing w:val="-6"/>
                <w:sz w:val="21"/>
                <w:szCs w:val="21"/>
              </w:rPr>
              <w:t>。</w:t>
            </w:r>
          </w:p>
        </w:tc>
        <w:tc>
          <w:tcPr>
            <w:tcW w:w="348" w:type="pct"/>
            <w:noWrap w:val="0"/>
            <w:vAlign w:val="center"/>
          </w:tcPr>
          <w:p w14:paraId="44B918B5">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r>
      <w:tr w14:paraId="31F7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34" w:type="pct"/>
            <w:vMerge w:val="continue"/>
            <w:noWrap w:val="0"/>
            <w:vAlign w:val="center"/>
          </w:tcPr>
          <w:p w14:paraId="0764FB12">
            <w:pPr>
              <w:spacing w:line="400" w:lineRule="exact"/>
              <w:jc w:val="left"/>
              <w:rPr>
                <w:rFonts w:hint="eastAsia" w:ascii="宋体" w:hAnsi="宋体" w:eastAsia="宋体" w:cs="宋体"/>
                <w:color w:val="auto"/>
                <w:sz w:val="21"/>
                <w:szCs w:val="21"/>
                <w:highlight w:val="none"/>
              </w:rPr>
            </w:pPr>
          </w:p>
        </w:tc>
        <w:tc>
          <w:tcPr>
            <w:tcW w:w="627" w:type="pct"/>
            <w:vMerge w:val="continue"/>
            <w:noWrap w:val="0"/>
            <w:vAlign w:val="center"/>
          </w:tcPr>
          <w:p w14:paraId="4D8C1E41">
            <w:pPr>
              <w:spacing w:line="400" w:lineRule="exact"/>
              <w:jc w:val="left"/>
              <w:rPr>
                <w:rFonts w:hint="eastAsia" w:ascii="宋体" w:hAnsi="宋体" w:eastAsia="宋体" w:cs="宋体"/>
                <w:color w:val="auto"/>
                <w:sz w:val="21"/>
                <w:szCs w:val="21"/>
                <w:highlight w:val="none"/>
              </w:rPr>
            </w:pPr>
          </w:p>
        </w:tc>
        <w:tc>
          <w:tcPr>
            <w:tcW w:w="3290" w:type="pct"/>
            <w:noWrap w:val="0"/>
            <w:vAlign w:val="top"/>
          </w:tcPr>
          <w:p w14:paraId="44CA117D">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sz w:val="21"/>
                <w:szCs w:val="21"/>
              </w:rPr>
              <w:t>食材配送</w:t>
            </w:r>
            <w:r>
              <w:rPr>
                <w:rFonts w:hint="eastAsia" w:ascii="宋体" w:hAnsi="宋体" w:eastAsia="宋体" w:cs="宋体"/>
                <w:sz w:val="21"/>
                <w:szCs w:val="21"/>
                <w:lang w:val="en-US" w:eastAsia="zh-CN"/>
              </w:rPr>
              <w:t>折扣率</w:t>
            </w:r>
            <w:r>
              <w:rPr>
                <w:rFonts w:hint="eastAsia" w:ascii="宋体" w:hAnsi="宋体" w:eastAsia="宋体" w:cs="宋体"/>
                <w:sz w:val="21"/>
                <w:szCs w:val="21"/>
                <w:lang w:eastAsia="zh-CN"/>
              </w:rPr>
              <w:t>：</w:t>
            </w:r>
            <w:r>
              <w:rPr>
                <w:rFonts w:hint="eastAsia" w:ascii="宋体" w:hAnsi="宋体" w:eastAsia="宋体" w:cs="宋体"/>
                <w:sz w:val="21"/>
                <w:szCs w:val="21"/>
              </w:rPr>
              <w:t>价格分统一采用低价优先法计算，即满足招</w:t>
            </w:r>
            <w:r>
              <w:rPr>
                <w:rFonts w:hint="eastAsia" w:ascii="宋体" w:hAnsi="宋体" w:eastAsia="宋体" w:cs="宋体"/>
                <w:spacing w:val="-1"/>
                <w:sz w:val="21"/>
                <w:szCs w:val="21"/>
              </w:rPr>
              <w:t>标文件要求且投标价格最低的投标报价为评标基准价，其价格分为满分。其他投标人的价格分统一</w:t>
            </w:r>
            <w:r>
              <w:rPr>
                <w:rFonts w:hint="eastAsia" w:ascii="宋体" w:hAnsi="宋体" w:eastAsia="宋体" w:cs="宋体"/>
                <w:spacing w:val="-2"/>
                <w:sz w:val="21"/>
                <w:szCs w:val="21"/>
              </w:rPr>
              <w:t>按照下列公式计算：投标报价得分=(评标基准价／投标报价)×</w:t>
            </w:r>
            <w:r>
              <w:rPr>
                <w:rFonts w:hint="eastAsia" w:ascii="宋体" w:hAnsi="宋体" w:eastAsia="宋体" w:cs="宋体"/>
                <w:spacing w:val="-93"/>
                <w:sz w:val="21"/>
                <w:szCs w:val="21"/>
              </w:rPr>
              <w:t xml:space="preserve"> </w:t>
            </w:r>
            <w:r>
              <w:rPr>
                <w:rFonts w:hint="eastAsia" w:ascii="宋体" w:hAnsi="宋体" w:eastAsia="宋体" w:cs="宋体"/>
                <w:spacing w:val="-2"/>
                <w:sz w:val="21"/>
                <w:szCs w:val="21"/>
              </w:rPr>
              <w:t>1</w:t>
            </w:r>
            <w:r>
              <w:rPr>
                <w:rFonts w:hint="eastAsia" w:ascii="宋体" w:hAnsi="宋体" w:eastAsia="宋体" w:cs="宋体"/>
                <w:spacing w:val="-3"/>
                <w:sz w:val="21"/>
                <w:szCs w:val="21"/>
              </w:rPr>
              <w:t>5%×100</w:t>
            </w:r>
            <w:r>
              <w:rPr>
                <w:rFonts w:hint="eastAsia" w:ascii="宋体" w:hAnsi="宋体" w:eastAsia="宋体" w:cs="宋体"/>
                <w:spacing w:val="-6"/>
                <w:sz w:val="21"/>
                <w:szCs w:val="21"/>
              </w:rPr>
              <w:t>。</w:t>
            </w:r>
          </w:p>
        </w:tc>
        <w:tc>
          <w:tcPr>
            <w:tcW w:w="348" w:type="pct"/>
            <w:noWrap w:val="0"/>
            <w:vAlign w:val="center"/>
          </w:tcPr>
          <w:p w14:paraId="6E34D4E6">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0686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34" w:type="pct"/>
            <w:vMerge w:val="restart"/>
            <w:noWrap w:val="0"/>
            <w:vAlign w:val="center"/>
          </w:tcPr>
          <w:p w14:paraId="42DF9D5C">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14:paraId="7D69884A">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34</w:t>
            </w:r>
            <w:r>
              <w:rPr>
                <w:rFonts w:hint="eastAsia" w:ascii="宋体" w:hAnsi="宋体" w:eastAsia="宋体" w:cs="宋体"/>
                <w:color w:val="auto"/>
                <w:sz w:val="21"/>
                <w:szCs w:val="21"/>
                <w:highlight w:val="none"/>
              </w:rPr>
              <w:t>分）</w:t>
            </w:r>
          </w:p>
        </w:tc>
        <w:tc>
          <w:tcPr>
            <w:tcW w:w="627" w:type="pct"/>
            <w:vMerge w:val="restart"/>
            <w:noWrap w:val="0"/>
            <w:vAlign w:val="center"/>
          </w:tcPr>
          <w:p w14:paraId="54A87500">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类似业绩</w:t>
            </w:r>
          </w:p>
        </w:tc>
        <w:tc>
          <w:tcPr>
            <w:tcW w:w="3290" w:type="pct"/>
            <w:noWrap w:val="0"/>
            <w:vAlign w:val="center"/>
          </w:tcPr>
          <w:p w14:paraId="18AE18F2">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自2021年8月1日至今承担过类似服务项目业绩，可按以下标准计分，本项满分16分：单个合同同时包含食堂委托管理及食材配送一体化服务内容的，每项得4分；单个合同仅包含食堂委托管理、食材配送其中一项服务内容的，每项得2分。</w:t>
            </w:r>
          </w:p>
          <w:p w14:paraId="71E06869">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须提供中标（成交）通知书或项目合同作为业绩证明材料，业绩时间以所提交证明材料载明的时间为准；同时提供中标（成交）通知书及合同的，以载明的较早时间为准。未按要求提供有效证明材料的，不得分。）</w:t>
            </w:r>
          </w:p>
        </w:tc>
        <w:tc>
          <w:tcPr>
            <w:tcW w:w="348" w:type="pct"/>
            <w:noWrap w:val="0"/>
            <w:vAlign w:val="center"/>
          </w:tcPr>
          <w:p w14:paraId="56879652">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r>
      <w:tr w14:paraId="0585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734" w:type="pct"/>
            <w:vMerge w:val="continue"/>
            <w:noWrap w:val="0"/>
            <w:vAlign w:val="center"/>
          </w:tcPr>
          <w:p w14:paraId="66C194A0">
            <w:pPr>
              <w:spacing w:line="400" w:lineRule="exact"/>
              <w:jc w:val="left"/>
              <w:rPr>
                <w:rFonts w:hint="eastAsia" w:ascii="宋体" w:hAnsi="宋体" w:eastAsia="宋体" w:cs="宋体"/>
                <w:color w:val="auto"/>
                <w:sz w:val="21"/>
                <w:szCs w:val="21"/>
                <w:highlight w:val="none"/>
              </w:rPr>
            </w:pPr>
          </w:p>
        </w:tc>
        <w:tc>
          <w:tcPr>
            <w:tcW w:w="627" w:type="pct"/>
            <w:vMerge w:val="continue"/>
            <w:noWrap w:val="0"/>
            <w:vAlign w:val="center"/>
          </w:tcPr>
          <w:p w14:paraId="631A6390">
            <w:pPr>
              <w:spacing w:line="400" w:lineRule="exact"/>
              <w:jc w:val="left"/>
              <w:rPr>
                <w:rFonts w:hint="eastAsia" w:ascii="宋体" w:hAnsi="宋体" w:eastAsia="宋体" w:cs="宋体"/>
                <w:color w:val="auto"/>
                <w:sz w:val="21"/>
                <w:szCs w:val="21"/>
                <w:highlight w:val="none"/>
                <w:lang w:eastAsia="zh-CN"/>
              </w:rPr>
            </w:pPr>
          </w:p>
        </w:tc>
        <w:tc>
          <w:tcPr>
            <w:tcW w:w="3290" w:type="pct"/>
            <w:noWrap w:val="0"/>
            <w:vAlign w:val="center"/>
          </w:tcPr>
          <w:p w14:paraId="5A9A8267">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投标人2021年8月至今获得采购人的良好及以上正面评价（与类似业绩对应），每提供一个得1分，最高得4分。（提供相应证明材料，</w:t>
            </w:r>
            <w:r>
              <w:rPr>
                <w:rFonts w:hint="eastAsia" w:ascii="宋体" w:hAnsi="宋体" w:eastAsia="宋体" w:cs="宋体"/>
                <w:color w:val="auto"/>
                <w:kern w:val="0"/>
                <w:sz w:val="21"/>
                <w:szCs w:val="21"/>
                <w:highlight w:val="none"/>
                <w:lang w:val="zh-TW" w:eastAsia="zh-CN"/>
              </w:rPr>
              <w:t>未提供不得分</w:t>
            </w:r>
            <w:r>
              <w:rPr>
                <w:rFonts w:hint="eastAsia" w:ascii="宋体" w:hAnsi="宋体" w:eastAsia="宋体" w:cs="宋体"/>
                <w:color w:val="auto"/>
                <w:kern w:val="0"/>
                <w:sz w:val="21"/>
                <w:szCs w:val="21"/>
                <w:highlight w:val="none"/>
                <w:lang w:val="en-US" w:eastAsia="zh-CN"/>
              </w:rPr>
              <w:t>）</w:t>
            </w:r>
          </w:p>
        </w:tc>
        <w:tc>
          <w:tcPr>
            <w:tcW w:w="348" w:type="pct"/>
            <w:noWrap w:val="0"/>
            <w:vAlign w:val="center"/>
          </w:tcPr>
          <w:p w14:paraId="634C9700">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50E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734" w:type="pct"/>
            <w:vMerge w:val="continue"/>
            <w:noWrap w:val="0"/>
            <w:vAlign w:val="center"/>
          </w:tcPr>
          <w:p w14:paraId="2734ACC2">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1DCFE2B0">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企业信誉</w:t>
            </w:r>
          </w:p>
        </w:tc>
        <w:tc>
          <w:tcPr>
            <w:tcW w:w="3290" w:type="pct"/>
            <w:noWrap w:val="0"/>
            <w:vAlign w:val="center"/>
          </w:tcPr>
          <w:p w14:paraId="59829DB9">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投标人具有有效的：食品安全管理体系认证证书、质量管理体系认证证书、环境管理体系认证证书、职业健康管理体系认证证书，每项认证体系得1 分，满分4 分。（提供有效证书复印件）</w:t>
            </w:r>
          </w:p>
        </w:tc>
        <w:tc>
          <w:tcPr>
            <w:tcW w:w="348" w:type="pct"/>
            <w:noWrap w:val="0"/>
            <w:vAlign w:val="center"/>
          </w:tcPr>
          <w:p w14:paraId="2F18BB8F">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7A42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734" w:type="pct"/>
            <w:vMerge w:val="continue"/>
            <w:noWrap w:val="0"/>
            <w:vAlign w:val="center"/>
          </w:tcPr>
          <w:p w14:paraId="270C1185">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34755004">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保险保障</w:t>
            </w:r>
          </w:p>
        </w:tc>
        <w:tc>
          <w:tcPr>
            <w:tcW w:w="3290" w:type="pct"/>
            <w:noWrap w:val="0"/>
            <w:vAlign w:val="center"/>
          </w:tcPr>
          <w:p w14:paraId="32DF0FF1">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投标人承诺中标后为本项目购买500万元保额的公众责任险得2分，每增加50万加0.5分，本项最多得4分。（提供承诺函）</w:t>
            </w:r>
          </w:p>
        </w:tc>
        <w:tc>
          <w:tcPr>
            <w:tcW w:w="348" w:type="pct"/>
            <w:noWrap w:val="0"/>
            <w:vAlign w:val="center"/>
          </w:tcPr>
          <w:p w14:paraId="386C5BC7">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r>
      <w:tr w14:paraId="6F2D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734" w:type="pct"/>
            <w:vMerge w:val="continue"/>
            <w:noWrap w:val="0"/>
            <w:vAlign w:val="center"/>
          </w:tcPr>
          <w:p w14:paraId="07A5B52F">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4CE84C52">
            <w:pPr>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项目人员</w:t>
            </w:r>
          </w:p>
        </w:tc>
        <w:tc>
          <w:tcPr>
            <w:tcW w:w="3290" w:type="pct"/>
            <w:noWrap w:val="0"/>
            <w:vAlign w:val="center"/>
          </w:tcPr>
          <w:p w14:paraId="4AD2EF93">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1、项目经理具有高级技师证书得2 分；</w:t>
            </w:r>
          </w:p>
          <w:p w14:paraId="4894F19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2、主厨具有高级技师证书得2分；</w:t>
            </w:r>
          </w:p>
          <w:p w14:paraId="40476FB3">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3、其他成员具有三级及以上公共营养师证书或三级及以上健康管理师证书得2分。</w:t>
            </w:r>
          </w:p>
          <w:p w14:paraId="60128412">
            <w:pPr>
              <w:widowControl/>
              <w:jc w:val="left"/>
              <w:rPr>
                <w:rFonts w:hint="eastAsia" w:ascii="宋体" w:hAnsi="宋体" w:eastAsia="宋体" w:cs="宋体"/>
                <w:color w:val="000000"/>
                <w:spacing w:val="0"/>
                <w:kern w:val="0"/>
                <w:position w:val="0"/>
                <w:sz w:val="21"/>
                <w:szCs w:val="21"/>
                <w:lang w:val="en-US" w:eastAsia="zh-CN" w:bidi="ar"/>
              </w:rPr>
            </w:pPr>
            <w:r>
              <w:rPr>
                <w:rFonts w:hint="eastAsia" w:ascii="宋体" w:hAnsi="宋体" w:eastAsia="宋体" w:cs="宋体"/>
                <w:color w:val="auto"/>
                <w:kern w:val="0"/>
                <w:sz w:val="21"/>
                <w:szCs w:val="21"/>
                <w:highlight w:val="none"/>
                <w:lang w:val="en-US" w:eastAsia="zh-CN"/>
              </w:rPr>
              <w:t>（提供人员身份证及相关证书）</w:t>
            </w:r>
          </w:p>
        </w:tc>
        <w:tc>
          <w:tcPr>
            <w:tcW w:w="348" w:type="pct"/>
            <w:noWrap w:val="0"/>
            <w:vAlign w:val="center"/>
          </w:tcPr>
          <w:p w14:paraId="27ACC576">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r>
      <w:tr w14:paraId="199C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734" w:type="pct"/>
            <w:vMerge w:val="restart"/>
            <w:noWrap w:val="0"/>
            <w:vAlign w:val="center"/>
          </w:tcPr>
          <w:p w14:paraId="48BD97DC">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部分</w:t>
            </w:r>
          </w:p>
          <w:p w14:paraId="167FA000">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46</w:t>
            </w:r>
            <w:r>
              <w:rPr>
                <w:rFonts w:hint="eastAsia" w:ascii="宋体" w:hAnsi="宋体" w:eastAsia="宋体" w:cs="宋体"/>
                <w:color w:val="auto"/>
                <w:sz w:val="21"/>
                <w:szCs w:val="21"/>
                <w:highlight w:val="none"/>
              </w:rPr>
              <w:t>分）</w:t>
            </w:r>
          </w:p>
        </w:tc>
        <w:tc>
          <w:tcPr>
            <w:tcW w:w="627" w:type="pct"/>
            <w:noWrap w:val="0"/>
            <w:vAlign w:val="center"/>
          </w:tcPr>
          <w:p w14:paraId="6F576ABD">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整体服务方案</w:t>
            </w:r>
          </w:p>
        </w:tc>
        <w:tc>
          <w:tcPr>
            <w:tcW w:w="3290" w:type="pct"/>
            <w:noWrap w:val="0"/>
            <w:vAlign w:val="center"/>
          </w:tcPr>
          <w:p w14:paraId="6153010B">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根据投标人提出的整体服务方案进行评审。</w:t>
            </w:r>
          </w:p>
          <w:p w14:paraId="3896A2F6">
            <w:pPr>
              <w:pStyle w:val="4"/>
              <w:ind w:left="0" w:leftChars="0" w:firstLine="0" w:firstLineChars="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评审内容：</w:t>
            </w:r>
          </w:p>
          <w:p w14:paraId="64594CB9">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①食堂委托管理方案</w:t>
            </w:r>
          </w:p>
          <w:p w14:paraId="0ED1B1A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②食材配送服务方案</w:t>
            </w:r>
          </w:p>
          <w:p w14:paraId="67D0671D">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5E9EEF4B">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75DE897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3D8E570D">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7E1FB22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对上述2项评审内容进行打分，每符合1项评审标准的得2分。最高得6分。</w:t>
            </w:r>
          </w:p>
        </w:tc>
        <w:tc>
          <w:tcPr>
            <w:tcW w:w="348" w:type="pct"/>
            <w:noWrap w:val="0"/>
            <w:vAlign w:val="center"/>
          </w:tcPr>
          <w:p w14:paraId="225EE5F0">
            <w:pPr>
              <w:spacing w:line="400" w:lineRule="exact"/>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12</w:t>
            </w:r>
          </w:p>
        </w:tc>
      </w:tr>
      <w:tr w14:paraId="35FA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734" w:type="pct"/>
            <w:vMerge w:val="continue"/>
            <w:noWrap w:val="0"/>
            <w:vAlign w:val="center"/>
          </w:tcPr>
          <w:p w14:paraId="1FAD05E8">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41C1F7FE">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食品质量控制</w:t>
            </w:r>
          </w:p>
        </w:tc>
        <w:tc>
          <w:tcPr>
            <w:tcW w:w="3290" w:type="pct"/>
            <w:noWrap w:val="0"/>
            <w:vAlign w:val="center"/>
          </w:tcPr>
          <w:p w14:paraId="1142C07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根据投标人提出的食品品种多样化和食品卫生质量安全保障措施进行评审。</w:t>
            </w:r>
          </w:p>
          <w:p w14:paraId="07BE6EAF">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1AE1C1B0">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5CCC912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3CBEA245">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73362F8B">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每符合1项评审标准的得1分。最高得6分。</w:t>
            </w:r>
          </w:p>
        </w:tc>
        <w:tc>
          <w:tcPr>
            <w:tcW w:w="348" w:type="pct"/>
            <w:noWrap w:val="0"/>
            <w:vAlign w:val="center"/>
          </w:tcPr>
          <w:p w14:paraId="7191AD28">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6</w:t>
            </w:r>
          </w:p>
        </w:tc>
      </w:tr>
      <w:tr w14:paraId="3EE2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34" w:type="pct"/>
            <w:vMerge w:val="continue"/>
            <w:noWrap w:val="0"/>
            <w:vAlign w:val="top"/>
          </w:tcPr>
          <w:p w14:paraId="16A5CE15">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745D4BE7">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设备和场地维护</w:t>
            </w:r>
          </w:p>
        </w:tc>
        <w:tc>
          <w:tcPr>
            <w:tcW w:w="3290" w:type="pct"/>
            <w:noWrap w:val="0"/>
            <w:vAlign w:val="center"/>
          </w:tcPr>
          <w:p w14:paraId="6022770F">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根据投标人提出的供餐设施设备和场地维护维修制度进行评审。</w:t>
            </w:r>
          </w:p>
          <w:p w14:paraId="3B724ED8">
            <w:pPr>
              <w:pStyle w:val="4"/>
              <w:ind w:left="0" w:leftChars="0" w:firstLine="0" w:firstLineChars="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评审内容：</w:t>
            </w:r>
          </w:p>
          <w:p w14:paraId="3FAC297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①供餐设施设备保养和维修管理制度</w:t>
            </w:r>
          </w:p>
          <w:p w14:paraId="62963791">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②食堂场地保养管理制度</w:t>
            </w:r>
          </w:p>
          <w:p w14:paraId="05AA230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1A884BF9">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1B3EA6B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78B8C8C9">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61BE3801">
            <w:pPr>
              <w:pStyle w:val="4"/>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对上述2项评审内容进行打分，每符合1项评审标准的得1分。最高得6分。</w:t>
            </w:r>
          </w:p>
        </w:tc>
        <w:tc>
          <w:tcPr>
            <w:tcW w:w="348" w:type="pct"/>
            <w:noWrap w:val="0"/>
            <w:vAlign w:val="center"/>
          </w:tcPr>
          <w:p w14:paraId="5C0F0CCF">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r>
      <w:tr w14:paraId="08EE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34" w:type="pct"/>
            <w:vMerge w:val="continue"/>
            <w:noWrap w:val="0"/>
            <w:vAlign w:val="top"/>
          </w:tcPr>
          <w:p w14:paraId="48017DBC">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72557DA5">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安全自检能力</w:t>
            </w:r>
          </w:p>
        </w:tc>
        <w:tc>
          <w:tcPr>
            <w:tcW w:w="3290" w:type="pct"/>
            <w:noWrap w:val="0"/>
            <w:vAlign w:val="center"/>
          </w:tcPr>
          <w:p w14:paraId="49E01666">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zh-CN" w:eastAsia="zh-CN"/>
              </w:rPr>
              <w:t>投标人具有食材安全自检能力（</w:t>
            </w:r>
            <w:r>
              <w:rPr>
                <w:rFonts w:hint="eastAsia" w:ascii="宋体" w:hAnsi="宋体" w:eastAsia="宋体" w:cs="宋体"/>
                <w:color w:val="auto"/>
                <w:kern w:val="0"/>
                <w:sz w:val="21"/>
                <w:szCs w:val="21"/>
                <w:highlight w:val="none"/>
                <w:lang w:val="en-US" w:eastAsia="zh-CN"/>
              </w:rPr>
              <w:t>需</w:t>
            </w:r>
            <w:r>
              <w:rPr>
                <w:rFonts w:hint="eastAsia" w:ascii="宋体" w:hAnsi="宋体" w:eastAsia="宋体" w:cs="宋体"/>
                <w:color w:val="auto"/>
                <w:kern w:val="0"/>
                <w:sz w:val="21"/>
                <w:szCs w:val="21"/>
                <w:highlight w:val="none"/>
                <w:lang w:val="zh-CN" w:eastAsia="zh-CN"/>
              </w:rPr>
              <w:t>提供检测室图片、检测设施设备购置发票、专业检测人员证书）</w:t>
            </w:r>
            <w:r>
              <w:rPr>
                <w:rFonts w:hint="eastAsia" w:ascii="宋体" w:hAnsi="宋体" w:eastAsia="宋体" w:cs="宋体"/>
                <w:color w:val="auto"/>
                <w:kern w:val="0"/>
                <w:sz w:val="21"/>
                <w:szCs w:val="21"/>
                <w:highlight w:val="none"/>
                <w:lang w:val="en-US" w:eastAsia="zh-CN"/>
              </w:rPr>
              <w:t>或与具备 CMA认证的第三方检测实验室签订长期协议的（需提供协议）。得3分，否则不得分。</w:t>
            </w:r>
          </w:p>
        </w:tc>
        <w:tc>
          <w:tcPr>
            <w:tcW w:w="348" w:type="pct"/>
            <w:noWrap w:val="0"/>
            <w:vAlign w:val="center"/>
          </w:tcPr>
          <w:p w14:paraId="1771105A">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7BEE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34" w:type="pct"/>
            <w:vMerge w:val="continue"/>
            <w:noWrap w:val="0"/>
            <w:vAlign w:val="top"/>
          </w:tcPr>
          <w:p w14:paraId="27133D47">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46EE6AD4">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人员卫生控制</w:t>
            </w:r>
          </w:p>
        </w:tc>
        <w:tc>
          <w:tcPr>
            <w:tcW w:w="3290" w:type="pct"/>
            <w:noWrap w:val="0"/>
            <w:vAlign w:val="center"/>
          </w:tcPr>
          <w:p w14:paraId="207FEEE4">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根据投标人提出的服务及配送人员卫生控制措施方案进行评审。</w:t>
            </w:r>
          </w:p>
          <w:p w14:paraId="333F05B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4DAC79E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05BCE7A1">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4CC02970">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0A31AEE2">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每符合1项评审标准的得2分。最高得6分。</w:t>
            </w:r>
          </w:p>
        </w:tc>
        <w:tc>
          <w:tcPr>
            <w:tcW w:w="348" w:type="pct"/>
            <w:noWrap w:val="0"/>
            <w:vAlign w:val="center"/>
          </w:tcPr>
          <w:p w14:paraId="5AAD19E6">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r>
      <w:tr w14:paraId="56E6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34" w:type="pct"/>
            <w:vMerge w:val="continue"/>
            <w:noWrap w:val="0"/>
            <w:vAlign w:val="top"/>
          </w:tcPr>
          <w:p w14:paraId="149C75FB">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30109AAC">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人员配备</w:t>
            </w:r>
          </w:p>
        </w:tc>
        <w:tc>
          <w:tcPr>
            <w:tcW w:w="3290" w:type="pct"/>
            <w:noWrap w:val="0"/>
            <w:vAlign w:val="center"/>
          </w:tcPr>
          <w:p w14:paraId="07F492CC">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根据投标人提供的人员配备进行评审。</w:t>
            </w:r>
          </w:p>
          <w:p w14:paraId="29AFC0F7">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38EA6DF1">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3A201870">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③科学性：方案科学合理，不存在纰漏。</w:t>
            </w:r>
          </w:p>
          <w:p w14:paraId="2592957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④</w:t>
            </w:r>
            <w:r>
              <w:rPr>
                <w:rFonts w:hint="eastAsia" w:ascii="宋体" w:hAnsi="宋体" w:eastAsia="宋体" w:cs="宋体"/>
                <w:color w:val="auto"/>
                <w:kern w:val="0"/>
                <w:sz w:val="21"/>
                <w:szCs w:val="21"/>
                <w:highlight w:val="none"/>
                <w:lang w:val="en-US" w:eastAsia="zh-CN"/>
              </w:rPr>
              <w:t>合理性：依据本项目阐述，措施可落地。</w:t>
            </w:r>
          </w:p>
          <w:p w14:paraId="391A4FF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每符合1项评审标准的得1分。最高得4分。</w:t>
            </w:r>
          </w:p>
        </w:tc>
        <w:tc>
          <w:tcPr>
            <w:tcW w:w="348" w:type="pct"/>
            <w:noWrap w:val="0"/>
            <w:vAlign w:val="center"/>
          </w:tcPr>
          <w:p w14:paraId="11B1F5B5">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r>
      <w:tr w14:paraId="05ED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734" w:type="pct"/>
            <w:vMerge w:val="continue"/>
            <w:noWrap w:val="0"/>
            <w:vAlign w:val="top"/>
          </w:tcPr>
          <w:p w14:paraId="7620563B">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6BC7EBB4">
            <w:pPr>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菜品设计</w:t>
            </w:r>
          </w:p>
        </w:tc>
        <w:tc>
          <w:tcPr>
            <w:tcW w:w="3290" w:type="pct"/>
            <w:noWrap w:val="0"/>
            <w:vAlign w:val="center"/>
          </w:tcPr>
          <w:p w14:paraId="1D1E4BC3">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根据投标人提供的菜品设计进行评审。</w:t>
            </w:r>
          </w:p>
          <w:p w14:paraId="431E028D">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22DD5F9B">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29CDB05F">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③合理性：依据本项目阐述，措施可落地。</w:t>
            </w:r>
          </w:p>
          <w:p w14:paraId="7024380B">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每符合1项评审标准的得1分。最高得3分。</w:t>
            </w:r>
          </w:p>
        </w:tc>
        <w:tc>
          <w:tcPr>
            <w:tcW w:w="348" w:type="pct"/>
            <w:noWrap w:val="0"/>
            <w:vAlign w:val="center"/>
          </w:tcPr>
          <w:p w14:paraId="235DBC3A">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r>
      <w:tr w14:paraId="69E7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734" w:type="pct"/>
            <w:vMerge w:val="continue"/>
            <w:noWrap w:val="0"/>
            <w:vAlign w:val="top"/>
          </w:tcPr>
          <w:p w14:paraId="64A526C7">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287D38FA">
            <w:pPr>
              <w:spacing w:line="40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应急预案</w:t>
            </w:r>
          </w:p>
        </w:tc>
        <w:tc>
          <w:tcPr>
            <w:tcW w:w="3290" w:type="pct"/>
            <w:noWrap w:val="0"/>
            <w:vAlign w:val="center"/>
          </w:tcPr>
          <w:p w14:paraId="6AADE268">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根据投标人提供的应急预案进行评审。</w:t>
            </w:r>
          </w:p>
          <w:p w14:paraId="6E01EDF0">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2C77C794">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2CA7DDC7">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0C0A7F0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66A1C8A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每符合1项评审标准的得1分。最高得3分。</w:t>
            </w:r>
          </w:p>
        </w:tc>
        <w:tc>
          <w:tcPr>
            <w:tcW w:w="348" w:type="pct"/>
            <w:noWrap w:val="0"/>
            <w:vAlign w:val="center"/>
          </w:tcPr>
          <w:p w14:paraId="4EA01DC2">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r w14:paraId="018E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34" w:type="pct"/>
            <w:vMerge w:val="continue"/>
            <w:noWrap w:val="0"/>
            <w:vAlign w:val="top"/>
          </w:tcPr>
          <w:p w14:paraId="5092D4B2">
            <w:pPr>
              <w:spacing w:line="400" w:lineRule="exact"/>
              <w:jc w:val="left"/>
              <w:rPr>
                <w:rFonts w:hint="eastAsia" w:ascii="宋体" w:hAnsi="宋体" w:eastAsia="宋体" w:cs="宋体"/>
                <w:color w:val="auto"/>
                <w:sz w:val="21"/>
                <w:szCs w:val="21"/>
                <w:highlight w:val="none"/>
              </w:rPr>
            </w:pPr>
          </w:p>
        </w:tc>
        <w:tc>
          <w:tcPr>
            <w:tcW w:w="627" w:type="pct"/>
            <w:noWrap w:val="0"/>
            <w:vAlign w:val="center"/>
          </w:tcPr>
          <w:p w14:paraId="3792B280">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验收方案</w:t>
            </w:r>
          </w:p>
        </w:tc>
        <w:tc>
          <w:tcPr>
            <w:tcW w:w="3290" w:type="pct"/>
            <w:noWrap w:val="0"/>
            <w:vAlign w:val="center"/>
          </w:tcPr>
          <w:p w14:paraId="35A591EF">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根据投标人提供的验收方案进行评审。</w:t>
            </w:r>
          </w:p>
          <w:p w14:paraId="7DAB9032">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评审标准：</w:t>
            </w:r>
          </w:p>
          <w:p w14:paraId="04B8DF92">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①符合性：对采购需求进行响应，不得提供与本评标项无关内容；</w:t>
            </w:r>
          </w:p>
          <w:p w14:paraId="707FA62E">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②完整性：结合整体需求，进行全方面的阐述，不得存在内容缺陷；</w:t>
            </w:r>
          </w:p>
          <w:p w14:paraId="1FEF316A">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③合理性：依据本项目阐述，措施可落地。</w:t>
            </w:r>
          </w:p>
          <w:p w14:paraId="49EBAD65">
            <w:pPr>
              <w:widowControl/>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每符合1项评审标准的得1分。最高得3分。</w:t>
            </w:r>
          </w:p>
        </w:tc>
        <w:tc>
          <w:tcPr>
            <w:tcW w:w="348" w:type="pct"/>
            <w:noWrap w:val="0"/>
            <w:vAlign w:val="center"/>
          </w:tcPr>
          <w:p w14:paraId="1CABC32F">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r>
    </w:tbl>
    <w:p w14:paraId="66E11F99">
      <w:pPr>
        <w:adjustRightInd w:val="0"/>
        <w:snapToGrid w:val="0"/>
        <w:spacing w:line="360" w:lineRule="auto"/>
        <w:ind w:firstLine="400" w:firstLineChars="200"/>
        <w:textAlignment w:val="baseline"/>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体">
    <w:altName w:val="仿宋"/>
    <w:panose1 w:val="00000000000000000000"/>
    <w:charset w:val="86"/>
    <w:family w:val="roma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FF61A">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矩形 1"/>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106AD77F">
                          <w:pPr>
                            <w:pStyle w:val="6"/>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L/SwtAAAAADAQAADwAAAAAAAAABACAAAAAiAAAAZHJzL2Rvd25yZXYueG1sUEsB&#10;AhQAFAAAAAgAh07iQEK3OgDEAQAAigMAAA4AAAAAAAAAAQAgAAAAHwEAAGRycy9lMm9Eb2MueG1s&#10;UEsFBgAAAAAGAAYAWQEAAFUFAAAAAA==&#10;">
              <v:fill on="f" focussize="0,0"/>
              <v:stroke on="f"/>
              <v:imagedata o:title=""/>
              <o:lock v:ext="edit" aspectratio="f"/>
              <v:textbox inset="0mm,0mm,0mm,0mm" style="mso-fit-shape-to-text:t;">
                <w:txbxContent>
                  <w:p w14:paraId="106AD77F">
                    <w:pPr>
                      <w:pStyle w:val="6"/>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rect>
          </w:pict>
        </mc:Fallback>
      </mc:AlternateContent>
    </w:r>
  </w:p>
  <w:p w14:paraId="2E216C9F">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B00F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17788"/>
    <w:multiLevelType w:val="multilevel"/>
    <w:tmpl w:val="00317788"/>
    <w:lvl w:ilvl="0" w:tentative="0">
      <w:start w:val="1"/>
      <w:numFmt w:val="decimal"/>
      <w:lvlText w:val="3.%1 "/>
      <w:lvlJc w:val="left"/>
      <w:pPr>
        <w:ind w:left="3681" w:hanging="420"/>
      </w:pPr>
      <w:rPr>
        <w:rFonts w:hint="eastAsia" w:ascii="宋体" w:hAnsi="宋体" w:eastAsia="宋体"/>
        <w:b w:val="0"/>
        <w:strike w:val="0"/>
        <w:dstrike w:val="0"/>
        <w:color w:val="auto"/>
        <w:u w:val="none"/>
      </w:rPr>
    </w:lvl>
    <w:lvl w:ilvl="1" w:tentative="0">
      <w:start w:val="1"/>
      <w:numFmt w:val="lowerLetter"/>
      <w:lvlText w:val="%2)"/>
      <w:lvlJc w:val="left"/>
      <w:pPr>
        <w:ind w:left="3643" w:hanging="420"/>
      </w:pPr>
    </w:lvl>
    <w:lvl w:ilvl="2" w:tentative="0">
      <w:start w:val="1"/>
      <w:numFmt w:val="lowerRoman"/>
      <w:lvlText w:val="%3."/>
      <w:lvlJc w:val="right"/>
      <w:pPr>
        <w:ind w:left="4063" w:hanging="420"/>
      </w:pPr>
    </w:lvl>
    <w:lvl w:ilvl="3" w:tentative="0">
      <w:start w:val="1"/>
      <w:numFmt w:val="decimal"/>
      <w:lvlText w:val="%4."/>
      <w:lvlJc w:val="left"/>
      <w:pPr>
        <w:ind w:left="4483" w:hanging="420"/>
      </w:pPr>
    </w:lvl>
    <w:lvl w:ilvl="4" w:tentative="0">
      <w:start w:val="1"/>
      <w:numFmt w:val="lowerLetter"/>
      <w:lvlText w:val="%5)"/>
      <w:lvlJc w:val="left"/>
      <w:pPr>
        <w:ind w:left="4903" w:hanging="420"/>
      </w:pPr>
    </w:lvl>
    <w:lvl w:ilvl="5" w:tentative="0">
      <w:start w:val="1"/>
      <w:numFmt w:val="lowerRoman"/>
      <w:lvlText w:val="%6."/>
      <w:lvlJc w:val="right"/>
      <w:pPr>
        <w:ind w:left="5323" w:hanging="420"/>
      </w:pPr>
    </w:lvl>
    <w:lvl w:ilvl="6" w:tentative="0">
      <w:start w:val="1"/>
      <w:numFmt w:val="decimal"/>
      <w:lvlText w:val="%7."/>
      <w:lvlJc w:val="left"/>
      <w:pPr>
        <w:ind w:left="5743" w:hanging="420"/>
      </w:pPr>
    </w:lvl>
    <w:lvl w:ilvl="7" w:tentative="0">
      <w:start w:val="1"/>
      <w:numFmt w:val="lowerLetter"/>
      <w:lvlText w:val="%8)"/>
      <w:lvlJc w:val="left"/>
      <w:pPr>
        <w:ind w:left="6163" w:hanging="420"/>
      </w:pPr>
    </w:lvl>
    <w:lvl w:ilvl="8" w:tentative="0">
      <w:start w:val="1"/>
      <w:numFmt w:val="lowerRoman"/>
      <w:lvlText w:val="%9."/>
      <w:lvlJc w:val="right"/>
      <w:pPr>
        <w:ind w:left="6583" w:hanging="420"/>
      </w:pPr>
    </w:lvl>
  </w:abstractNum>
  <w:abstractNum w:abstractNumId="1">
    <w:nsid w:val="15F76080"/>
    <w:multiLevelType w:val="multilevel"/>
    <w:tmpl w:val="15F76080"/>
    <w:lvl w:ilvl="0" w:tentative="0">
      <w:start w:val="1"/>
      <w:numFmt w:val="decimal"/>
      <w:lvlText w:val="4.%1 "/>
      <w:lvlJc w:val="left"/>
      <w:pPr>
        <w:ind w:left="3681" w:hanging="420"/>
      </w:pPr>
      <w:rPr>
        <w:rFonts w:hint="eastAsia" w:ascii="仿宋" w:hAnsi="仿宋" w:eastAsia="仿宋"/>
        <w:b w:val="0"/>
        <w:strike w:val="0"/>
        <w:dstrike w:val="0"/>
        <w:color w:val="auto"/>
        <w:u w:val="none"/>
      </w:rPr>
    </w:lvl>
    <w:lvl w:ilvl="1" w:tentative="0">
      <w:start w:val="1"/>
      <w:numFmt w:val="lowerLetter"/>
      <w:lvlText w:val="%2)"/>
      <w:lvlJc w:val="left"/>
      <w:pPr>
        <w:ind w:left="3643" w:hanging="420"/>
      </w:pPr>
    </w:lvl>
    <w:lvl w:ilvl="2" w:tentative="0">
      <w:start w:val="1"/>
      <w:numFmt w:val="lowerRoman"/>
      <w:lvlText w:val="%3."/>
      <w:lvlJc w:val="right"/>
      <w:pPr>
        <w:ind w:left="4063" w:hanging="420"/>
      </w:pPr>
    </w:lvl>
    <w:lvl w:ilvl="3" w:tentative="0">
      <w:start w:val="1"/>
      <w:numFmt w:val="decimal"/>
      <w:lvlText w:val="%4."/>
      <w:lvlJc w:val="left"/>
      <w:pPr>
        <w:ind w:left="4483" w:hanging="420"/>
      </w:pPr>
    </w:lvl>
    <w:lvl w:ilvl="4" w:tentative="0">
      <w:start w:val="1"/>
      <w:numFmt w:val="lowerLetter"/>
      <w:lvlText w:val="%5)"/>
      <w:lvlJc w:val="left"/>
      <w:pPr>
        <w:ind w:left="4903" w:hanging="420"/>
      </w:pPr>
    </w:lvl>
    <w:lvl w:ilvl="5" w:tentative="0">
      <w:start w:val="1"/>
      <w:numFmt w:val="lowerRoman"/>
      <w:lvlText w:val="%6."/>
      <w:lvlJc w:val="right"/>
      <w:pPr>
        <w:ind w:left="5323" w:hanging="420"/>
      </w:pPr>
    </w:lvl>
    <w:lvl w:ilvl="6" w:tentative="0">
      <w:start w:val="1"/>
      <w:numFmt w:val="decimal"/>
      <w:lvlText w:val="%7."/>
      <w:lvlJc w:val="left"/>
      <w:pPr>
        <w:ind w:left="5743" w:hanging="420"/>
      </w:pPr>
    </w:lvl>
    <w:lvl w:ilvl="7" w:tentative="0">
      <w:start w:val="1"/>
      <w:numFmt w:val="lowerLetter"/>
      <w:lvlText w:val="%8)"/>
      <w:lvlJc w:val="left"/>
      <w:pPr>
        <w:ind w:left="6163" w:hanging="420"/>
      </w:pPr>
    </w:lvl>
    <w:lvl w:ilvl="8" w:tentative="0">
      <w:start w:val="1"/>
      <w:numFmt w:val="lowerRoman"/>
      <w:lvlText w:val="%9."/>
      <w:lvlJc w:val="right"/>
      <w:pPr>
        <w:ind w:left="6583" w:hanging="420"/>
      </w:pPr>
    </w:lvl>
  </w:abstractNum>
  <w:abstractNum w:abstractNumId="2">
    <w:nsid w:val="1D75445E"/>
    <w:multiLevelType w:val="multilevel"/>
    <w:tmpl w:val="1D75445E"/>
    <w:lvl w:ilvl="0" w:tentative="0">
      <w:start w:val="1"/>
      <w:numFmt w:val="decimal"/>
      <w:lvlText w:val="%1)"/>
      <w:lvlJc w:val="left"/>
      <w:pPr>
        <w:ind w:left="-169" w:hanging="420"/>
      </w:pPr>
      <w:rPr>
        <w:strike w:val="0"/>
        <w:dstrike w:val="0"/>
        <w:u w:val="none"/>
      </w:rPr>
    </w:lvl>
    <w:lvl w:ilvl="1" w:tentative="0">
      <w:start w:val="1"/>
      <w:numFmt w:val="lowerLetter"/>
      <w:lvlText w:val="%2)"/>
      <w:lvlJc w:val="left"/>
      <w:pPr>
        <w:ind w:left="251" w:hanging="420"/>
      </w:pPr>
    </w:lvl>
    <w:lvl w:ilvl="2" w:tentative="0">
      <w:start w:val="1"/>
      <w:numFmt w:val="lowerRoman"/>
      <w:lvlText w:val="%3."/>
      <w:lvlJc w:val="right"/>
      <w:pPr>
        <w:ind w:left="671" w:hanging="420"/>
      </w:pPr>
    </w:lvl>
    <w:lvl w:ilvl="3" w:tentative="0">
      <w:start w:val="1"/>
      <w:numFmt w:val="decimal"/>
      <w:lvlText w:val="%4."/>
      <w:lvlJc w:val="left"/>
      <w:pPr>
        <w:ind w:left="1091" w:hanging="420"/>
      </w:pPr>
    </w:lvl>
    <w:lvl w:ilvl="4" w:tentative="0">
      <w:start w:val="1"/>
      <w:numFmt w:val="lowerLetter"/>
      <w:lvlText w:val="%5)"/>
      <w:lvlJc w:val="left"/>
      <w:pPr>
        <w:ind w:left="1511" w:hanging="420"/>
      </w:pPr>
    </w:lvl>
    <w:lvl w:ilvl="5" w:tentative="0">
      <w:start w:val="1"/>
      <w:numFmt w:val="lowerRoman"/>
      <w:lvlText w:val="%6."/>
      <w:lvlJc w:val="right"/>
      <w:pPr>
        <w:ind w:left="1931" w:hanging="420"/>
      </w:pPr>
    </w:lvl>
    <w:lvl w:ilvl="6" w:tentative="0">
      <w:start w:val="1"/>
      <w:numFmt w:val="decimal"/>
      <w:lvlText w:val="%7."/>
      <w:lvlJc w:val="left"/>
      <w:pPr>
        <w:ind w:left="2351" w:hanging="420"/>
      </w:pPr>
    </w:lvl>
    <w:lvl w:ilvl="7" w:tentative="0">
      <w:start w:val="1"/>
      <w:numFmt w:val="lowerLetter"/>
      <w:lvlText w:val="%8)"/>
      <w:lvlJc w:val="left"/>
      <w:pPr>
        <w:ind w:left="2771" w:hanging="420"/>
      </w:pPr>
    </w:lvl>
    <w:lvl w:ilvl="8" w:tentative="0">
      <w:start w:val="1"/>
      <w:numFmt w:val="lowerRoman"/>
      <w:lvlText w:val="%9."/>
      <w:lvlJc w:val="right"/>
      <w:pPr>
        <w:ind w:left="3191" w:hanging="420"/>
      </w:pPr>
    </w:lvl>
  </w:abstractNum>
  <w:abstractNum w:abstractNumId="3">
    <w:nsid w:val="25015415"/>
    <w:multiLevelType w:val="multilevel"/>
    <w:tmpl w:val="25015415"/>
    <w:lvl w:ilvl="0" w:tentative="0">
      <w:start w:val="1"/>
      <w:numFmt w:val="decimal"/>
      <w:lvlText w:val="%1. "/>
      <w:lvlJc w:val="left"/>
      <w:pPr>
        <w:ind w:left="2121" w:hanging="420"/>
      </w:pPr>
      <w:rPr>
        <w:rFonts w:hint="eastAsia" w:ascii="宋体" w:hAnsi="宋体" w:eastAsia="宋体"/>
        <w:b w:val="0"/>
        <w:strike w:val="0"/>
        <w:dstrike w:val="0"/>
        <w:color w:val="auto"/>
        <w:u w:val="none"/>
      </w:rPr>
    </w:lvl>
    <w:lvl w:ilvl="1" w:tentative="0">
      <w:start w:val="1"/>
      <w:numFmt w:val="lowerLetter"/>
      <w:lvlText w:val="%2)"/>
      <w:lvlJc w:val="left"/>
      <w:pPr>
        <w:ind w:left="2881" w:hanging="420"/>
      </w:pPr>
    </w:lvl>
    <w:lvl w:ilvl="2" w:tentative="0">
      <w:start w:val="1"/>
      <w:numFmt w:val="lowerRoman"/>
      <w:lvlText w:val="%3."/>
      <w:lvlJc w:val="right"/>
      <w:pPr>
        <w:ind w:left="3301" w:hanging="420"/>
      </w:pPr>
    </w:lvl>
    <w:lvl w:ilvl="3" w:tentative="0">
      <w:start w:val="1"/>
      <w:numFmt w:val="decimal"/>
      <w:lvlText w:val="%4."/>
      <w:lvlJc w:val="left"/>
      <w:pPr>
        <w:ind w:left="3721" w:hanging="420"/>
      </w:pPr>
    </w:lvl>
    <w:lvl w:ilvl="4" w:tentative="0">
      <w:start w:val="1"/>
      <w:numFmt w:val="lowerLetter"/>
      <w:lvlText w:val="%5)"/>
      <w:lvlJc w:val="left"/>
      <w:pPr>
        <w:ind w:left="4141" w:hanging="420"/>
      </w:pPr>
    </w:lvl>
    <w:lvl w:ilvl="5" w:tentative="0">
      <w:start w:val="1"/>
      <w:numFmt w:val="lowerRoman"/>
      <w:lvlText w:val="%6."/>
      <w:lvlJc w:val="right"/>
      <w:pPr>
        <w:ind w:left="4561" w:hanging="420"/>
      </w:pPr>
    </w:lvl>
    <w:lvl w:ilvl="6" w:tentative="0">
      <w:start w:val="1"/>
      <w:numFmt w:val="decimal"/>
      <w:lvlText w:val="%7."/>
      <w:lvlJc w:val="left"/>
      <w:pPr>
        <w:ind w:left="4981" w:hanging="420"/>
      </w:pPr>
    </w:lvl>
    <w:lvl w:ilvl="7" w:tentative="0">
      <w:start w:val="1"/>
      <w:numFmt w:val="lowerLetter"/>
      <w:lvlText w:val="%8)"/>
      <w:lvlJc w:val="left"/>
      <w:pPr>
        <w:ind w:left="5401" w:hanging="420"/>
      </w:pPr>
    </w:lvl>
    <w:lvl w:ilvl="8" w:tentative="0">
      <w:start w:val="1"/>
      <w:numFmt w:val="lowerRoman"/>
      <w:lvlText w:val="%9."/>
      <w:lvlJc w:val="right"/>
      <w:pPr>
        <w:ind w:left="5821" w:hanging="420"/>
      </w:pPr>
    </w:lvl>
  </w:abstractNum>
  <w:abstractNum w:abstractNumId="4">
    <w:nsid w:val="251B2B6C"/>
    <w:multiLevelType w:val="multilevel"/>
    <w:tmpl w:val="251B2B6C"/>
    <w:lvl w:ilvl="0" w:tentative="0">
      <w:start w:val="1"/>
      <w:numFmt w:val="chineseCountingThousand"/>
      <w:lvlText w:val="（%1） "/>
      <w:lvlJc w:val="left"/>
      <w:pPr>
        <w:ind w:left="902" w:hanging="420"/>
      </w:pPr>
      <w:rPr>
        <w:b/>
        <w:strike w:val="0"/>
        <w:dstrike w:val="0"/>
        <w:u w:val="none"/>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279A794F"/>
    <w:multiLevelType w:val="multilevel"/>
    <w:tmpl w:val="279A794F"/>
    <w:lvl w:ilvl="0" w:tentative="0">
      <w:start w:val="1"/>
      <w:numFmt w:val="decimal"/>
      <w:lvlText w:val="3.%1 "/>
      <w:lvlJc w:val="left"/>
      <w:pPr>
        <w:ind w:left="3681" w:hanging="420"/>
      </w:pPr>
      <w:rPr>
        <w:rFonts w:hint="eastAsia" w:ascii="仿宋" w:hAnsi="仿宋" w:eastAsia="仿宋"/>
        <w:b w:val="0"/>
        <w:strike w:val="0"/>
        <w:dstrike w:val="0"/>
        <w:color w:val="auto"/>
        <w:u w:val="none"/>
      </w:rPr>
    </w:lvl>
    <w:lvl w:ilvl="1" w:tentative="0">
      <w:start w:val="1"/>
      <w:numFmt w:val="lowerLetter"/>
      <w:lvlText w:val="%2)"/>
      <w:lvlJc w:val="left"/>
      <w:pPr>
        <w:ind w:left="3643" w:hanging="420"/>
      </w:pPr>
    </w:lvl>
    <w:lvl w:ilvl="2" w:tentative="0">
      <w:start w:val="1"/>
      <w:numFmt w:val="lowerRoman"/>
      <w:lvlText w:val="%3."/>
      <w:lvlJc w:val="right"/>
      <w:pPr>
        <w:ind w:left="4063" w:hanging="420"/>
      </w:pPr>
    </w:lvl>
    <w:lvl w:ilvl="3" w:tentative="0">
      <w:start w:val="1"/>
      <w:numFmt w:val="decimal"/>
      <w:lvlText w:val="%4."/>
      <w:lvlJc w:val="left"/>
      <w:pPr>
        <w:ind w:left="4483" w:hanging="420"/>
      </w:pPr>
    </w:lvl>
    <w:lvl w:ilvl="4" w:tentative="0">
      <w:start w:val="1"/>
      <w:numFmt w:val="lowerLetter"/>
      <w:lvlText w:val="%5)"/>
      <w:lvlJc w:val="left"/>
      <w:pPr>
        <w:ind w:left="4903" w:hanging="420"/>
      </w:pPr>
    </w:lvl>
    <w:lvl w:ilvl="5" w:tentative="0">
      <w:start w:val="1"/>
      <w:numFmt w:val="lowerRoman"/>
      <w:lvlText w:val="%6."/>
      <w:lvlJc w:val="right"/>
      <w:pPr>
        <w:ind w:left="5323" w:hanging="420"/>
      </w:pPr>
    </w:lvl>
    <w:lvl w:ilvl="6" w:tentative="0">
      <w:start w:val="1"/>
      <w:numFmt w:val="decimal"/>
      <w:lvlText w:val="%7."/>
      <w:lvlJc w:val="left"/>
      <w:pPr>
        <w:ind w:left="5743" w:hanging="420"/>
      </w:pPr>
    </w:lvl>
    <w:lvl w:ilvl="7" w:tentative="0">
      <w:start w:val="1"/>
      <w:numFmt w:val="lowerLetter"/>
      <w:lvlText w:val="%8)"/>
      <w:lvlJc w:val="left"/>
      <w:pPr>
        <w:ind w:left="6163" w:hanging="420"/>
      </w:pPr>
    </w:lvl>
    <w:lvl w:ilvl="8" w:tentative="0">
      <w:start w:val="1"/>
      <w:numFmt w:val="lowerRoman"/>
      <w:lvlText w:val="%9."/>
      <w:lvlJc w:val="right"/>
      <w:pPr>
        <w:ind w:left="6583" w:hanging="420"/>
      </w:pPr>
    </w:lvl>
  </w:abstractNum>
  <w:abstractNum w:abstractNumId="6">
    <w:nsid w:val="2D665F38"/>
    <w:multiLevelType w:val="multilevel"/>
    <w:tmpl w:val="2D665F38"/>
    <w:lvl w:ilvl="0" w:tentative="0">
      <w:start w:val="1"/>
      <w:numFmt w:val="decimal"/>
      <w:lvlText w:val="5.%1 "/>
      <w:lvlJc w:val="left"/>
      <w:pPr>
        <w:ind w:left="3681" w:hanging="420"/>
      </w:pPr>
      <w:rPr>
        <w:rFonts w:hint="eastAsia" w:ascii="仿宋" w:hAnsi="仿宋" w:eastAsia="仿宋"/>
        <w:b w:val="0"/>
        <w:strike w:val="0"/>
        <w:dstrike w:val="0"/>
        <w:color w:val="auto"/>
        <w:u w:val="none"/>
      </w:rPr>
    </w:lvl>
    <w:lvl w:ilvl="1" w:tentative="0">
      <w:start w:val="1"/>
      <w:numFmt w:val="lowerLetter"/>
      <w:lvlText w:val="%2)"/>
      <w:lvlJc w:val="left"/>
      <w:pPr>
        <w:ind w:left="3643" w:hanging="420"/>
      </w:pPr>
    </w:lvl>
    <w:lvl w:ilvl="2" w:tentative="0">
      <w:start w:val="1"/>
      <w:numFmt w:val="lowerRoman"/>
      <w:lvlText w:val="%3."/>
      <w:lvlJc w:val="right"/>
      <w:pPr>
        <w:ind w:left="4063" w:hanging="420"/>
      </w:pPr>
    </w:lvl>
    <w:lvl w:ilvl="3" w:tentative="0">
      <w:start w:val="1"/>
      <w:numFmt w:val="decimal"/>
      <w:lvlText w:val="%4."/>
      <w:lvlJc w:val="left"/>
      <w:pPr>
        <w:ind w:left="4483" w:hanging="420"/>
      </w:pPr>
    </w:lvl>
    <w:lvl w:ilvl="4" w:tentative="0">
      <w:start w:val="1"/>
      <w:numFmt w:val="lowerLetter"/>
      <w:lvlText w:val="%5)"/>
      <w:lvlJc w:val="left"/>
      <w:pPr>
        <w:ind w:left="4903" w:hanging="420"/>
      </w:pPr>
    </w:lvl>
    <w:lvl w:ilvl="5" w:tentative="0">
      <w:start w:val="1"/>
      <w:numFmt w:val="lowerRoman"/>
      <w:lvlText w:val="%6."/>
      <w:lvlJc w:val="right"/>
      <w:pPr>
        <w:ind w:left="5323" w:hanging="420"/>
      </w:pPr>
    </w:lvl>
    <w:lvl w:ilvl="6" w:tentative="0">
      <w:start w:val="1"/>
      <w:numFmt w:val="decimal"/>
      <w:lvlText w:val="%7."/>
      <w:lvlJc w:val="left"/>
      <w:pPr>
        <w:ind w:left="5743" w:hanging="420"/>
      </w:pPr>
    </w:lvl>
    <w:lvl w:ilvl="7" w:tentative="0">
      <w:start w:val="1"/>
      <w:numFmt w:val="lowerLetter"/>
      <w:lvlText w:val="%8)"/>
      <w:lvlJc w:val="left"/>
      <w:pPr>
        <w:ind w:left="6163" w:hanging="420"/>
      </w:pPr>
    </w:lvl>
    <w:lvl w:ilvl="8" w:tentative="0">
      <w:start w:val="1"/>
      <w:numFmt w:val="lowerRoman"/>
      <w:lvlText w:val="%9."/>
      <w:lvlJc w:val="right"/>
      <w:pPr>
        <w:ind w:left="6583" w:hanging="420"/>
      </w:pPr>
    </w:lvl>
  </w:abstractNum>
  <w:abstractNum w:abstractNumId="7">
    <w:nsid w:val="38F606C2"/>
    <w:multiLevelType w:val="multilevel"/>
    <w:tmpl w:val="38F606C2"/>
    <w:lvl w:ilvl="0" w:tentative="0">
      <w:start w:val="1"/>
      <w:numFmt w:val="chineseCountingThousand"/>
      <w:lvlText w:val="%1、"/>
      <w:lvlJc w:val="left"/>
      <w:pPr>
        <w:ind w:left="420" w:hanging="420"/>
      </w:pPr>
      <w:rPr>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7C04287"/>
    <w:multiLevelType w:val="multilevel"/>
    <w:tmpl w:val="47C04287"/>
    <w:lvl w:ilvl="0" w:tentative="0">
      <w:start w:val="1"/>
      <w:numFmt w:val="decimal"/>
      <w:lvlText w:val="%1."/>
      <w:lvlJc w:val="left"/>
      <w:pPr>
        <w:ind w:left="636" w:hanging="420"/>
      </w:pPr>
    </w:lvl>
    <w:lvl w:ilvl="1" w:tentative="0">
      <w:start w:val="1"/>
      <w:numFmt w:val="lowerLetter"/>
      <w:lvlText w:val="%2)"/>
      <w:lvlJc w:val="left"/>
      <w:pPr>
        <w:ind w:left="1056" w:hanging="420"/>
      </w:pPr>
    </w:lvl>
    <w:lvl w:ilvl="2" w:tentative="0">
      <w:start w:val="1"/>
      <w:numFmt w:val="lowerRoman"/>
      <w:lvlText w:val="%3."/>
      <w:lvlJc w:val="right"/>
      <w:pPr>
        <w:ind w:left="1476" w:hanging="420"/>
      </w:pPr>
    </w:lvl>
    <w:lvl w:ilvl="3" w:tentative="0">
      <w:start w:val="1"/>
      <w:numFmt w:val="decimal"/>
      <w:lvlText w:val="%4."/>
      <w:lvlJc w:val="left"/>
      <w:pPr>
        <w:ind w:left="1896" w:hanging="420"/>
      </w:pPr>
    </w:lvl>
    <w:lvl w:ilvl="4" w:tentative="0">
      <w:start w:val="1"/>
      <w:numFmt w:val="lowerLetter"/>
      <w:lvlText w:val="%5)"/>
      <w:lvlJc w:val="left"/>
      <w:pPr>
        <w:ind w:left="2316" w:hanging="420"/>
      </w:pPr>
    </w:lvl>
    <w:lvl w:ilvl="5" w:tentative="0">
      <w:start w:val="1"/>
      <w:numFmt w:val="lowerRoman"/>
      <w:lvlText w:val="%6."/>
      <w:lvlJc w:val="right"/>
      <w:pPr>
        <w:ind w:left="2736" w:hanging="420"/>
      </w:pPr>
    </w:lvl>
    <w:lvl w:ilvl="6" w:tentative="0">
      <w:start w:val="1"/>
      <w:numFmt w:val="decimal"/>
      <w:lvlText w:val="%7."/>
      <w:lvlJc w:val="left"/>
      <w:pPr>
        <w:ind w:left="3156" w:hanging="420"/>
      </w:pPr>
    </w:lvl>
    <w:lvl w:ilvl="7" w:tentative="0">
      <w:start w:val="1"/>
      <w:numFmt w:val="lowerLetter"/>
      <w:lvlText w:val="%8)"/>
      <w:lvlJc w:val="left"/>
      <w:pPr>
        <w:ind w:left="3576" w:hanging="420"/>
      </w:pPr>
    </w:lvl>
    <w:lvl w:ilvl="8" w:tentative="0">
      <w:start w:val="1"/>
      <w:numFmt w:val="lowerRoman"/>
      <w:lvlText w:val="%9."/>
      <w:lvlJc w:val="right"/>
      <w:pPr>
        <w:ind w:left="3996" w:hanging="420"/>
      </w:pPr>
    </w:lvl>
  </w:abstractNum>
  <w:abstractNum w:abstractNumId="9">
    <w:nsid w:val="7ECB03B9"/>
    <w:multiLevelType w:val="multilevel"/>
    <w:tmpl w:val="7ECB03B9"/>
    <w:lvl w:ilvl="0" w:tentative="0">
      <w:start w:val="1"/>
      <w:numFmt w:val="decimal"/>
      <w:lvlText w:val="%1. "/>
      <w:lvlJc w:val="left"/>
      <w:pPr>
        <w:ind w:left="2121" w:hanging="420"/>
      </w:pPr>
      <w:rPr>
        <w:rFonts w:hint="eastAsia" w:ascii="宋体" w:hAnsi="宋体" w:eastAsia="宋体"/>
        <w:b/>
        <w:strike w:val="0"/>
        <w:dstrike w:val="0"/>
        <w:color w:val="auto"/>
        <w:u w:val="none"/>
      </w:rPr>
    </w:lvl>
    <w:lvl w:ilvl="1" w:tentative="0">
      <w:start w:val="1"/>
      <w:numFmt w:val="lowerLetter"/>
      <w:lvlText w:val="%2)"/>
      <w:lvlJc w:val="left"/>
      <w:pPr>
        <w:ind w:left="2881" w:hanging="420"/>
      </w:pPr>
    </w:lvl>
    <w:lvl w:ilvl="2" w:tentative="0">
      <w:start w:val="1"/>
      <w:numFmt w:val="lowerRoman"/>
      <w:lvlText w:val="%3."/>
      <w:lvlJc w:val="right"/>
      <w:pPr>
        <w:ind w:left="3301" w:hanging="420"/>
      </w:pPr>
    </w:lvl>
    <w:lvl w:ilvl="3" w:tentative="0">
      <w:start w:val="1"/>
      <w:numFmt w:val="decimal"/>
      <w:lvlText w:val="%4."/>
      <w:lvlJc w:val="left"/>
      <w:pPr>
        <w:ind w:left="3721" w:hanging="420"/>
      </w:pPr>
    </w:lvl>
    <w:lvl w:ilvl="4" w:tentative="0">
      <w:start w:val="1"/>
      <w:numFmt w:val="lowerLetter"/>
      <w:lvlText w:val="%5)"/>
      <w:lvlJc w:val="left"/>
      <w:pPr>
        <w:ind w:left="4141" w:hanging="420"/>
      </w:pPr>
    </w:lvl>
    <w:lvl w:ilvl="5" w:tentative="0">
      <w:start w:val="1"/>
      <w:numFmt w:val="lowerRoman"/>
      <w:lvlText w:val="%6."/>
      <w:lvlJc w:val="right"/>
      <w:pPr>
        <w:ind w:left="4561" w:hanging="420"/>
      </w:pPr>
    </w:lvl>
    <w:lvl w:ilvl="6" w:tentative="0">
      <w:start w:val="1"/>
      <w:numFmt w:val="decimal"/>
      <w:lvlText w:val="%7."/>
      <w:lvlJc w:val="left"/>
      <w:pPr>
        <w:ind w:left="4981" w:hanging="420"/>
      </w:pPr>
    </w:lvl>
    <w:lvl w:ilvl="7" w:tentative="0">
      <w:start w:val="1"/>
      <w:numFmt w:val="lowerLetter"/>
      <w:lvlText w:val="%8)"/>
      <w:lvlJc w:val="left"/>
      <w:pPr>
        <w:ind w:left="5401" w:hanging="420"/>
      </w:pPr>
    </w:lvl>
    <w:lvl w:ilvl="8" w:tentative="0">
      <w:start w:val="1"/>
      <w:numFmt w:val="lowerRoman"/>
      <w:lvlText w:val="%9."/>
      <w:lvlJc w:val="right"/>
      <w:pPr>
        <w:ind w:left="5821" w:hanging="4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91F61"/>
    <w:rsid w:val="137229D5"/>
    <w:rsid w:val="1FE26B5A"/>
    <w:rsid w:val="70B91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rPr>
  </w:style>
  <w:style w:type="paragraph" w:styleId="2">
    <w:name w:val="heading 1"/>
    <w:basedOn w:val="1"/>
    <w:next w:val="1"/>
    <w:qFormat/>
    <w:uiPriority w:val="0"/>
    <w:pPr>
      <w:keepNext/>
      <w:keepLines/>
      <w:autoSpaceDE w:val="0"/>
      <w:autoSpaceDN w:val="0"/>
      <w:adjustRightInd w:val="0"/>
      <w:spacing w:before="340" w:beforeLines="0" w:after="330" w:afterLines="0" w:line="578" w:lineRule="atLeast"/>
      <w:jc w:val="center"/>
      <w:outlineLvl w:val="0"/>
    </w:pPr>
    <w:rPr>
      <w:rFonts w:ascii="宋体" w:hAnsi="Times New Roman" w:eastAsia="宋体" w:cs="Times New Roman"/>
      <w:b/>
      <w:kern w:val="0"/>
      <w:sz w:val="44"/>
      <w:szCs w:val="20"/>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semiHidden/>
    <w:unhideWhenUsed/>
    <w:qFormat/>
    <w:uiPriority w:val="0"/>
    <w:pPr>
      <w:ind w:firstLine="420"/>
    </w:pPr>
    <w:rPr>
      <w:rFonts w:asciiTheme="minorHAnsi" w:hAnsiTheme="minorHAnsi" w:eastAsiaTheme="minorEastAsia" w:cstheme="minorBidi"/>
    </w:rPr>
  </w:style>
  <w:style w:type="paragraph" w:styleId="5">
    <w:name w:val="Body Text"/>
    <w:basedOn w:val="1"/>
    <w:semiHidden/>
    <w:unhideWhenUsed/>
    <w:qFormat/>
    <w:uiPriority w:val="99"/>
    <w:pPr>
      <w:widowControl/>
      <w:spacing w:after="160"/>
      <w:jc w:val="left"/>
    </w:pPr>
    <w:rPr>
      <w:rFonts w:ascii="仿宋体" w:eastAsia="仿宋体"/>
      <w:kern w:val="0"/>
      <w:sz w:val="20"/>
      <w:lang w:eastAsia="en-US"/>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next w:val="1"/>
    <w:uiPriority w:val="0"/>
    <w:pPr>
      <w:pBdr>
        <w:bottom w:val="single" w:color="auto" w:sz="6" w:space="1"/>
      </w:pBdr>
      <w:tabs>
        <w:tab w:val="center" w:pos="4153"/>
        <w:tab w:val="right" w:pos="8306"/>
      </w:tabs>
      <w:snapToGrid w:val="0"/>
      <w:jc w:val="center"/>
    </w:pPr>
    <w:rPr>
      <w:sz w:val="18"/>
      <w:szCs w:val="18"/>
    </w:rPr>
  </w:style>
  <w:style w:type="paragraph" w:customStyle="1" w:styleId="10">
    <w:name w:val="Normal Indent"/>
    <w:basedOn w:val="1"/>
    <w:uiPriority w:val="0"/>
    <w:pPr>
      <w:ind w:firstLine="420"/>
    </w:pPr>
    <w:rPr>
      <w:rFonts w:eastAsia="宋体"/>
    </w:rPr>
  </w:style>
  <w:style w:type="paragraph" w:customStyle="1" w:styleId="11">
    <w:name w:val="正文文本首行缩进1"/>
    <w:basedOn w:val="1"/>
    <w:qFormat/>
    <w:uiPriority w:val="0"/>
    <w:pPr>
      <w:ind w:firstLine="420" w:firstLineChars="100"/>
    </w:pPr>
  </w:style>
  <w:style w:type="table" w:customStyle="1" w:styleId="12">
    <w:name w:val="Table Normal"/>
    <w:unhideWhenUsed/>
    <w:qFormat/>
    <w:uiPriority w:val="0"/>
    <w:tblPr>
      <w:tblCellMar>
        <w:top w:w="0" w:type="dxa"/>
        <w:left w:w="0" w:type="dxa"/>
        <w:bottom w:w="0" w:type="dxa"/>
        <w:right w:w="0" w:type="dxa"/>
      </w:tblCellMar>
    </w:tblPr>
  </w:style>
  <w:style w:type="character" w:customStyle="1" w:styleId="13">
    <w:name w:val="page number"/>
    <w:basedOn w:val="9"/>
    <w:qFormat/>
    <w:uiPriority w:val="0"/>
  </w:style>
  <w:style w:type="paragraph" w:customStyle="1" w:styleId="14">
    <w:name w:val="Table Text"/>
    <w:basedOn w:val="1"/>
    <w:semiHidden/>
    <w:qFormat/>
    <w:uiPriority w:val="0"/>
    <w:rPr>
      <w:rFonts w:ascii="宋体" w:hAnsi="宋体" w:eastAsia="宋体" w:cs="宋体"/>
      <w:sz w:val="23"/>
      <w:szCs w:val="23"/>
      <w:lang w:val="en-US" w:eastAsia="en-US" w:bidi="ar-SA"/>
    </w:rPr>
  </w:style>
  <w:style w:type="character" w:customStyle="1" w:styleId="15">
    <w:name w:val="font41"/>
    <w:basedOn w:val="9"/>
    <w:uiPriority w:val="0"/>
    <w:rPr>
      <w:rFonts w:ascii="宋体" w:hAnsi="宋体" w:eastAsia="宋体" w:cs="宋体"/>
      <w:b/>
      <w:bCs/>
      <w:color w:val="000000"/>
      <w:sz w:val="16"/>
      <w:szCs w:val="16"/>
      <w:u w:val="none"/>
    </w:rPr>
  </w:style>
  <w:style w:type="character" w:customStyle="1" w:styleId="16">
    <w:name w:val="font51"/>
    <w:basedOn w:val="9"/>
    <w:uiPriority w:val="0"/>
    <w:rPr>
      <w:rFonts w:ascii="宋体" w:hAnsi="宋体" w:eastAsia="宋体" w:cs="宋体"/>
      <w:b/>
      <w:bCs/>
      <w:color w:val="202040"/>
      <w:sz w:val="16"/>
      <w:szCs w:val="16"/>
      <w:u w:val="none"/>
    </w:rPr>
  </w:style>
  <w:style w:type="character" w:customStyle="1" w:styleId="17">
    <w:name w:val="font61"/>
    <w:basedOn w:val="9"/>
    <w:uiPriority w:val="0"/>
    <w:rPr>
      <w:rFonts w:ascii="宋体" w:hAnsi="宋体" w:eastAsia="宋体" w:cs="宋体"/>
      <w:color w:val="000000"/>
      <w:sz w:val="16"/>
      <w:szCs w:val="16"/>
      <w:u w:val="none"/>
    </w:rPr>
  </w:style>
  <w:style w:type="character" w:customStyle="1" w:styleId="18">
    <w:name w:val="font71"/>
    <w:basedOn w:val="9"/>
    <w:qFormat/>
    <w:uiPriority w:val="0"/>
    <w:rPr>
      <w:rFonts w:ascii="黑体" w:hAnsi="宋体" w:eastAsia="黑体" w:cs="黑体"/>
      <w:color w:val="000000"/>
      <w:sz w:val="12"/>
      <w:szCs w:val="12"/>
      <w:u w:val="none"/>
    </w:rPr>
  </w:style>
  <w:style w:type="paragraph" w:customStyle="1" w:styleId="19">
    <w:name w:val="正文缩进2"/>
    <w:basedOn w:val="1"/>
    <w:qFormat/>
    <w:uiPriority w:val="0"/>
    <w:pPr>
      <w:wordWrap w:val="0"/>
      <w:ind w:firstLine="480"/>
    </w:pPr>
    <w:rPr>
      <w:iCs/>
      <w:shd w:val="clear" w:color="auto" w:fill="FFFFFF"/>
      <w:lang w:val="zh-CN"/>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263</Words>
  <Characters>276</Characters>
  <Lines>0</Lines>
  <Paragraphs>0</Paragraphs>
  <TotalTime>13</TotalTime>
  <ScaleCrop>false</ScaleCrop>
  <LinksUpToDate>false</LinksUpToDate>
  <CharactersWithSpaces>284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2025-11-21T09:08:00Z</dcterms:created>
  <dc:creator>C*^*D</dc:creator>
  <cp:lastModifiedBy>czy</cp:lastModifiedBy>
  <dcterms:modified xsi:type="dcterms:W3CDTF">2026-07-17T10:02:18Z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ED4ADED39D13408FA1463C02FFC210CD_13</vt:lpwstr>
  </property>
  <property fmtid="{D5CDD505-2E9C-101B-9397-08002B2CF9AE}" pid="4" name="KSOTemplateDocerSaveRecord">
    <vt:lpwstr>eyJoZGlkIjoiOTI3NTBlMTdkYTMxYThkZWZhMGYxNmY4M2QwOTEzMGIiLCJ1c2VySWQiOiI1MjA5NTU0MzcifQ==</vt:lpwstr>
  </property>
</Properties>
</file>