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707FE5">
      <w:pPr>
        <w:ind w:firstLine="0" w:firstLineChars="0"/>
        <w:jc w:val="both"/>
        <w:rPr>
          <w:rFonts w:ascii="黑体" w:hAnsi="黑体" w:eastAsia="黑体"/>
          <w:color w:val="auto"/>
          <w:sz w:val="28"/>
          <w:szCs w:val="28"/>
        </w:rPr>
      </w:pPr>
    </w:p>
    <w:p w14:paraId="69B52A9B">
      <w:pPr>
        <w:ind w:firstLine="0" w:firstLineChars="0"/>
        <w:jc w:val="center"/>
        <w:rPr>
          <w:rFonts w:ascii="黑体" w:hAnsi="黑体" w:eastAsia="黑体"/>
          <w:b/>
          <w:color w:val="auto"/>
          <w:sz w:val="96"/>
          <w:szCs w:val="96"/>
        </w:rPr>
      </w:pPr>
      <w:r>
        <w:rPr>
          <w:rFonts w:hint="eastAsia" w:ascii="黑体" w:hAnsi="黑体" w:eastAsia="黑体"/>
          <w:b/>
          <w:color w:val="auto"/>
          <w:sz w:val="96"/>
          <w:szCs w:val="96"/>
        </w:rPr>
        <w:t>武汉市东西湖区</w:t>
      </w:r>
    </w:p>
    <w:p w14:paraId="06F35127">
      <w:pPr>
        <w:ind w:firstLine="0" w:firstLineChars="0"/>
        <w:jc w:val="center"/>
        <w:rPr>
          <w:rFonts w:ascii="黑体" w:hAnsi="黑体" w:eastAsia="黑体"/>
          <w:b/>
          <w:color w:val="auto"/>
          <w:sz w:val="96"/>
          <w:szCs w:val="96"/>
        </w:rPr>
      </w:pPr>
      <w:r>
        <w:rPr>
          <w:rFonts w:hint="eastAsia" w:ascii="黑体" w:hAnsi="黑体" w:eastAsia="黑体"/>
          <w:b/>
          <w:color w:val="auto"/>
          <w:sz w:val="96"/>
          <w:szCs w:val="96"/>
        </w:rPr>
        <w:t>区级政府采购</w:t>
      </w:r>
    </w:p>
    <w:p w14:paraId="6CCFDBAB">
      <w:pPr>
        <w:ind w:firstLine="1920"/>
        <w:jc w:val="right"/>
        <w:rPr>
          <w:rFonts w:ascii="黑体" w:hAnsi="黑体" w:eastAsia="黑体"/>
          <w:color w:val="auto"/>
          <w:sz w:val="96"/>
          <w:szCs w:val="96"/>
        </w:rPr>
      </w:pPr>
    </w:p>
    <w:p w14:paraId="3DD5BF8F">
      <w:pPr>
        <w:ind w:firstLine="1928"/>
        <w:rPr>
          <w:rFonts w:ascii="黑体" w:hAnsi="黑体" w:eastAsia="黑体"/>
          <w:b/>
          <w:color w:val="auto"/>
          <w:sz w:val="96"/>
          <w:szCs w:val="96"/>
        </w:rPr>
      </w:pPr>
      <w:r>
        <w:rPr>
          <w:rFonts w:hint="eastAsia" w:ascii="黑体" w:hAnsi="黑体" w:eastAsia="黑体"/>
          <w:b/>
          <w:color w:val="auto"/>
          <w:sz w:val="96"/>
          <w:szCs w:val="96"/>
        </w:rPr>
        <w:t>采购需求文件</w:t>
      </w:r>
    </w:p>
    <w:p w14:paraId="55BFFC33">
      <w:pPr>
        <w:ind w:firstLine="1440"/>
        <w:jc w:val="right"/>
        <w:rPr>
          <w:rFonts w:ascii="黑体" w:hAnsi="黑体" w:eastAsia="黑体"/>
          <w:color w:val="auto"/>
          <w:sz w:val="72"/>
          <w:szCs w:val="72"/>
        </w:rPr>
      </w:pPr>
    </w:p>
    <w:p w14:paraId="69D46B30">
      <w:pPr>
        <w:ind w:right="1306" w:rightChars="622" w:firstLine="1084" w:firstLineChars="300"/>
        <w:rPr>
          <w:rFonts w:hint="default" w:ascii="宋体" w:hAnsi="宋体" w:eastAsia="宋体"/>
          <w:color w:val="auto"/>
          <w:sz w:val="36"/>
          <w:szCs w:val="36"/>
          <w:lang w:val="en-US" w:eastAsia="zh-CN"/>
        </w:rPr>
      </w:pPr>
      <w:r>
        <w:rPr>
          <w:rFonts w:hint="eastAsia" w:ascii="宋体" w:hAnsi="宋体"/>
          <w:b/>
          <w:color w:val="auto"/>
          <w:sz w:val="36"/>
          <w:szCs w:val="36"/>
        </w:rPr>
        <w:t>计划编号：</w:t>
      </w:r>
      <w:r>
        <w:rPr>
          <w:rFonts w:hint="eastAsia" w:ascii="宋体" w:hAnsi="宋体"/>
          <w:b/>
          <w:color w:val="auto"/>
          <w:sz w:val="36"/>
          <w:szCs w:val="36"/>
          <w:highlight w:val="none"/>
          <w:lang w:val="en-US" w:eastAsia="zh-CN"/>
        </w:rPr>
        <w:t xml:space="preserve">                     </w:t>
      </w:r>
    </w:p>
    <w:p w14:paraId="482C4E0C">
      <w:pPr>
        <w:ind w:left="2891" w:right="735" w:rightChars="350" w:hanging="2891" w:hangingChars="800"/>
        <w:rPr>
          <w:rFonts w:hint="default" w:ascii="宋体" w:hAnsi="宋体" w:eastAsia="宋体"/>
          <w:color w:val="auto"/>
          <w:sz w:val="36"/>
          <w:szCs w:val="36"/>
          <w:lang w:val="en-US" w:eastAsia="zh-CN"/>
        </w:rPr>
      </w:pPr>
      <w:r>
        <w:rPr>
          <w:rFonts w:hint="eastAsia" w:ascii="宋体" w:hAnsi="宋体"/>
          <w:b/>
          <w:color w:val="auto"/>
          <w:sz w:val="36"/>
          <w:szCs w:val="36"/>
        </w:rPr>
        <w:t xml:space="preserve">      项目名称：</w:t>
      </w:r>
      <w:r>
        <w:rPr>
          <w:rFonts w:hint="eastAsia" w:ascii="宋体" w:hAnsi="宋体"/>
          <w:b/>
          <w:color w:val="auto"/>
          <w:sz w:val="36"/>
          <w:szCs w:val="36"/>
          <w:lang w:val="en-US" w:eastAsia="zh-CN"/>
        </w:rPr>
        <w:t>武汉市东西湖区吴家山第一小学教学设备采购项目</w:t>
      </w:r>
    </w:p>
    <w:p w14:paraId="631D6DA6">
      <w:pPr>
        <w:ind w:left="2886" w:leftChars="342" w:right="735" w:rightChars="350" w:hanging="2168" w:hangingChars="600"/>
        <w:rPr>
          <w:rFonts w:ascii="黑体" w:hAnsi="黑体" w:eastAsia="黑体"/>
          <w:color w:val="auto"/>
          <w:sz w:val="72"/>
          <w:szCs w:val="72"/>
        </w:rPr>
      </w:pPr>
      <w:r>
        <w:rPr>
          <w:rFonts w:hint="eastAsia" w:ascii="宋体" w:hAnsi="宋体"/>
          <w:b/>
          <w:color w:val="auto"/>
          <w:sz w:val="36"/>
          <w:szCs w:val="36"/>
        </w:rPr>
        <w:t xml:space="preserve">  招标内容：</w:t>
      </w:r>
      <w:r>
        <w:rPr>
          <w:rFonts w:hint="eastAsia" w:ascii="宋体" w:hAnsi="宋体"/>
          <w:b/>
          <w:color w:val="auto"/>
          <w:sz w:val="36"/>
          <w:szCs w:val="36"/>
          <w:lang w:val="en-US" w:eastAsia="zh-CN"/>
        </w:rPr>
        <w:t>教学设备</w:t>
      </w:r>
    </w:p>
    <w:p w14:paraId="4A686796">
      <w:pPr>
        <w:ind w:firstLine="1084" w:firstLineChars="300"/>
        <w:jc w:val="both"/>
        <w:rPr>
          <w:rFonts w:hint="default" w:ascii="宋体" w:hAnsi="宋体" w:eastAsia="宋体" w:cs="Times New Roman"/>
          <w:color w:val="auto"/>
          <w:sz w:val="36"/>
          <w:szCs w:val="36"/>
          <w:lang w:val="en-US" w:eastAsia="zh-CN"/>
        </w:rPr>
      </w:pPr>
      <w:r>
        <w:rPr>
          <w:rFonts w:ascii="宋体" w:hAnsi="宋体"/>
          <w:b/>
          <w:color w:val="auto"/>
          <w:sz w:val="36"/>
          <w:szCs w:val="36"/>
        </w:rPr>
        <w:t>采购人名称：</w:t>
      </w:r>
      <w:r>
        <w:rPr>
          <w:rFonts w:hint="eastAsia" w:ascii="宋体" w:hAnsi="宋体"/>
          <w:b/>
          <w:color w:val="auto"/>
          <w:sz w:val="36"/>
          <w:szCs w:val="36"/>
          <w:lang w:val="en-US" w:eastAsia="zh-CN"/>
        </w:rPr>
        <w:t>武汉市东西湖区吴家山第一小学</w:t>
      </w:r>
    </w:p>
    <w:p w14:paraId="1D731987">
      <w:pPr>
        <w:pStyle w:val="3"/>
        <w:rPr>
          <w:rFonts w:hint="default"/>
          <w:color w:val="auto"/>
          <w:lang w:val="en-US"/>
        </w:rPr>
      </w:pPr>
    </w:p>
    <w:p w14:paraId="35F5E468">
      <w:pPr>
        <w:ind w:firstLine="723"/>
        <w:jc w:val="center"/>
        <w:rPr>
          <w:rFonts w:hint="eastAsia" w:ascii="宋体" w:hAnsi="宋体"/>
          <w:b/>
          <w:color w:val="auto"/>
          <w:sz w:val="44"/>
          <w:szCs w:val="44"/>
        </w:rPr>
        <w:sectPr>
          <w:headerReference r:id="rId5" w:type="default"/>
          <w:footerReference r:id="rId6" w:type="default"/>
          <w:pgSz w:w="12070" w:h="16940"/>
          <w:pgMar w:top="1440" w:right="1080" w:bottom="1440" w:left="1080" w:header="0" w:footer="1468" w:gutter="0"/>
          <w:cols w:space="720" w:num="1"/>
          <w:docGrid w:linePitch="312" w:charSpace="0"/>
        </w:sectPr>
      </w:pPr>
    </w:p>
    <w:p w14:paraId="4FA035E9">
      <w:pPr>
        <w:ind w:left="0" w:leftChars="0" w:firstLine="0" w:firstLineChars="0"/>
        <w:jc w:val="center"/>
        <w:rPr>
          <w:rFonts w:ascii="宋体" w:hAnsi="宋体"/>
          <w:b/>
          <w:color w:val="auto"/>
          <w:sz w:val="44"/>
          <w:szCs w:val="44"/>
        </w:rPr>
      </w:pPr>
      <w:r>
        <w:rPr>
          <w:rFonts w:hint="eastAsia" w:ascii="宋体" w:hAnsi="宋体"/>
          <w:b/>
          <w:color w:val="auto"/>
          <w:sz w:val="44"/>
          <w:szCs w:val="44"/>
        </w:rPr>
        <w:t>目  录</w:t>
      </w:r>
    </w:p>
    <w:p w14:paraId="278E6D6C">
      <w:pPr>
        <w:ind w:firstLine="883"/>
        <w:jc w:val="center"/>
        <w:rPr>
          <w:rFonts w:ascii="宋体" w:hAnsi="宋体"/>
          <w:b/>
          <w:color w:val="auto"/>
          <w:sz w:val="44"/>
          <w:szCs w:val="44"/>
        </w:rPr>
      </w:pPr>
    </w:p>
    <w:p w14:paraId="22FB9191">
      <w:pPr>
        <w:pStyle w:val="17"/>
        <w:tabs>
          <w:tab w:val="right" w:leader="dot" w:pos="9910"/>
        </w:tabs>
      </w:pPr>
      <w:r>
        <w:rPr>
          <w:color w:val="auto"/>
          <w:highlight w:val="none"/>
        </w:rPr>
        <w:fldChar w:fldCharType="begin"/>
      </w:r>
      <w:r>
        <w:rPr>
          <w:color w:val="auto"/>
          <w:highlight w:val="none"/>
        </w:rPr>
        <w:instrText xml:space="preserve"> TOC \o "1-3" \h \z \u </w:instrText>
      </w:r>
      <w:r>
        <w:rPr>
          <w:color w:val="auto"/>
          <w:highlight w:val="none"/>
        </w:rPr>
        <w:fldChar w:fldCharType="separate"/>
      </w:r>
      <w:r>
        <w:rPr>
          <w:color w:val="auto"/>
          <w:highlight w:val="none"/>
        </w:rPr>
        <w:fldChar w:fldCharType="begin"/>
      </w:r>
      <w:r>
        <w:rPr>
          <w:highlight w:val="none"/>
        </w:rPr>
        <w:instrText xml:space="preserve"> HYPERLINK \l _Toc32620 </w:instrText>
      </w:r>
      <w:r>
        <w:rPr>
          <w:highlight w:val="none"/>
        </w:rPr>
        <w:fldChar w:fldCharType="separate"/>
      </w:r>
      <w:r>
        <w:rPr>
          <w:rFonts w:hint="eastAsia"/>
        </w:rPr>
        <w:t>第一部分  供应商资格要求</w:t>
      </w:r>
      <w:r>
        <w:tab/>
      </w:r>
      <w:r>
        <w:fldChar w:fldCharType="begin"/>
      </w:r>
      <w:r>
        <w:instrText xml:space="preserve"> PAGEREF _Toc32620 \h </w:instrText>
      </w:r>
      <w:r>
        <w:fldChar w:fldCharType="separate"/>
      </w:r>
      <w:r>
        <w:t>1</w:t>
      </w:r>
      <w:r>
        <w:fldChar w:fldCharType="end"/>
      </w:r>
      <w:r>
        <w:rPr>
          <w:color w:val="auto"/>
          <w:highlight w:val="none"/>
        </w:rPr>
        <w:fldChar w:fldCharType="end"/>
      </w:r>
    </w:p>
    <w:p w14:paraId="48FF954E">
      <w:pPr>
        <w:pStyle w:val="17"/>
        <w:tabs>
          <w:tab w:val="right" w:leader="dot" w:pos="9910"/>
        </w:tabs>
      </w:pPr>
      <w:r>
        <w:rPr>
          <w:color w:val="auto"/>
          <w:highlight w:val="none"/>
          <w:lang w:val="zh-CN"/>
        </w:rPr>
        <w:fldChar w:fldCharType="begin"/>
      </w:r>
      <w:r>
        <w:rPr>
          <w:highlight w:val="none"/>
          <w:lang w:val="zh-CN"/>
        </w:rPr>
        <w:instrText xml:space="preserve"> HYPERLINK \l _Toc16141 </w:instrText>
      </w:r>
      <w:r>
        <w:rPr>
          <w:highlight w:val="none"/>
          <w:lang w:val="zh-CN"/>
        </w:rPr>
        <w:fldChar w:fldCharType="separate"/>
      </w:r>
      <w:r>
        <w:rPr>
          <w:rFonts w:hint="eastAsia"/>
        </w:rPr>
        <w:t>第二部分  技术、服务及商务要求</w:t>
      </w:r>
      <w:r>
        <w:tab/>
      </w:r>
      <w:r>
        <w:fldChar w:fldCharType="begin"/>
      </w:r>
      <w:r>
        <w:instrText xml:space="preserve"> PAGEREF _Toc16141 \h </w:instrText>
      </w:r>
      <w:r>
        <w:fldChar w:fldCharType="separate"/>
      </w:r>
      <w:r>
        <w:t>2</w:t>
      </w:r>
      <w:r>
        <w:fldChar w:fldCharType="end"/>
      </w:r>
      <w:r>
        <w:rPr>
          <w:color w:val="auto"/>
          <w:highlight w:val="none"/>
          <w:lang w:val="zh-CN"/>
        </w:rPr>
        <w:fldChar w:fldCharType="end"/>
      </w:r>
    </w:p>
    <w:p w14:paraId="3EAF2A32">
      <w:pPr>
        <w:pStyle w:val="18"/>
        <w:tabs>
          <w:tab w:val="right" w:leader="dot" w:pos="9910"/>
        </w:tabs>
      </w:pPr>
      <w:r>
        <w:rPr>
          <w:color w:val="auto"/>
          <w:highlight w:val="none"/>
          <w:lang w:val="zh-CN"/>
        </w:rPr>
        <w:fldChar w:fldCharType="begin"/>
      </w:r>
      <w:r>
        <w:rPr>
          <w:highlight w:val="none"/>
          <w:lang w:val="zh-CN"/>
        </w:rPr>
        <w:instrText xml:space="preserve"> HYPERLINK \l _Toc21036 </w:instrText>
      </w:r>
      <w:r>
        <w:rPr>
          <w:highlight w:val="none"/>
          <w:lang w:val="zh-CN"/>
        </w:rPr>
        <w:fldChar w:fldCharType="separate"/>
      </w:r>
      <w:r>
        <w:rPr>
          <w:rFonts w:hint="eastAsia"/>
          <w:szCs w:val="30"/>
        </w:rPr>
        <w:t>一、采购清单</w:t>
      </w:r>
      <w:r>
        <w:tab/>
      </w:r>
      <w:r>
        <w:fldChar w:fldCharType="begin"/>
      </w:r>
      <w:r>
        <w:instrText xml:space="preserve"> PAGEREF _Toc21036 \h </w:instrText>
      </w:r>
      <w:r>
        <w:fldChar w:fldCharType="separate"/>
      </w:r>
      <w:r>
        <w:t>2</w:t>
      </w:r>
      <w:r>
        <w:fldChar w:fldCharType="end"/>
      </w:r>
      <w:r>
        <w:rPr>
          <w:color w:val="auto"/>
          <w:highlight w:val="none"/>
          <w:lang w:val="zh-CN"/>
        </w:rPr>
        <w:fldChar w:fldCharType="end"/>
      </w:r>
    </w:p>
    <w:p w14:paraId="794821F8">
      <w:pPr>
        <w:pStyle w:val="18"/>
        <w:tabs>
          <w:tab w:val="right" w:leader="dot" w:pos="9910"/>
        </w:tabs>
      </w:pPr>
      <w:r>
        <w:rPr>
          <w:color w:val="auto"/>
          <w:highlight w:val="none"/>
          <w:lang w:val="zh-CN"/>
        </w:rPr>
        <w:fldChar w:fldCharType="begin"/>
      </w:r>
      <w:r>
        <w:rPr>
          <w:highlight w:val="none"/>
          <w:lang w:val="zh-CN"/>
        </w:rPr>
        <w:instrText xml:space="preserve"> HYPERLINK \l _Toc27645 </w:instrText>
      </w:r>
      <w:r>
        <w:rPr>
          <w:highlight w:val="none"/>
          <w:lang w:val="zh-CN"/>
        </w:rPr>
        <w:fldChar w:fldCharType="separate"/>
      </w:r>
      <w:r>
        <w:rPr>
          <w:rFonts w:hint="eastAsia"/>
          <w:szCs w:val="30"/>
        </w:rPr>
        <w:t>二、</w:t>
      </w:r>
      <w:r>
        <w:rPr>
          <w:rFonts w:hint="eastAsia"/>
          <w:highlight w:val="none"/>
          <w:lang w:val="en-US" w:eastAsia="zh-CN"/>
        </w:rPr>
        <w:t>技术参数</w:t>
      </w:r>
      <w:r>
        <w:rPr>
          <w:rFonts w:hint="eastAsia"/>
          <w:highlight w:val="none"/>
        </w:rPr>
        <w:t>要求</w:t>
      </w:r>
      <w:r>
        <w:tab/>
      </w:r>
      <w:r>
        <w:fldChar w:fldCharType="begin"/>
      </w:r>
      <w:r>
        <w:instrText xml:space="preserve"> PAGEREF _Toc27645 \h </w:instrText>
      </w:r>
      <w:r>
        <w:fldChar w:fldCharType="separate"/>
      </w:r>
      <w:r>
        <w:t>2</w:t>
      </w:r>
      <w:r>
        <w:fldChar w:fldCharType="end"/>
      </w:r>
      <w:r>
        <w:rPr>
          <w:color w:val="auto"/>
          <w:highlight w:val="none"/>
          <w:lang w:val="zh-CN"/>
        </w:rPr>
        <w:fldChar w:fldCharType="end"/>
      </w:r>
    </w:p>
    <w:p w14:paraId="22CE14B9">
      <w:pPr>
        <w:pStyle w:val="18"/>
        <w:tabs>
          <w:tab w:val="right" w:leader="dot" w:pos="9910"/>
        </w:tabs>
      </w:pPr>
      <w:r>
        <w:rPr>
          <w:color w:val="auto"/>
          <w:highlight w:val="none"/>
          <w:lang w:val="zh-CN"/>
        </w:rPr>
        <w:fldChar w:fldCharType="begin"/>
      </w:r>
      <w:r>
        <w:rPr>
          <w:highlight w:val="none"/>
          <w:lang w:val="zh-CN"/>
        </w:rPr>
        <w:instrText xml:space="preserve"> HYPERLINK \l _Toc2413 </w:instrText>
      </w:r>
      <w:r>
        <w:rPr>
          <w:highlight w:val="none"/>
          <w:lang w:val="zh-CN"/>
        </w:rPr>
        <w:fldChar w:fldCharType="separate"/>
      </w:r>
      <w:r>
        <w:rPr>
          <w:rFonts w:hint="eastAsia"/>
          <w:szCs w:val="30"/>
          <w:lang w:eastAsia="zh-CN"/>
        </w:rPr>
        <w:t>三</w:t>
      </w:r>
      <w:r>
        <w:rPr>
          <w:rFonts w:hint="eastAsia"/>
          <w:szCs w:val="30"/>
        </w:rPr>
        <w:t>、商务要求</w:t>
      </w:r>
      <w:r>
        <w:tab/>
      </w:r>
      <w:r>
        <w:fldChar w:fldCharType="begin"/>
      </w:r>
      <w:r>
        <w:instrText xml:space="preserve"> PAGEREF _Toc2413 \h </w:instrText>
      </w:r>
      <w:r>
        <w:fldChar w:fldCharType="separate"/>
      </w:r>
      <w:r>
        <w:t>9</w:t>
      </w:r>
      <w:r>
        <w:fldChar w:fldCharType="end"/>
      </w:r>
      <w:r>
        <w:rPr>
          <w:color w:val="auto"/>
          <w:highlight w:val="none"/>
          <w:lang w:val="zh-CN"/>
        </w:rPr>
        <w:fldChar w:fldCharType="end"/>
      </w:r>
    </w:p>
    <w:p w14:paraId="1AA74146">
      <w:pPr>
        <w:pStyle w:val="17"/>
        <w:tabs>
          <w:tab w:val="right" w:leader="dot" w:pos="9910"/>
        </w:tabs>
      </w:pPr>
      <w:r>
        <w:rPr>
          <w:color w:val="auto"/>
          <w:highlight w:val="none"/>
          <w:lang w:val="zh-CN"/>
        </w:rPr>
        <w:fldChar w:fldCharType="begin"/>
      </w:r>
      <w:r>
        <w:rPr>
          <w:highlight w:val="none"/>
          <w:lang w:val="zh-CN"/>
        </w:rPr>
        <w:instrText xml:space="preserve"> HYPERLINK \l _Toc799 </w:instrText>
      </w:r>
      <w:r>
        <w:rPr>
          <w:highlight w:val="none"/>
          <w:lang w:val="zh-CN"/>
        </w:rPr>
        <w:fldChar w:fldCharType="separate"/>
      </w:r>
      <w:r>
        <w:rPr>
          <w:rFonts w:hint="eastAsia"/>
        </w:rPr>
        <w:t>第三部分  评标方法及评分标准</w:t>
      </w:r>
      <w:r>
        <w:tab/>
      </w:r>
      <w:r>
        <w:fldChar w:fldCharType="begin"/>
      </w:r>
      <w:r>
        <w:instrText xml:space="preserve"> PAGEREF _Toc799 \h </w:instrText>
      </w:r>
      <w:r>
        <w:fldChar w:fldCharType="separate"/>
      </w:r>
      <w:r>
        <w:t>12</w:t>
      </w:r>
      <w:r>
        <w:fldChar w:fldCharType="end"/>
      </w:r>
      <w:r>
        <w:rPr>
          <w:color w:val="auto"/>
          <w:highlight w:val="none"/>
          <w:lang w:val="zh-CN"/>
        </w:rPr>
        <w:fldChar w:fldCharType="end"/>
      </w:r>
    </w:p>
    <w:p w14:paraId="3023988A">
      <w:pPr>
        <w:pStyle w:val="18"/>
        <w:tabs>
          <w:tab w:val="right" w:leader="dot" w:pos="9910"/>
        </w:tabs>
      </w:pPr>
      <w:r>
        <w:rPr>
          <w:color w:val="auto"/>
          <w:highlight w:val="none"/>
          <w:lang w:val="zh-CN"/>
        </w:rPr>
        <w:fldChar w:fldCharType="begin"/>
      </w:r>
      <w:r>
        <w:rPr>
          <w:highlight w:val="none"/>
          <w:lang w:val="zh-CN"/>
        </w:rPr>
        <w:instrText xml:space="preserve"> HYPERLINK \l _Toc10229 </w:instrText>
      </w:r>
      <w:r>
        <w:rPr>
          <w:highlight w:val="none"/>
          <w:lang w:val="zh-CN"/>
        </w:rPr>
        <w:fldChar w:fldCharType="separate"/>
      </w:r>
      <w:r>
        <w:rPr>
          <w:rFonts w:hint="eastAsia"/>
          <w:szCs w:val="30"/>
        </w:rPr>
        <w:t>一、 评标方法</w:t>
      </w:r>
      <w:r>
        <w:tab/>
      </w:r>
      <w:r>
        <w:fldChar w:fldCharType="begin"/>
      </w:r>
      <w:r>
        <w:instrText xml:space="preserve"> PAGEREF _Toc10229 \h </w:instrText>
      </w:r>
      <w:r>
        <w:fldChar w:fldCharType="separate"/>
      </w:r>
      <w:r>
        <w:t>12</w:t>
      </w:r>
      <w:r>
        <w:fldChar w:fldCharType="end"/>
      </w:r>
      <w:r>
        <w:rPr>
          <w:color w:val="auto"/>
          <w:highlight w:val="none"/>
          <w:lang w:val="zh-CN"/>
        </w:rPr>
        <w:fldChar w:fldCharType="end"/>
      </w:r>
    </w:p>
    <w:p w14:paraId="02B0AF4B">
      <w:pPr>
        <w:pStyle w:val="18"/>
        <w:tabs>
          <w:tab w:val="right" w:leader="dot" w:pos="9910"/>
        </w:tabs>
      </w:pPr>
      <w:r>
        <w:rPr>
          <w:color w:val="auto"/>
          <w:highlight w:val="none"/>
          <w:lang w:val="zh-CN"/>
        </w:rPr>
        <w:fldChar w:fldCharType="begin"/>
      </w:r>
      <w:r>
        <w:rPr>
          <w:highlight w:val="none"/>
          <w:lang w:val="zh-CN"/>
        </w:rPr>
        <w:instrText xml:space="preserve"> HYPERLINK \l _Toc11230 </w:instrText>
      </w:r>
      <w:r>
        <w:rPr>
          <w:highlight w:val="none"/>
          <w:lang w:val="zh-CN"/>
        </w:rPr>
        <w:fldChar w:fldCharType="separate"/>
      </w:r>
      <w:r>
        <w:rPr>
          <w:rFonts w:hint="eastAsia"/>
          <w:szCs w:val="30"/>
        </w:rPr>
        <w:t>二、 评审因素及评分标准</w:t>
      </w:r>
      <w:r>
        <w:tab/>
      </w:r>
      <w:r>
        <w:fldChar w:fldCharType="begin"/>
      </w:r>
      <w:r>
        <w:instrText xml:space="preserve"> PAGEREF _Toc11230 \h </w:instrText>
      </w:r>
      <w:r>
        <w:fldChar w:fldCharType="separate"/>
      </w:r>
      <w:r>
        <w:t>12</w:t>
      </w:r>
      <w:r>
        <w:fldChar w:fldCharType="end"/>
      </w:r>
      <w:r>
        <w:rPr>
          <w:color w:val="auto"/>
          <w:highlight w:val="none"/>
          <w:lang w:val="zh-CN"/>
        </w:rPr>
        <w:fldChar w:fldCharType="end"/>
      </w:r>
    </w:p>
    <w:p w14:paraId="789F252F">
      <w:pPr>
        <w:pStyle w:val="17"/>
        <w:tabs>
          <w:tab w:val="right" w:leader="dot" w:pos="9910"/>
        </w:tabs>
      </w:pPr>
      <w:r>
        <w:rPr>
          <w:color w:val="auto"/>
          <w:highlight w:val="none"/>
          <w:lang w:val="zh-CN"/>
        </w:rPr>
        <w:fldChar w:fldCharType="begin"/>
      </w:r>
      <w:r>
        <w:rPr>
          <w:highlight w:val="none"/>
          <w:lang w:val="zh-CN"/>
        </w:rPr>
        <w:instrText xml:space="preserve"> HYPERLINK \l _Toc4178 </w:instrText>
      </w:r>
      <w:r>
        <w:rPr>
          <w:highlight w:val="none"/>
          <w:lang w:val="zh-CN"/>
        </w:rPr>
        <w:fldChar w:fldCharType="separate"/>
      </w:r>
      <w:r>
        <w:rPr>
          <w:rFonts w:hint="eastAsia"/>
          <w:lang w:val="en-US" w:eastAsia="zh-CN"/>
        </w:rPr>
        <w:t>第四部分 政府采购合同模版</w:t>
      </w:r>
      <w:r>
        <w:tab/>
      </w:r>
      <w:r>
        <w:fldChar w:fldCharType="begin"/>
      </w:r>
      <w:r>
        <w:instrText xml:space="preserve"> PAGEREF _Toc4178 \h </w:instrText>
      </w:r>
      <w:r>
        <w:fldChar w:fldCharType="separate"/>
      </w:r>
      <w:r>
        <w:t>15</w:t>
      </w:r>
      <w:r>
        <w:fldChar w:fldCharType="end"/>
      </w:r>
      <w:r>
        <w:rPr>
          <w:color w:val="auto"/>
          <w:highlight w:val="none"/>
          <w:lang w:val="zh-CN"/>
        </w:rPr>
        <w:fldChar w:fldCharType="end"/>
      </w:r>
    </w:p>
    <w:p w14:paraId="547D901C">
      <w:pPr>
        <w:pStyle w:val="18"/>
        <w:tabs>
          <w:tab w:val="right" w:leader="dot" w:pos="9240"/>
        </w:tabs>
        <w:ind w:left="0" w:leftChars="0" w:right="670" w:rightChars="319" w:firstLine="1280" w:firstLineChars="400"/>
        <w:rPr>
          <w:color w:val="auto"/>
          <w:highlight w:val="none"/>
          <w:lang w:val="zh-CN"/>
        </w:rPr>
      </w:pPr>
      <w:r>
        <w:rPr>
          <w:color w:val="auto"/>
          <w:highlight w:val="none"/>
          <w:lang w:val="zh-CN"/>
        </w:rPr>
        <w:fldChar w:fldCharType="end"/>
      </w:r>
    </w:p>
    <w:p w14:paraId="6154DCFB">
      <w:pPr>
        <w:ind w:left="0" w:leftChars="0" w:firstLine="643" w:firstLineChars="200"/>
        <w:rPr>
          <w:rFonts w:hint="default" w:ascii="黑体" w:hAnsi="黑体" w:eastAsia="黑体"/>
          <w:b/>
          <w:bCs/>
          <w:color w:val="auto"/>
          <w:sz w:val="32"/>
          <w:szCs w:val="32"/>
          <w:highlight w:val="none"/>
          <w:lang w:val="en-US"/>
        </w:rPr>
        <w:sectPr>
          <w:footerReference r:id="rId7" w:type="default"/>
          <w:pgSz w:w="12070" w:h="16940"/>
          <w:pgMar w:top="1440" w:right="1080" w:bottom="1440" w:left="1080" w:header="0" w:footer="1468" w:gutter="0"/>
          <w:pgNumType w:start="1"/>
          <w:cols w:space="720" w:num="1"/>
          <w:docGrid w:linePitch="312" w:charSpace="0"/>
        </w:sectPr>
      </w:pPr>
    </w:p>
    <w:p w14:paraId="40DBA65A">
      <w:pPr>
        <w:ind w:firstLine="723"/>
        <w:jc w:val="center"/>
        <w:rPr>
          <w:rFonts w:hint="eastAsia" w:ascii="黑体" w:hAnsi="黑体" w:eastAsia="黑体"/>
          <w:b/>
          <w:color w:val="auto"/>
          <w:sz w:val="36"/>
          <w:szCs w:val="36"/>
        </w:rPr>
      </w:pPr>
      <w:r>
        <w:rPr>
          <w:rFonts w:hint="eastAsia" w:ascii="黑体" w:hAnsi="黑体" w:eastAsia="黑体"/>
          <w:b/>
          <w:color w:val="auto"/>
          <w:sz w:val="36"/>
          <w:szCs w:val="36"/>
        </w:rPr>
        <w:t>采购需求</w:t>
      </w:r>
    </w:p>
    <w:p w14:paraId="3149817D">
      <w:pPr>
        <w:ind w:firstLine="723"/>
        <w:jc w:val="left"/>
        <w:rPr>
          <w:rFonts w:ascii="宋体" w:hAnsi="宋体"/>
          <w:color w:val="auto"/>
          <w:sz w:val="24"/>
          <w:szCs w:val="24"/>
        </w:rPr>
      </w:pPr>
      <w:r>
        <w:rPr>
          <w:rFonts w:ascii="宋体" w:hAnsi="宋体"/>
          <w:color w:val="auto"/>
          <w:sz w:val="24"/>
          <w:szCs w:val="24"/>
        </w:rPr>
        <w:t>依据</w:t>
      </w:r>
      <w:r>
        <w:rPr>
          <w:rFonts w:hint="eastAsia" w:ascii="宋体" w:hAnsi="宋体" w:cs="宋体"/>
          <w:color w:val="auto"/>
          <w:kern w:val="0"/>
          <w:sz w:val="24"/>
          <w:szCs w:val="24"/>
          <w:shd w:val="clear" w:color="auto" w:fill="FFFFFF"/>
        </w:rPr>
        <w:t>武汉市东西湖区财政局计划函号</w:t>
      </w:r>
      <w:r>
        <w:rPr>
          <w:rFonts w:hint="eastAsia" w:ascii="宋体" w:hAnsi="宋体"/>
          <w:color w:val="auto"/>
          <w:sz w:val="24"/>
          <w:szCs w:val="24"/>
          <w:highlight w:val="none"/>
          <w:u w:val="single"/>
          <w:lang w:val="en-US" w:eastAsia="zh-CN"/>
        </w:rPr>
        <w:t xml:space="preserve"> 420112-2026-02033</w:t>
      </w:r>
      <w:r>
        <w:rPr>
          <w:rFonts w:hint="eastAsia" w:ascii="宋体" w:hAnsi="宋体" w:cs="宋体"/>
          <w:color w:val="auto"/>
          <w:kern w:val="0"/>
          <w:sz w:val="24"/>
          <w:szCs w:val="24"/>
          <w:shd w:val="clear" w:color="auto" w:fill="FFFFFF"/>
        </w:rPr>
        <w:t>备案单的要求</w:t>
      </w:r>
      <w:r>
        <w:rPr>
          <w:rFonts w:ascii="宋体" w:hAnsi="宋体"/>
          <w:color w:val="auto"/>
          <w:sz w:val="24"/>
          <w:szCs w:val="24"/>
        </w:rPr>
        <w:t>，</w:t>
      </w:r>
      <w:r>
        <w:rPr>
          <w:rFonts w:hint="eastAsia" w:ascii="宋体" w:hAnsi="宋体"/>
          <w:color w:val="auto"/>
          <w:sz w:val="24"/>
          <w:szCs w:val="24"/>
        </w:rPr>
        <w:t>现委托武汉市东西湖区政府</w:t>
      </w:r>
      <w:r>
        <w:rPr>
          <w:rFonts w:ascii="宋体" w:hAnsi="宋体"/>
          <w:color w:val="auto"/>
          <w:sz w:val="24"/>
          <w:szCs w:val="24"/>
        </w:rPr>
        <w:t>采购中心</w:t>
      </w:r>
      <w:r>
        <w:rPr>
          <w:rFonts w:hint="eastAsia" w:ascii="宋体" w:hAnsi="宋体" w:cs="宋体"/>
          <w:color w:val="auto"/>
          <w:kern w:val="0"/>
          <w:sz w:val="24"/>
          <w:szCs w:val="24"/>
          <w:shd w:val="clear" w:color="auto" w:fill="FFFFFF"/>
        </w:rPr>
        <w:t>就</w:t>
      </w:r>
      <w:r>
        <w:rPr>
          <w:rFonts w:hint="eastAsia" w:ascii="宋体" w:hAnsi="宋体" w:cs="宋体"/>
          <w:color w:val="auto"/>
          <w:kern w:val="0"/>
          <w:sz w:val="24"/>
          <w:szCs w:val="24"/>
          <w:u w:val="single"/>
          <w:shd w:val="clear" w:color="auto" w:fill="FFFFFF"/>
          <w:lang w:val="en-US" w:eastAsia="zh-CN"/>
        </w:rPr>
        <w:t>武汉市东西湖区吴家山第一小学教学设备采购项目</w:t>
      </w:r>
      <w:r>
        <w:rPr>
          <w:rFonts w:ascii="宋体" w:hAnsi="宋体"/>
          <w:color w:val="auto"/>
          <w:sz w:val="24"/>
          <w:szCs w:val="24"/>
        </w:rPr>
        <w:t>进行公开招标采购。本项目采购预算：</w:t>
      </w:r>
      <w:r>
        <w:rPr>
          <w:rFonts w:hint="eastAsia" w:ascii="宋体" w:hAnsi="宋体"/>
          <w:color w:val="auto"/>
          <w:sz w:val="24"/>
          <w:szCs w:val="24"/>
        </w:rPr>
        <w:t>人民币</w:t>
      </w:r>
      <w:r>
        <w:rPr>
          <w:rFonts w:hint="eastAsia" w:ascii="宋体" w:hAnsi="宋体" w:cs="宋体"/>
          <w:color w:val="auto"/>
          <w:kern w:val="0"/>
          <w:sz w:val="24"/>
          <w:szCs w:val="24"/>
          <w:u w:val="single"/>
          <w:shd w:val="clear" w:color="auto" w:fill="FFFFFF"/>
          <w:lang w:val="en-US" w:eastAsia="zh-CN"/>
        </w:rPr>
        <w:t>122.956</w:t>
      </w:r>
      <w:r>
        <w:rPr>
          <w:rFonts w:ascii="宋体" w:hAnsi="宋体"/>
          <w:color w:val="auto"/>
          <w:sz w:val="24"/>
          <w:szCs w:val="24"/>
        </w:rPr>
        <w:t>万元</w:t>
      </w:r>
      <w:r>
        <w:rPr>
          <w:rFonts w:hint="eastAsia" w:ascii="宋体" w:hAnsi="宋体"/>
          <w:color w:val="auto"/>
          <w:sz w:val="24"/>
          <w:szCs w:val="24"/>
        </w:rPr>
        <w:t>。</w:t>
      </w:r>
    </w:p>
    <w:p w14:paraId="2F2A2E78">
      <w:pPr>
        <w:pStyle w:val="2"/>
        <w:ind w:firstLine="643"/>
        <w:jc w:val="center"/>
        <w:rPr>
          <w:rFonts w:ascii="宋体" w:hAnsi="宋体"/>
          <w:color w:val="auto"/>
          <w:sz w:val="24"/>
          <w:szCs w:val="24"/>
        </w:rPr>
      </w:pPr>
      <w:bookmarkStart w:id="0" w:name="_Toc1458930"/>
      <w:bookmarkStart w:id="1" w:name="_Toc32620"/>
      <w:r>
        <w:rPr>
          <w:rFonts w:hint="eastAsia"/>
          <w:color w:val="auto"/>
        </w:rPr>
        <w:t>第一部分  供应商资格要求</w:t>
      </w:r>
      <w:bookmarkEnd w:id="0"/>
      <w:bookmarkEnd w:id="1"/>
    </w:p>
    <w:p w14:paraId="32F847DA">
      <w:pPr>
        <w:pStyle w:val="31"/>
        <w:ind w:firstLine="480"/>
        <w:rPr>
          <w:rFonts w:ascii="宋体" w:hAnsi="宋体"/>
          <w:color w:val="auto"/>
          <w:sz w:val="24"/>
          <w:szCs w:val="24"/>
        </w:rPr>
      </w:pPr>
      <w:r>
        <w:rPr>
          <w:rFonts w:hint="eastAsia" w:ascii="宋体" w:hAnsi="宋体"/>
          <w:color w:val="auto"/>
          <w:sz w:val="24"/>
          <w:szCs w:val="24"/>
        </w:rPr>
        <w:t>（一）基本资格要求：</w:t>
      </w:r>
    </w:p>
    <w:p w14:paraId="0D3E4CE8">
      <w:pPr>
        <w:pStyle w:val="31"/>
        <w:ind w:firstLine="480"/>
        <w:rPr>
          <w:rFonts w:ascii="宋体" w:hAnsi="宋体"/>
          <w:color w:val="auto"/>
          <w:sz w:val="24"/>
          <w:szCs w:val="24"/>
        </w:rPr>
      </w:pPr>
      <w:r>
        <w:rPr>
          <w:rFonts w:hint="eastAsia" w:ascii="宋体" w:hAnsi="宋体"/>
          <w:color w:val="auto"/>
          <w:sz w:val="24"/>
          <w:szCs w:val="24"/>
        </w:rPr>
        <w:t>1.满足《中华人民共和国政府采购法》第二十二条规定，即：</w:t>
      </w:r>
    </w:p>
    <w:p w14:paraId="669AD694">
      <w:pPr>
        <w:pStyle w:val="31"/>
        <w:ind w:firstLine="480"/>
        <w:rPr>
          <w:rFonts w:ascii="宋体" w:hAnsi="宋体"/>
          <w:color w:val="auto"/>
          <w:sz w:val="24"/>
          <w:szCs w:val="24"/>
        </w:rPr>
      </w:pPr>
      <w:r>
        <w:rPr>
          <w:rFonts w:hint="eastAsia" w:ascii="宋体" w:hAnsi="宋体"/>
          <w:color w:val="auto"/>
          <w:sz w:val="24"/>
          <w:szCs w:val="24"/>
        </w:rPr>
        <w:t>（1）具有独立承担民事责任的能力；</w:t>
      </w:r>
    </w:p>
    <w:p w14:paraId="020ED90E">
      <w:pPr>
        <w:pStyle w:val="31"/>
        <w:ind w:firstLine="480"/>
        <w:rPr>
          <w:rFonts w:ascii="宋体" w:hAnsi="宋体"/>
          <w:color w:val="auto"/>
          <w:sz w:val="24"/>
          <w:szCs w:val="24"/>
        </w:rPr>
      </w:pPr>
      <w:r>
        <w:rPr>
          <w:rFonts w:hint="eastAsia" w:ascii="宋体" w:hAnsi="宋体"/>
          <w:color w:val="auto"/>
          <w:sz w:val="24"/>
          <w:szCs w:val="24"/>
        </w:rPr>
        <w:t>（2）具有良好的商业信誉和健全的财务会计制度；</w:t>
      </w:r>
    </w:p>
    <w:p w14:paraId="64576F7A">
      <w:pPr>
        <w:pStyle w:val="31"/>
        <w:ind w:firstLine="480"/>
        <w:rPr>
          <w:rFonts w:ascii="宋体" w:hAnsi="宋体"/>
          <w:color w:val="auto"/>
          <w:sz w:val="24"/>
          <w:szCs w:val="24"/>
        </w:rPr>
      </w:pPr>
      <w:r>
        <w:rPr>
          <w:rFonts w:hint="eastAsia" w:ascii="宋体" w:hAnsi="宋体"/>
          <w:color w:val="auto"/>
          <w:sz w:val="24"/>
          <w:szCs w:val="24"/>
        </w:rPr>
        <w:t>（3）具有履行合同所必需的设备和专业技术能力；</w:t>
      </w:r>
    </w:p>
    <w:p w14:paraId="7C470979">
      <w:pPr>
        <w:pStyle w:val="31"/>
        <w:ind w:firstLine="480"/>
        <w:rPr>
          <w:rFonts w:ascii="宋体" w:hAnsi="宋体"/>
          <w:color w:val="auto"/>
          <w:sz w:val="24"/>
          <w:szCs w:val="24"/>
        </w:rPr>
      </w:pPr>
      <w:r>
        <w:rPr>
          <w:rFonts w:hint="eastAsia" w:ascii="宋体" w:hAnsi="宋体"/>
          <w:color w:val="auto"/>
          <w:sz w:val="24"/>
          <w:szCs w:val="24"/>
        </w:rPr>
        <w:t>（4）有依法缴纳税收和社会保障资金的良好记录；</w:t>
      </w:r>
    </w:p>
    <w:p w14:paraId="1800C95A">
      <w:pPr>
        <w:pStyle w:val="31"/>
        <w:ind w:firstLine="480"/>
        <w:rPr>
          <w:rFonts w:ascii="宋体" w:hAnsi="宋体"/>
          <w:color w:val="auto"/>
          <w:sz w:val="24"/>
          <w:szCs w:val="24"/>
        </w:rPr>
      </w:pPr>
      <w:r>
        <w:rPr>
          <w:rFonts w:hint="eastAsia" w:ascii="宋体" w:hAnsi="宋体"/>
          <w:color w:val="auto"/>
          <w:sz w:val="24"/>
          <w:szCs w:val="24"/>
        </w:rPr>
        <w:t>（5）参加政府采购活动前三年内，在经营活动中没有重大违法记录；</w:t>
      </w:r>
    </w:p>
    <w:p w14:paraId="0E17875F">
      <w:pPr>
        <w:pStyle w:val="31"/>
        <w:ind w:firstLine="480"/>
        <w:rPr>
          <w:rFonts w:ascii="宋体" w:hAnsi="宋体"/>
          <w:color w:val="auto"/>
          <w:sz w:val="24"/>
          <w:szCs w:val="24"/>
        </w:rPr>
      </w:pPr>
      <w:r>
        <w:rPr>
          <w:rFonts w:hint="eastAsia" w:ascii="宋体" w:hAnsi="宋体"/>
          <w:color w:val="auto"/>
          <w:sz w:val="24"/>
          <w:szCs w:val="24"/>
        </w:rPr>
        <w:t>（6）法律、行政法规规定的其他条件。</w:t>
      </w:r>
    </w:p>
    <w:p w14:paraId="19C2ABCE">
      <w:pPr>
        <w:pStyle w:val="31"/>
        <w:ind w:firstLine="480"/>
        <w:rPr>
          <w:rFonts w:ascii="宋体" w:hAnsi="宋体"/>
          <w:color w:val="auto"/>
          <w:sz w:val="24"/>
          <w:szCs w:val="24"/>
        </w:rPr>
      </w:pPr>
      <w:r>
        <w:rPr>
          <w:rFonts w:hint="eastAsia" w:ascii="宋体" w:hAnsi="宋体"/>
          <w:color w:val="auto"/>
          <w:sz w:val="24"/>
          <w:szCs w:val="24"/>
        </w:rPr>
        <w:t>2.单位负责人为同一人或者存在直接控股、管理关系的不同投标人，不得参加本项目同一合同项下的政府采购活动。</w:t>
      </w:r>
    </w:p>
    <w:p w14:paraId="608CFCEB">
      <w:pPr>
        <w:pStyle w:val="31"/>
        <w:ind w:firstLine="480"/>
        <w:rPr>
          <w:rFonts w:ascii="宋体" w:hAnsi="宋体"/>
          <w:color w:val="auto"/>
          <w:sz w:val="24"/>
          <w:szCs w:val="24"/>
        </w:rPr>
      </w:pPr>
      <w:r>
        <w:rPr>
          <w:rFonts w:hint="eastAsia" w:ascii="宋体" w:hAnsi="宋体"/>
          <w:color w:val="auto"/>
          <w:sz w:val="24"/>
          <w:szCs w:val="24"/>
        </w:rPr>
        <w:t>3.为本采购项目提供整体设计、规范编制或者项目管理、监理、检测等服务的，不得再参加本项目的其他招标采购活动。</w:t>
      </w:r>
    </w:p>
    <w:p w14:paraId="0490BEDF">
      <w:pPr>
        <w:pStyle w:val="31"/>
        <w:ind w:firstLine="480"/>
        <w:rPr>
          <w:rFonts w:hint="eastAsia" w:ascii="宋体" w:hAnsi="宋体"/>
          <w:color w:val="auto"/>
          <w:sz w:val="24"/>
          <w:szCs w:val="24"/>
        </w:rPr>
      </w:pPr>
      <w:r>
        <w:rPr>
          <w:rFonts w:hint="eastAsia" w:ascii="宋体" w:hAnsi="宋体"/>
          <w:color w:val="auto"/>
          <w:sz w:val="24"/>
          <w:szCs w:val="24"/>
        </w:rPr>
        <w:t>4.未被列入失信被执行人、重大税收违法案件当事人名单，未被列入政府采购严重违法失信行为记录名单。</w:t>
      </w:r>
    </w:p>
    <w:p w14:paraId="2DEF86F2">
      <w:pPr>
        <w:pStyle w:val="31"/>
        <w:ind w:firstLine="480"/>
        <w:rPr>
          <w:rFonts w:hint="eastAsia" w:ascii="宋体" w:hAnsi="宋体"/>
          <w:color w:val="auto"/>
          <w:sz w:val="24"/>
          <w:szCs w:val="24"/>
          <w:highlight w:val="none"/>
          <w:lang w:val="en-US" w:eastAsia="zh-CN"/>
        </w:rPr>
      </w:pPr>
      <w:r>
        <w:rPr>
          <w:rFonts w:hint="eastAsia" w:ascii="宋体" w:hAnsi="宋体"/>
          <w:color w:val="auto"/>
          <w:sz w:val="24"/>
          <w:szCs w:val="24"/>
        </w:rPr>
        <w:t>（二）</w:t>
      </w:r>
      <w:r>
        <w:rPr>
          <w:rFonts w:hint="eastAsia" w:ascii="宋体" w:hAnsi="宋体"/>
          <w:color w:val="auto"/>
          <w:sz w:val="24"/>
          <w:szCs w:val="24"/>
          <w:highlight w:val="none"/>
        </w:rPr>
        <w:t>落实政府采购政策需满足的资格要求：</w:t>
      </w:r>
      <w:r>
        <w:rPr>
          <w:rFonts w:hint="eastAsia" w:ascii="宋体" w:hAnsi="宋体"/>
          <w:color w:val="auto"/>
          <w:sz w:val="24"/>
          <w:szCs w:val="24"/>
          <w:highlight w:val="none"/>
          <w:lang w:val="en-US" w:eastAsia="zh-CN"/>
        </w:rPr>
        <w:t>无</w:t>
      </w:r>
    </w:p>
    <w:p w14:paraId="71C6AB88">
      <w:pPr>
        <w:pStyle w:val="31"/>
        <w:ind w:firstLine="480"/>
        <w:rPr>
          <w:rFonts w:hint="eastAsia" w:eastAsia="宋体"/>
          <w:color w:val="auto"/>
          <w:lang w:val="en-US" w:eastAsia="zh-CN"/>
        </w:rPr>
      </w:pPr>
      <w:r>
        <w:rPr>
          <w:rFonts w:hint="eastAsia" w:ascii="宋体" w:hAnsi="宋体"/>
          <w:color w:val="auto"/>
          <w:sz w:val="24"/>
          <w:szCs w:val="24"/>
        </w:rPr>
        <w:t>（三）</w:t>
      </w:r>
      <w:r>
        <w:rPr>
          <w:rFonts w:hint="eastAsia" w:ascii="宋体" w:hAnsi="宋体"/>
          <w:b w:val="0"/>
          <w:bCs w:val="0"/>
          <w:color w:val="auto"/>
          <w:sz w:val="24"/>
          <w:szCs w:val="24"/>
        </w:rPr>
        <w:t>本项目的特定资格要</w:t>
      </w:r>
      <w:r>
        <w:rPr>
          <w:rFonts w:hint="eastAsia" w:ascii="宋体" w:hAnsi="宋体"/>
          <w:b w:val="0"/>
          <w:bCs w:val="0"/>
          <w:color w:val="auto"/>
          <w:sz w:val="24"/>
          <w:szCs w:val="24"/>
          <w:highlight w:val="none"/>
        </w:rPr>
        <w:t>求</w:t>
      </w:r>
      <w:r>
        <w:rPr>
          <w:rFonts w:hint="eastAsia" w:ascii="宋体" w:hAnsi="宋体"/>
          <w:color w:val="auto"/>
          <w:sz w:val="24"/>
          <w:szCs w:val="24"/>
          <w:highlight w:val="none"/>
        </w:rPr>
        <w:t>：</w:t>
      </w:r>
      <w:bookmarkStart w:id="2" w:name="_Toc1458932"/>
      <w:r>
        <w:rPr>
          <w:rFonts w:hint="eastAsia" w:ascii="宋体" w:hAnsi="宋体"/>
          <w:color w:val="auto"/>
          <w:sz w:val="24"/>
          <w:szCs w:val="24"/>
          <w:highlight w:val="none"/>
          <w:lang w:val="en-US" w:eastAsia="zh-CN"/>
        </w:rPr>
        <w:t>无</w:t>
      </w:r>
      <w:r>
        <w:rPr>
          <w:rFonts w:hint="eastAsia" w:ascii="宋体" w:hAnsi="宋体"/>
          <w:color w:val="auto"/>
          <w:sz w:val="24"/>
          <w:szCs w:val="24"/>
          <w:lang w:eastAsia="zh-CN"/>
        </w:rPr>
        <w:t>。</w:t>
      </w:r>
    </w:p>
    <w:bookmarkEnd w:id="2"/>
    <w:p w14:paraId="23672038">
      <w:pPr>
        <w:ind w:firstLine="420"/>
        <w:rPr>
          <w:rFonts w:hint="eastAsia"/>
          <w:color w:val="auto"/>
        </w:rPr>
      </w:pPr>
      <w:bookmarkStart w:id="3" w:name="_Toc1458931"/>
    </w:p>
    <w:p w14:paraId="57A84909">
      <w:pPr>
        <w:pStyle w:val="19"/>
        <w:rPr>
          <w:rFonts w:hint="eastAsia"/>
          <w:color w:val="auto"/>
        </w:rPr>
      </w:pPr>
    </w:p>
    <w:p w14:paraId="56CDC2B4">
      <w:pPr>
        <w:pStyle w:val="19"/>
        <w:rPr>
          <w:rFonts w:hint="eastAsia"/>
          <w:color w:val="auto"/>
        </w:rPr>
      </w:pPr>
    </w:p>
    <w:p w14:paraId="2CECF6DB">
      <w:pPr>
        <w:pStyle w:val="2"/>
        <w:keepNext/>
        <w:keepLines/>
        <w:pageBreakBefore/>
        <w:widowControl/>
        <w:kinsoku/>
        <w:wordWrap/>
        <w:overflowPunct/>
        <w:topLinePunct w:val="0"/>
        <w:autoSpaceDE/>
        <w:autoSpaceDN/>
        <w:bidi w:val="0"/>
        <w:adjustRightInd/>
        <w:snapToGrid/>
        <w:spacing w:line="579" w:lineRule="auto"/>
        <w:ind w:firstLine="643"/>
        <w:jc w:val="center"/>
        <w:textAlignment w:val="auto"/>
        <w:rPr>
          <w:rFonts w:hint="eastAsia"/>
          <w:color w:val="auto"/>
        </w:rPr>
      </w:pPr>
      <w:bookmarkStart w:id="4" w:name="_Toc16141"/>
      <w:r>
        <w:rPr>
          <w:rFonts w:hint="eastAsia"/>
          <w:color w:val="auto"/>
        </w:rPr>
        <w:t xml:space="preserve">第二部分  </w:t>
      </w:r>
      <w:bookmarkStart w:id="5" w:name="_Toc1421483"/>
      <w:bookmarkStart w:id="6" w:name="_Toc509997285"/>
      <w:r>
        <w:rPr>
          <w:rFonts w:hint="eastAsia"/>
          <w:color w:val="auto"/>
        </w:rPr>
        <w:t>技术、服务及商务要求</w:t>
      </w:r>
      <w:bookmarkEnd w:id="3"/>
      <w:bookmarkEnd w:id="4"/>
      <w:bookmarkEnd w:id="5"/>
      <w:bookmarkEnd w:id="6"/>
    </w:p>
    <w:p w14:paraId="121F744A">
      <w:pPr>
        <w:rPr>
          <w:rFonts w:hint="eastAsia"/>
          <w:b/>
          <w:bCs/>
        </w:rPr>
      </w:pPr>
      <w:r>
        <w:rPr>
          <w:rFonts w:hint="eastAsia"/>
          <w:b/>
          <w:bCs/>
        </w:rPr>
        <w:t>说明：1.文件中标“★”的条款均为实质性条款要求，投标人应按文件要求逐项写明所响应内容，否则其投标按照无效投标处理。全文中出现与此条要求不一致的，以此条为准。</w:t>
      </w:r>
    </w:p>
    <w:p w14:paraId="596EA668">
      <w:pPr>
        <w:rPr>
          <w:rFonts w:hint="eastAsia"/>
          <w:b/>
          <w:bCs/>
        </w:rPr>
      </w:pPr>
      <w:r>
        <w:rPr>
          <w:rFonts w:hint="eastAsia"/>
          <w:b/>
          <w:bCs/>
        </w:rPr>
        <w:t>2.投标人在投标文件《项目技术、服务及商务要求响应、偏离说明表》中应对以下条款进行响应描述或偏离说明。</w:t>
      </w:r>
    </w:p>
    <w:p w14:paraId="09E63F54">
      <w:pPr>
        <w:pStyle w:val="3"/>
        <w:rPr>
          <w:rFonts w:hint="eastAsia" w:eastAsia="宋体"/>
          <w:color w:val="auto"/>
          <w:sz w:val="30"/>
          <w:szCs w:val="30"/>
          <w:lang w:eastAsia="zh-CN"/>
        </w:rPr>
      </w:pPr>
      <w:bookmarkStart w:id="7" w:name="_Toc21036"/>
      <w:r>
        <w:rPr>
          <w:rFonts w:hint="eastAsia"/>
          <w:color w:val="auto"/>
          <w:sz w:val="30"/>
          <w:szCs w:val="30"/>
        </w:rPr>
        <w:t>一、采购清单</w:t>
      </w:r>
      <w:bookmarkEnd w:id="7"/>
    </w:p>
    <w:tbl>
      <w:tblPr>
        <w:tblStyle w:val="23"/>
        <w:tblW w:w="4546"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63"/>
        <w:gridCol w:w="4480"/>
        <w:gridCol w:w="2166"/>
        <w:gridCol w:w="1798"/>
      </w:tblGrid>
      <w:tr w14:paraId="0530A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2" w:hRule="atLeast"/>
          <w:jc w:val="center"/>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D7AB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序号</w:t>
            </w:r>
          </w:p>
        </w:tc>
        <w:tc>
          <w:tcPr>
            <w:tcW w:w="2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6B05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名称 </w:t>
            </w:r>
          </w:p>
        </w:tc>
        <w:tc>
          <w:tcPr>
            <w:tcW w:w="11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4B52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数量</w:t>
            </w:r>
          </w:p>
        </w:tc>
        <w:tc>
          <w:tcPr>
            <w:tcW w:w="9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29CB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单位 </w:t>
            </w:r>
          </w:p>
        </w:tc>
      </w:tr>
      <w:tr w14:paraId="01116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9" w:hRule="atLeast"/>
          <w:jc w:val="center"/>
        </w:trPr>
        <w:tc>
          <w:tcPr>
            <w:tcW w:w="414" w:type="pct"/>
            <w:tcBorders>
              <w:top w:val="single" w:color="000000" w:sz="4" w:space="0"/>
              <w:left w:val="single" w:color="000000" w:sz="4" w:space="0"/>
              <w:bottom w:val="single" w:color="000000" w:sz="4" w:space="0"/>
              <w:right w:val="single" w:color="000000" w:sz="4" w:space="0"/>
            </w:tcBorders>
            <w:noWrap/>
            <w:vAlign w:val="center"/>
          </w:tcPr>
          <w:p w14:paraId="4E23E58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c>
          <w:tcPr>
            <w:tcW w:w="2432" w:type="pct"/>
            <w:tcBorders>
              <w:top w:val="single" w:color="000000" w:sz="4" w:space="0"/>
              <w:left w:val="single" w:color="000000" w:sz="4" w:space="0"/>
              <w:bottom w:val="single" w:color="000000" w:sz="4" w:space="0"/>
              <w:right w:val="single" w:color="000000" w:sz="4" w:space="0"/>
            </w:tcBorders>
            <w:noWrap/>
            <w:vAlign w:val="center"/>
          </w:tcPr>
          <w:p w14:paraId="1C20A21D">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仿宋" w:hAnsi="仿宋" w:eastAsia="仿宋" w:cs="仿宋"/>
                <w:i w:val="0"/>
                <w:iCs w:val="0"/>
                <w:color w:val="auto"/>
                <w:sz w:val="24"/>
                <w:szCs w:val="24"/>
                <w:u w:val="none"/>
                <w:lang w:val="en-US"/>
              </w:rPr>
            </w:pPr>
            <w:r>
              <w:rPr>
                <w:rFonts w:hint="eastAsia" w:ascii="仿宋" w:hAnsi="仿宋" w:eastAsia="仿宋" w:cs="仿宋"/>
                <w:i w:val="0"/>
                <w:iCs w:val="0"/>
                <w:color w:val="auto"/>
                <w:kern w:val="0"/>
                <w:sz w:val="24"/>
                <w:szCs w:val="24"/>
                <w:u w:val="none"/>
                <w:lang w:val="en-US" w:eastAsia="zh-CN" w:bidi="ar"/>
              </w:rPr>
              <w:t>86寸智慧交互黑板</w:t>
            </w:r>
            <w:r>
              <w:rPr>
                <w:rFonts w:hint="eastAsia" w:ascii="仿宋" w:hAnsi="仿宋" w:eastAsia="仿宋" w:cs="仿宋"/>
                <w:b/>
                <w:bCs/>
                <w:i w:val="0"/>
                <w:iCs w:val="0"/>
                <w:color w:val="auto"/>
                <w:kern w:val="0"/>
                <w:sz w:val="24"/>
                <w:szCs w:val="24"/>
                <w:u w:val="none"/>
                <w:lang w:val="en-US" w:eastAsia="zh-CN" w:bidi="ar"/>
              </w:rPr>
              <w:t>（核心产品）</w:t>
            </w:r>
          </w:p>
        </w:tc>
        <w:tc>
          <w:tcPr>
            <w:tcW w:w="1176" w:type="pct"/>
            <w:tcBorders>
              <w:top w:val="single" w:color="000000" w:sz="4" w:space="0"/>
              <w:left w:val="single" w:color="000000" w:sz="4" w:space="0"/>
              <w:bottom w:val="single" w:color="000000" w:sz="4" w:space="0"/>
              <w:right w:val="single" w:color="000000" w:sz="4" w:space="0"/>
            </w:tcBorders>
            <w:noWrap/>
            <w:vAlign w:val="center"/>
          </w:tcPr>
          <w:p w14:paraId="2A09A13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59</w:t>
            </w:r>
          </w:p>
        </w:tc>
        <w:tc>
          <w:tcPr>
            <w:tcW w:w="976" w:type="pct"/>
            <w:tcBorders>
              <w:top w:val="single" w:color="000000" w:sz="4" w:space="0"/>
              <w:left w:val="single" w:color="000000" w:sz="4" w:space="0"/>
              <w:bottom w:val="single" w:color="000000" w:sz="4" w:space="0"/>
              <w:right w:val="single" w:color="000000" w:sz="4" w:space="0"/>
            </w:tcBorders>
            <w:noWrap/>
            <w:vAlign w:val="center"/>
          </w:tcPr>
          <w:p w14:paraId="38EF67B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套</w:t>
            </w:r>
          </w:p>
        </w:tc>
      </w:tr>
      <w:tr w14:paraId="1F1DD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5" w:hRule="atLeast"/>
          <w:jc w:val="center"/>
        </w:trPr>
        <w:tc>
          <w:tcPr>
            <w:tcW w:w="414" w:type="pct"/>
            <w:tcBorders>
              <w:top w:val="single" w:color="000000" w:sz="4" w:space="0"/>
              <w:left w:val="single" w:color="000000" w:sz="4" w:space="0"/>
              <w:bottom w:val="single" w:color="000000" w:sz="4" w:space="0"/>
              <w:right w:val="single" w:color="000000" w:sz="4" w:space="0"/>
            </w:tcBorders>
            <w:noWrap/>
            <w:vAlign w:val="center"/>
          </w:tcPr>
          <w:p w14:paraId="2EFB83E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c>
          <w:tcPr>
            <w:tcW w:w="2432" w:type="pct"/>
            <w:tcBorders>
              <w:top w:val="single" w:color="000000" w:sz="4" w:space="0"/>
              <w:left w:val="single" w:color="000000" w:sz="4" w:space="0"/>
              <w:bottom w:val="single" w:color="000000" w:sz="4" w:space="0"/>
              <w:right w:val="single" w:color="000000" w:sz="4" w:space="0"/>
            </w:tcBorders>
            <w:noWrap/>
            <w:vAlign w:val="center"/>
          </w:tcPr>
          <w:p w14:paraId="0A0E0EC8">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OPS升级</w:t>
            </w:r>
          </w:p>
        </w:tc>
        <w:tc>
          <w:tcPr>
            <w:tcW w:w="1176" w:type="pct"/>
            <w:tcBorders>
              <w:top w:val="single" w:color="000000" w:sz="4" w:space="0"/>
              <w:left w:val="single" w:color="000000" w:sz="4" w:space="0"/>
              <w:bottom w:val="single" w:color="000000" w:sz="4" w:space="0"/>
              <w:right w:val="single" w:color="000000" w:sz="4" w:space="0"/>
            </w:tcBorders>
            <w:noWrap/>
            <w:vAlign w:val="center"/>
          </w:tcPr>
          <w:p w14:paraId="2B0722A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59</w:t>
            </w:r>
          </w:p>
        </w:tc>
        <w:tc>
          <w:tcPr>
            <w:tcW w:w="976" w:type="pct"/>
            <w:tcBorders>
              <w:top w:val="single" w:color="000000" w:sz="4" w:space="0"/>
              <w:left w:val="single" w:color="000000" w:sz="4" w:space="0"/>
              <w:bottom w:val="single" w:color="000000" w:sz="4" w:space="0"/>
              <w:right w:val="single" w:color="000000" w:sz="4" w:space="0"/>
            </w:tcBorders>
            <w:noWrap/>
            <w:vAlign w:val="center"/>
          </w:tcPr>
          <w:p w14:paraId="0F94193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套</w:t>
            </w:r>
          </w:p>
        </w:tc>
      </w:tr>
      <w:tr w14:paraId="1BB9C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jc w:val="center"/>
        </w:trPr>
        <w:tc>
          <w:tcPr>
            <w:tcW w:w="414" w:type="pct"/>
            <w:tcBorders>
              <w:top w:val="single" w:color="000000" w:sz="4" w:space="0"/>
              <w:left w:val="single" w:color="000000" w:sz="4" w:space="0"/>
              <w:bottom w:val="single" w:color="000000" w:sz="4" w:space="0"/>
              <w:right w:val="single" w:color="000000" w:sz="4" w:space="0"/>
            </w:tcBorders>
            <w:noWrap/>
            <w:vAlign w:val="center"/>
          </w:tcPr>
          <w:p w14:paraId="444A265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w:t>
            </w:r>
          </w:p>
        </w:tc>
        <w:tc>
          <w:tcPr>
            <w:tcW w:w="2432" w:type="pct"/>
            <w:tcBorders>
              <w:top w:val="single" w:color="000000" w:sz="4" w:space="0"/>
              <w:left w:val="single" w:color="000000" w:sz="4" w:space="0"/>
              <w:bottom w:val="single" w:color="000000" w:sz="4" w:space="0"/>
              <w:right w:val="single" w:color="000000" w:sz="4" w:space="0"/>
            </w:tcBorders>
            <w:noWrap/>
            <w:vAlign w:val="center"/>
          </w:tcPr>
          <w:p w14:paraId="4CBBCB25">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USB高拍仪</w:t>
            </w:r>
          </w:p>
        </w:tc>
        <w:tc>
          <w:tcPr>
            <w:tcW w:w="1176" w:type="pct"/>
            <w:tcBorders>
              <w:top w:val="single" w:color="000000" w:sz="4" w:space="0"/>
              <w:left w:val="single" w:color="000000" w:sz="4" w:space="0"/>
              <w:bottom w:val="single" w:color="000000" w:sz="4" w:space="0"/>
              <w:right w:val="single" w:color="000000" w:sz="4" w:space="0"/>
            </w:tcBorders>
            <w:noWrap/>
            <w:vAlign w:val="center"/>
          </w:tcPr>
          <w:p w14:paraId="4B39436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59</w:t>
            </w:r>
          </w:p>
        </w:tc>
        <w:tc>
          <w:tcPr>
            <w:tcW w:w="976" w:type="pct"/>
            <w:tcBorders>
              <w:top w:val="single" w:color="000000" w:sz="4" w:space="0"/>
              <w:left w:val="single" w:color="000000" w:sz="4" w:space="0"/>
              <w:bottom w:val="single" w:color="000000" w:sz="4" w:space="0"/>
              <w:right w:val="single" w:color="000000" w:sz="4" w:space="0"/>
            </w:tcBorders>
            <w:noWrap/>
            <w:vAlign w:val="center"/>
          </w:tcPr>
          <w:p w14:paraId="0B7C5B3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r>
    </w:tbl>
    <w:p w14:paraId="6E257E87">
      <w:pPr>
        <w:rPr>
          <w:rFonts w:hint="eastAsia" w:eastAsia="宋体"/>
          <w:b/>
          <w:bCs/>
          <w:color w:val="auto"/>
          <w:lang w:val="en-US" w:eastAsia="zh-CN"/>
        </w:rPr>
      </w:pPr>
      <w:r>
        <w:rPr>
          <w:rFonts w:hint="eastAsia"/>
          <w:b/>
          <w:bCs/>
          <w:color w:val="auto"/>
          <w:lang w:val="en-US" w:eastAsia="zh-CN"/>
        </w:rPr>
        <w:t>备注：核心产品为（</w:t>
      </w:r>
      <w:r>
        <w:rPr>
          <w:rFonts w:hint="eastAsia" w:ascii="仿宋" w:hAnsi="仿宋" w:eastAsia="仿宋" w:cs="仿宋"/>
          <w:b/>
          <w:bCs/>
          <w:i w:val="0"/>
          <w:iCs w:val="0"/>
          <w:color w:val="auto"/>
          <w:kern w:val="0"/>
          <w:sz w:val="24"/>
          <w:szCs w:val="24"/>
          <w:u w:val="none"/>
          <w:lang w:val="en-US" w:eastAsia="zh-CN" w:bidi="ar"/>
        </w:rPr>
        <w:t>86寸智慧交互黑板</w:t>
      </w:r>
      <w:r>
        <w:rPr>
          <w:rFonts w:hint="eastAsia"/>
          <w:b/>
          <w:bCs/>
          <w:color w:val="auto"/>
          <w:lang w:val="en-US" w:eastAsia="zh-CN"/>
        </w:rPr>
        <w:t>），提供相同品牌的不同投标人按一家投标人计算，核心产品不足三个品牌会导致废标。</w:t>
      </w:r>
    </w:p>
    <w:p w14:paraId="1C0A0E5E">
      <w:pPr>
        <w:pStyle w:val="3"/>
        <w:numPr>
          <w:ilvl w:val="0"/>
          <w:numId w:val="0"/>
        </w:numPr>
        <w:bidi w:val="0"/>
        <w:ind w:firstLine="602" w:firstLineChars="200"/>
        <w:rPr>
          <w:rFonts w:hint="eastAsia"/>
          <w:color w:val="auto"/>
          <w:highlight w:val="none"/>
        </w:rPr>
      </w:pPr>
      <w:bookmarkStart w:id="8" w:name="_Toc27645"/>
      <w:bookmarkStart w:id="9" w:name="_Toc1458935"/>
      <w:r>
        <w:rPr>
          <w:rFonts w:hint="eastAsia"/>
          <w:color w:val="auto"/>
          <w:sz w:val="30"/>
          <w:szCs w:val="30"/>
        </w:rPr>
        <w:t>二、</w:t>
      </w:r>
      <w:r>
        <w:rPr>
          <w:rFonts w:hint="eastAsia"/>
          <w:color w:val="auto"/>
          <w:highlight w:val="none"/>
          <w:lang w:val="en-US" w:eastAsia="zh-CN"/>
        </w:rPr>
        <w:t>技术参数</w:t>
      </w:r>
      <w:r>
        <w:rPr>
          <w:rFonts w:hint="eastAsia"/>
          <w:color w:val="auto"/>
          <w:highlight w:val="none"/>
        </w:rPr>
        <w:t>要求</w:t>
      </w:r>
      <w:bookmarkEnd w:id="8"/>
    </w:p>
    <w:tbl>
      <w:tblPr>
        <w:tblStyle w:val="23"/>
        <w:tblW w:w="924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6"/>
        <w:gridCol w:w="1778"/>
        <w:gridCol w:w="6775"/>
      </w:tblGrid>
      <w:tr w14:paraId="4F069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2350AE4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序号</w:t>
            </w:r>
          </w:p>
        </w:tc>
        <w:tc>
          <w:tcPr>
            <w:tcW w:w="1778" w:type="dxa"/>
            <w:tcBorders>
              <w:top w:val="single" w:color="000000" w:sz="4" w:space="0"/>
              <w:left w:val="single" w:color="000000" w:sz="4" w:space="0"/>
              <w:bottom w:val="single" w:color="000000" w:sz="4" w:space="0"/>
              <w:right w:val="single" w:color="000000" w:sz="4" w:space="0"/>
            </w:tcBorders>
            <w:noWrap/>
            <w:vAlign w:val="center"/>
          </w:tcPr>
          <w:p w14:paraId="331C2C6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名称 </w:t>
            </w:r>
          </w:p>
        </w:tc>
        <w:tc>
          <w:tcPr>
            <w:tcW w:w="6775" w:type="dxa"/>
            <w:tcBorders>
              <w:top w:val="single" w:color="000000" w:sz="4" w:space="0"/>
              <w:left w:val="single" w:color="000000" w:sz="4" w:space="0"/>
              <w:bottom w:val="single" w:color="000000" w:sz="4" w:space="0"/>
              <w:right w:val="single" w:color="000000" w:sz="4" w:space="0"/>
            </w:tcBorders>
            <w:noWrap/>
            <w:vAlign w:val="center"/>
          </w:tcPr>
          <w:p w14:paraId="52A0603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技术参数要求</w:t>
            </w:r>
          </w:p>
        </w:tc>
      </w:tr>
      <w:tr w14:paraId="1C7D3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4"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3C1CE30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c>
          <w:tcPr>
            <w:tcW w:w="1778" w:type="dxa"/>
            <w:tcBorders>
              <w:top w:val="single" w:color="000000" w:sz="4" w:space="0"/>
              <w:left w:val="single" w:color="000000" w:sz="4" w:space="0"/>
              <w:bottom w:val="single" w:color="000000" w:sz="4" w:space="0"/>
              <w:right w:val="single" w:color="000000" w:sz="4" w:space="0"/>
            </w:tcBorders>
            <w:noWrap/>
            <w:vAlign w:val="center"/>
          </w:tcPr>
          <w:p w14:paraId="375F363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86寸智慧交互黑板</w:t>
            </w:r>
          </w:p>
        </w:tc>
        <w:tc>
          <w:tcPr>
            <w:tcW w:w="6775" w:type="dxa"/>
            <w:tcBorders>
              <w:top w:val="single" w:color="000000" w:sz="4" w:space="0"/>
              <w:left w:val="single" w:color="000000" w:sz="4" w:space="0"/>
              <w:bottom w:val="single" w:color="000000" w:sz="4" w:space="0"/>
              <w:right w:val="single" w:color="000000" w:sz="4" w:space="0"/>
            </w:tcBorders>
            <w:noWrap w:val="0"/>
            <w:vAlign w:val="center"/>
          </w:tcPr>
          <w:p w14:paraId="28D5F41A">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一、硬件参数：</w:t>
            </w:r>
          </w:p>
          <w:p w14:paraId="05030F8F">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1.中间屏幕显示尺寸≥86寸，整机的长度≥4400mm，高度≥1200mm，液晶显示屏幕采用工业级A规液晶面板，整机屏幕边缘采用金属圆角包边防护，整机背板采用金属材质一体化成型。图像分辨率≥3840*2160，显示比例支持：4:3、16:9；亮度≥500cd/㎡；对比度≥5000:1；可视角度≥178°，色域覆盖率≥130%NTSC，色彩精准度△E≤1.5，色彩深度≥10bit(灰度≥256级）。</w:t>
            </w:r>
          </w:p>
          <w:p w14:paraId="5CA28425">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2.中间屏幕采用全物理钢化玻璃，钢护玻璃厚度≥3mm，表面硬度≥9H有效保护屏幕显示画面。采用防眩光玻璃，屏幕支持防眩光功能，透光率≥93%，光泽度≤8度。</w:t>
            </w:r>
          </w:p>
          <w:p w14:paraId="54116D17">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3.采用电容触控方式，全通道最多支持20点触摸，从内部Android通道切换到内部PC通道后，触摸框在1s内达到可触控状态。从内部PC通道切换到外部通道后，触摸框在2s内达到可触控状态。</w:t>
            </w:r>
          </w:p>
          <w:p w14:paraId="6BACB0FA">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4.智慧黑板整机正面为三块拼接而成的全平面黑板，没有任何凸起部位；主屏与侧板采用按压卡扣式拼接，拼缝≤0.5mm，整体拼合效果好。</w:t>
            </w:r>
          </w:p>
          <w:p w14:paraId="5F62072D">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5.整机采用等边设计，功能区域均分布在主屏部位；副板区域正面无任何功能区域或凹槽设计，副板全板面区域均可粉笔书写，不占用板书书写面积。</w:t>
            </w:r>
          </w:p>
          <w:p w14:paraId="73864BC6">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6.整机表面支持3种及以上类型的笔书写:水性笔、普通粉笔、无尘粉笔、成膜笔等。</w:t>
            </w:r>
          </w:p>
          <w:p w14:paraId="3AECCBBD">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7.整机支持 2.0立体声模式，内置2个前朝向悬浮式中高频音响，采用左右对称设计，可实现反射式环绕立体音效，功率≥15W*2，整机支持5段均衡器（120Hz、500Hz、1.5KHz、5KHz、10KHz）且调节范围为±50的音效调节方式。整机支持≥4种音效模式。</w:t>
            </w:r>
          </w:p>
          <w:p w14:paraId="070E16EE">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8.整机前置摄像头、阵列麦克风及扬声器一体化设计，内置于整机顶部，无任何可见的内部接线外露，无任何可见拼接痕迹及缝隙，不占用整机接口，整体高度≤15mm。</w:t>
            </w:r>
          </w:p>
          <w:p w14:paraId="1D618AA8">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lang w:eastAsia="zh-CN"/>
              </w:rPr>
            </w:pPr>
            <w:r>
              <w:rPr>
                <w:rFonts w:hint="eastAsia" w:ascii="仿宋" w:hAnsi="仿宋" w:eastAsia="仿宋" w:cs="仿宋"/>
                <w:i w:val="0"/>
                <w:iCs w:val="0"/>
                <w:color w:val="auto"/>
                <w:sz w:val="24"/>
                <w:szCs w:val="24"/>
                <w:u w:val="none"/>
              </w:rPr>
              <w:t>9.▲整机内置摄像头，带有工作运行状态指示灯，像素≥1300W，拍摄角度≥135度，支持录制≥3840</w:t>
            </w:r>
            <w:r>
              <w:rPr>
                <w:rFonts w:hint="eastAsia" w:ascii="仿宋" w:hAnsi="仿宋" w:eastAsia="仿宋" w:cs="仿宋"/>
                <w:i w:val="0"/>
                <w:iCs w:val="0"/>
                <w:color w:val="auto"/>
                <w:sz w:val="24"/>
                <w:szCs w:val="24"/>
                <w:u w:val="none"/>
                <w:lang w:val="en-US" w:eastAsia="zh-CN"/>
              </w:rPr>
              <w:t>*</w:t>
            </w:r>
            <w:r>
              <w:rPr>
                <w:rFonts w:hint="eastAsia" w:ascii="仿宋" w:hAnsi="仿宋" w:eastAsia="仿宋" w:cs="仿宋"/>
                <w:i w:val="0"/>
                <w:iCs w:val="0"/>
                <w:color w:val="auto"/>
                <w:sz w:val="24"/>
                <w:szCs w:val="24"/>
                <w:u w:val="none"/>
              </w:rPr>
              <w:t>3104分辨率的MJPG和YUY2格式视频，支持拍照、二维码识别、巡课、直播等功能</w:t>
            </w:r>
            <w:r>
              <w:rPr>
                <w:rFonts w:hint="eastAsia" w:ascii="仿宋" w:hAnsi="仿宋" w:eastAsia="仿宋" w:cs="仿宋"/>
                <w:i w:val="0"/>
                <w:iCs w:val="0"/>
                <w:color w:val="auto"/>
                <w:sz w:val="24"/>
                <w:szCs w:val="24"/>
                <w:u w:val="none"/>
                <w:lang w:eastAsia="zh-CN"/>
              </w:rPr>
              <w:t>。（</w:t>
            </w:r>
            <w:r>
              <w:rPr>
                <w:rFonts w:hint="eastAsia" w:ascii="仿宋" w:hAnsi="仿宋" w:eastAsia="仿宋" w:cs="仿宋"/>
                <w:i w:val="0"/>
                <w:iCs w:val="0"/>
                <w:color w:val="auto"/>
                <w:sz w:val="24"/>
                <w:szCs w:val="24"/>
                <w:u w:val="none"/>
                <w:lang w:val="en-US" w:eastAsia="zh-CN"/>
              </w:rPr>
              <w:t>提供产品彩页</w:t>
            </w:r>
            <w:r>
              <w:rPr>
                <w:rFonts w:hint="eastAsia" w:ascii="仿宋" w:hAnsi="仿宋" w:eastAsia="仿宋" w:cs="仿宋"/>
                <w:i w:val="0"/>
                <w:iCs w:val="0"/>
                <w:color w:val="auto"/>
                <w:sz w:val="24"/>
                <w:szCs w:val="24"/>
                <w:u w:val="none"/>
                <w:lang w:eastAsia="zh-CN"/>
              </w:rPr>
              <w:t>）</w:t>
            </w:r>
          </w:p>
          <w:p w14:paraId="03DECD0C">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10.整机支持</w:t>
            </w:r>
            <w:r>
              <w:rPr>
                <w:rFonts w:hint="eastAsia" w:ascii="仿宋" w:hAnsi="仿宋" w:eastAsia="仿宋" w:cs="仿宋"/>
                <w:i w:val="0"/>
                <w:iCs w:val="0"/>
                <w:color w:val="auto"/>
                <w:sz w:val="24"/>
                <w:szCs w:val="24"/>
                <w:u w:val="none"/>
                <w:lang w:val="en-US" w:eastAsia="zh-CN"/>
              </w:rPr>
              <w:t>不低于</w:t>
            </w:r>
            <w:r>
              <w:rPr>
                <w:rFonts w:hint="eastAsia" w:ascii="仿宋" w:hAnsi="仿宋" w:eastAsia="仿宋" w:cs="仿宋"/>
                <w:i w:val="0"/>
                <w:iCs w:val="0"/>
                <w:color w:val="auto"/>
                <w:sz w:val="24"/>
                <w:szCs w:val="24"/>
                <w:u w:val="none"/>
              </w:rPr>
              <w:t>4种色温调节（</w:t>
            </w:r>
            <w:r>
              <w:rPr>
                <w:rFonts w:hint="eastAsia" w:ascii="仿宋" w:hAnsi="仿宋" w:eastAsia="仿宋" w:cs="仿宋"/>
                <w:i w:val="0"/>
                <w:iCs w:val="0"/>
                <w:color w:val="auto"/>
                <w:sz w:val="24"/>
                <w:szCs w:val="24"/>
                <w:u w:val="none"/>
                <w:lang w:val="en-US" w:eastAsia="zh-CN"/>
              </w:rPr>
              <w:t>例如</w:t>
            </w:r>
            <w:r>
              <w:rPr>
                <w:rFonts w:hint="eastAsia" w:ascii="仿宋" w:hAnsi="仿宋" w:eastAsia="仿宋" w:cs="仿宋"/>
                <w:i w:val="0"/>
                <w:iCs w:val="0"/>
                <w:color w:val="auto"/>
                <w:sz w:val="24"/>
                <w:szCs w:val="24"/>
                <w:u w:val="none"/>
              </w:rPr>
              <w:t>标准、用户、冷、暖），可根据所处环境选择合适的色温模式。</w:t>
            </w:r>
          </w:p>
          <w:p w14:paraId="156FD5DE">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11.整机兼容多种视频格式，包括VP9、HEVC/H.265、MPEG1/2、MPEG4、Sorenson H.263、H263、H.264、AVS、AVS+、AVS2、WMV3、VC1、Motion JPEG、VP8、RV30/RV40、AV1等。</w:t>
            </w:r>
          </w:p>
          <w:p w14:paraId="17E76855">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12.整机接口应满足：输入端口：USB≥2，HDMI IN≥1，RS232串口≥1, LAN IN≥1，MIC IN≥1,TF≥1,AV IN≥1，YPbPr≥1，LINE IN≥1,VGA IN≥1；输出端口：USB-TOUCH≥1，AV OUT≥1，LINE OUT≥1，COAX OUT≥1。</w:t>
            </w:r>
          </w:p>
          <w:p w14:paraId="5CCB88E3">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13.前置电源按键具备三键合一按钮，在开机状态下，短按电源键，弹出智慧电源键菜单，可做关机/关闭OPS/休眠操作，指示灯根据设备不同状态呈现白灯常亮/红灯常亮/红白闪烁；也可通过菜单设置为一键关机，同时关闭大屏与OPS。</w:t>
            </w:r>
          </w:p>
          <w:p w14:paraId="524055AE">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14.▲前置多功能、音量、电脑、电源、主页、亮度、多任务等不少于7个实体按键和1个针孔式系统还原按键，用户可根据需要通过多功能按键调用白板、录屏、护眼、计算器、投票、倒计时、设置等不少于24个功能，其中录屏功能可将课件、音频等内容与老师人声同步录制，方便制作教学视频。【提供具备CNAS或CMA认证的产品检测报告】</w:t>
            </w:r>
          </w:p>
          <w:p w14:paraId="14A06D7E">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15.整机具备</w:t>
            </w:r>
            <w:r>
              <w:rPr>
                <w:rFonts w:hint="eastAsia" w:ascii="仿宋" w:hAnsi="仿宋" w:eastAsia="仿宋" w:cs="仿宋"/>
                <w:i w:val="0"/>
                <w:iCs w:val="0"/>
                <w:color w:val="auto"/>
                <w:sz w:val="24"/>
                <w:szCs w:val="24"/>
                <w:u w:val="none"/>
                <w:lang w:val="en-US" w:eastAsia="zh-CN"/>
              </w:rPr>
              <w:t>不少于</w:t>
            </w:r>
            <w:r>
              <w:rPr>
                <w:rFonts w:hint="eastAsia" w:ascii="仿宋" w:hAnsi="仿宋" w:eastAsia="仿宋" w:cs="仿宋"/>
                <w:i w:val="0"/>
                <w:iCs w:val="0"/>
                <w:color w:val="auto"/>
                <w:sz w:val="24"/>
                <w:szCs w:val="24"/>
                <w:u w:val="none"/>
              </w:rPr>
              <w:t>1路后置双通道USB接口，具备Android、Windows双系统自适应、智能识别切换功能，无需用户手动设置或频繁插拔接线，无需占用前置USB接口；支持实物展台、无线智能笔、外置音响等常用设备在Android、Windows系统下调取，方便教学用户使用。</w:t>
            </w:r>
          </w:p>
          <w:p w14:paraId="10D1A74A">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16.整机具备TF卡槽接口，非外挂或转接式接口，不用拆机即可快速扩展系统存储空间，支持</w:t>
            </w:r>
            <w:r>
              <w:rPr>
                <w:rFonts w:hint="eastAsia" w:ascii="仿宋" w:hAnsi="仿宋" w:eastAsia="仿宋" w:cs="仿宋"/>
                <w:i w:val="0"/>
                <w:iCs w:val="0"/>
                <w:color w:val="auto"/>
                <w:sz w:val="24"/>
                <w:szCs w:val="24"/>
                <w:u w:val="none"/>
                <w:lang w:val="en-US" w:eastAsia="zh-CN"/>
              </w:rPr>
              <w:t>不低于</w:t>
            </w:r>
            <w:r>
              <w:rPr>
                <w:rFonts w:hint="eastAsia" w:ascii="仿宋" w:hAnsi="仿宋" w:eastAsia="仿宋" w:cs="仿宋"/>
                <w:i w:val="0"/>
                <w:iCs w:val="0"/>
                <w:color w:val="auto"/>
                <w:sz w:val="24"/>
                <w:szCs w:val="24"/>
                <w:u w:val="none"/>
              </w:rPr>
              <w:t>128G存储空间扩展。</w:t>
            </w:r>
          </w:p>
          <w:p w14:paraId="747F6627">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17.具有无线AP功能，为课堂教学提供稳定网络环境，方便数据有效传输，为互动课堂教学提供稳定、畅通、便捷的网络环境,工作距离最大可达30M ,可支持≥40 路用户接入，连上WIFI后支持生成二维码分享WIFI网络。</w:t>
            </w:r>
          </w:p>
          <w:p w14:paraId="54152FA5">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18.整机无线模块支持IEEE802.11a/b/g/n/ac协议，支持IEEE802.11i（WPA和WPA2)、WAP1，确保连接安全性，连上WIFI后支持生成二维码分享WIFI网络。</w:t>
            </w:r>
          </w:p>
          <w:p w14:paraId="27B7138C">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19.内置符合蓝牙5.0</w:t>
            </w:r>
            <w:r>
              <w:rPr>
                <w:rFonts w:hint="eastAsia" w:ascii="仿宋" w:hAnsi="仿宋" w:eastAsia="仿宋" w:cs="仿宋"/>
                <w:i w:val="0"/>
                <w:iCs w:val="0"/>
                <w:color w:val="auto"/>
                <w:sz w:val="24"/>
                <w:szCs w:val="24"/>
                <w:u w:val="none"/>
                <w:lang w:val="en-US" w:eastAsia="zh-CN"/>
              </w:rPr>
              <w:t>及以上版本</w:t>
            </w:r>
            <w:r>
              <w:rPr>
                <w:rFonts w:hint="eastAsia" w:ascii="仿宋" w:hAnsi="仿宋" w:eastAsia="仿宋" w:cs="仿宋"/>
                <w:i w:val="0"/>
                <w:iCs w:val="0"/>
                <w:color w:val="auto"/>
                <w:sz w:val="24"/>
                <w:szCs w:val="24"/>
                <w:u w:val="none"/>
              </w:rPr>
              <w:t>标准。整机支持主动发现蓝牙外设从而连接（无需整机进入发现模式）。手机可通过蓝牙连接智能交互平板，可以调用音箱进行音频播放，智能交互平板可通过蓝牙模块与蓝牙音箱连接，通过蓝牙音箱播放智能交互平板音频。支持智能交互平板与具有蓝牙功能的手机连接，进行文件传输，内置蓝牙模块工作距离≥12米。</w:t>
            </w:r>
          </w:p>
          <w:p w14:paraId="2C58E93B">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20.安卓系统下白板软件支持不少于3种类型的背景，颜色：支持不少于5种标准背景颜色，亦可自定义任意颜色作为背景，并支持预览自定义的颜色；线条：支持不少于6种线条背景；图片：支持不少于5种标准图片作为背景。</w:t>
            </w:r>
          </w:p>
          <w:p w14:paraId="4B72DD09">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21.▲安卓系统下白板软件支持三角形、正方形、多边形、直线、虚线、箭头等不少于11种常见图形或线条绘制，并可对图形或线条画笔大小、颜色、透明度进行调整。【提供</w:t>
            </w:r>
            <w:r>
              <w:rPr>
                <w:rFonts w:hint="eastAsia" w:ascii="仿宋" w:hAnsi="仿宋" w:eastAsia="仿宋" w:cs="仿宋"/>
                <w:i w:val="0"/>
                <w:iCs w:val="0"/>
                <w:color w:val="auto"/>
                <w:sz w:val="24"/>
                <w:szCs w:val="24"/>
                <w:u w:val="none"/>
                <w:lang w:val="en-US" w:eastAsia="zh-CN"/>
              </w:rPr>
              <w:t>国家认可的机构</w:t>
            </w:r>
            <w:r>
              <w:rPr>
                <w:rFonts w:hint="eastAsia" w:ascii="仿宋" w:hAnsi="仿宋" w:eastAsia="仿宋" w:cs="仿宋"/>
                <w:i w:val="0"/>
                <w:iCs w:val="0"/>
                <w:color w:val="auto"/>
                <w:sz w:val="24"/>
                <w:szCs w:val="24"/>
                <w:u w:val="none"/>
              </w:rPr>
              <w:t>出具的第三方检测报告】</w:t>
            </w:r>
          </w:p>
          <w:p w14:paraId="1C5AF742">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22.▲内置安卓嵌入式系统，Android≥11.0版本，具备</w:t>
            </w:r>
            <w:r>
              <w:rPr>
                <w:rFonts w:hint="eastAsia" w:ascii="仿宋" w:hAnsi="仿宋" w:eastAsia="仿宋" w:cs="仿宋"/>
                <w:i w:val="0"/>
                <w:iCs w:val="0"/>
                <w:color w:val="auto"/>
                <w:sz w:val="24"/>
                <w:szCs w:val="24"/>
                <w:u w:val="none"/>
                <w:lang w:val="en-US" w:eastAsia="zh-CN"/>
              </w:rPr>
              <w:t>不低于</w:t>
            </w:r>
            <w:r>
              <w:rPr>
                <w:rFonts w:hint="eastAsia" w:ascii="仿宋" w:hAnsi="仿宋" w:eastAsia="仿宋" w:cs="仿宋"/>
                <w:i w:val="0"/>
                <w:iCs w:val="0"/>
                <w:color w:val="auto"/>
                <w:sz w:val="24"/>
                <w:szCs w:val="24"/>
                <w:u w:val="none"/>
              </w:rPr>
              <w:t>四核CPU，</w:t>
            </w:r>
            <w:r>
              <w:rPr>
                <w:rFonts w:hint="eastAsia" w:ascii="仿宋" w:hAnsi="仿宋" w:eastAsia="仿宋" w:cs="仿宋"/>
                <w:i w:val="0"/>
                <w:iCs w:val="0"/>
                <w:color w:val="auto"/>
                <w:sz w:val="24"/>
                <w:szCs w:val="24"/>
                <w:u w:val="none"/>
                <w:lang w:val="en-US" w:eastAsia="zh-CN"/>
              </w:rPr>
              <w:t>不低于</w:t>
            </w:r>
            <w:r>
              <w:rPr>
                <w:rFonts w:hint="eastAsia" w:ascii="仿宋" w:hAnsi="仿宋" w:eastAsia="仿宋" w:cs="仿宋"/>
                <w:i w:val="0"/>
                <w:iCs w:val="0"/>
                <w:color w:val="auto"/>
                <w:sz w:val="24"/>
                <w:szCs w:val="24"/>
                <w:u w:val="none"/>
              </w:rPr>
              <w:t>两核GPU。机身内存≥16G ROM，运行内存≥2G RAM【提供</w:t>
            </w:r>
            <w:r>
              <w:rPr>
                <w:rFonts w:hint="eastAsia" w:ascii="仿宋" w:hAnsi="仿宋" w:eastAsia="仿宋" w:cs="仿宋"/>
                <w:i w:val="0"/>
                <w:iCs w:val="0"/>
                <w:color w:val="auto"/>
                <w:sz w:val="24"/>
                <w:szCs w:val="24"/>
                <w:u w:val="none"/>
                <w:lang w:val="en-US" w:eastAsia="zh-CN"/>
              </w:rPr>
              <w:t>国家认可的机构</w:t>
            </w:r>
            <w:r>
              <w:rPr>
                <w:rFonts w:hint="eastAsia" w:ascii="仿宋" w:hAnsi="仿宋" w:eastAsia="仿宋" w:cs="仿宋"/>
                <w:i w:val="0"/>
                <w:iCs w:val="0"/>
                <w:color w:val="auto"/>
                <w:sz w:val="24"/>
                <w:szCs w:val="24"/>
                <w:u w:val="none"/>
              </w:rPr>
              <w:t>出具的第三方检测报告】</w:t>
            </w:r>
          </w:p>
          <w:p w14:paraId="4DC4AE39">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23.支持</w:t>
            </w:r>
            <w:r>
              <w:rPr>
                <w:rFonts w:hint="eastAsia" w:ascii="仿宋" w:hAnsi="仿宋" w:eastAsia="仿宋" w:cs="仿宋"/>
                <w:i w:val="0"/>
                <w:iCs w:val="0"/>
                <w:color w:val="auto"/>
                <w:sz w:val="24"/>
                <w:szCs w:val="24"/>
                <w:u w:val="none"/>
                <w:lang w:val="en-US" w:eastAsia="zh-CN"/>
              </w:rPr>
              <w:t>不低于</w:t>
            </w:r>
            <w:r>
              <w:rPr>
                <w:rFonts w:hint="eastAsia" w:ascii="仿宋" w:hAnsi="仿宋" w:eastAsia="仿宋" w:cs="仿宋"/>
                <w:i w:val="0"/>
                <w:iCs w:val="0"/>
                <w:color w:val="auto"/>
                <w:sz w:val="24"/>
                <w:szCs w:val="24"/>
                <w:u w:val="none"/>
              </w:rPr>
              <w:t>4种图像模式（</w:t>
            </w:r>
            <w:r>
              <w:rPr>
                <w:rFonts w:hint="eastAsia" w:ascii="仿宋" w:hAnsi="仿宋" w:eastAsia="仿宋" w:cs="仿宋"/>
                <w:i w:val="0"/>
                <w:iCs w:val="0"/>
                <w:color w:val="auto"/>
                <w:sz w:val="24"/>
                <w:szCs w:val="24"/>
                <w:u w:val="none"/>
                <w:lang w:val="en-US" w:eastAsia="zh-CN"/>
              </w:rPr>
              <w:t>例如</w:t>
            </w:r>
            <w:r>
              <w:rPr>
                <w:rFonts w:hint="eastAsia" w:ascii="仿宋" w:hAnsi="仿宋" w:eastAsia="仿宋" w:cs="仿宋"/>
                <w:i w:val="0"/>
                <w:iCs w:val="0"/>
                <w:color w:val="auto"/>
                <w:sz w:val="24"/>
                <w:szCs w:val="24"/>
                <w:u w:val="none"/>
              </w:rPr>
              <w:t>用户、标准、明亮、柔和），在用户图像模式中支持对背光、亮度、对比度等</w:t>
            </w:r>
            <w:r>
              <w:rPr>
                <w:rFonts w:hint="eastAsia" w:ascii="仿宋" w:hAnsi="仿宋" w:eastAsia="仿宋" w:cs="仿宋"/>
                <w:i w:val="0"/>
                <w:iCs w:val="0"/>
                <w:color w:val="auto"/>
                <w:sz w:val="24"/>
                <w:szCs w:val="24"/>
                <w:u w:val="none"/>
                <w:lang w:val="en-US" w:eastAsia="zh-CN"/>
              </w:rPr>
              <w:t>不低于</w:t>
            </w:r>
            <w:r>
              <w:rPr>
                <w:rFonts w:hint="eastAsia" w:ascii="仿宋" w:hAnsi="仿宋" w:eastAsia="仿宋" w:cs="仿宋"/>
                <w:i w:val="0"/>
                <w:iCs w:val="0"/>
                <w:color w:val="auto"/>
                <w:sz w:val="24"/>
                <w:szCs w:val="24"/>
                <w:u w:val="none"/>
              </w:rPr>
              <w:t>7种图像要素进行修改。</w:t>
            </w:r>
          </w:p>
          <w:p w14:paraId="3D60A231">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24.当外接电脑连接设备时，外接电脑可直接读取插在整机上的 U 盘，并识别翻页笔、无线键鼠等 USB 通讯设备，调用整机内置的摄像头、麦克风、扬声器，实现在外接电脑时即可拍摄教室画面。</w:t>
            </w:r>
          </w:p>
          <w:p w14:paraId="49BD4654">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25.▲整机具备单独锁定接口、按键、遥控器、触控功能：</w:t>
            </w:r>
          </w:p>
          <w:p w14:paraId="7512951D">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①支持接口锁，插入U盘密钥，通过UI开关打开接口锁，可以禁用USB和信号源接口，再次插入U盘密钥，无需触摸点击，自动复位接口锁定UI开关到关闭状态；</w:t>
            </w:r>
          </w:p>
          <w:p w14:paraId="6E323C10">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②支持按键锁，插入U盘密钥，通过UI开关打开按键锁，可以禁用前置按键，再次插入U盘密钥，无需触摸点击，自动复位按键锁定UI开关到关闭状态；</w:t>
            </w:r>
          </w:p>
          <w:p w14:paraId="2C514878">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③支持遥控器锁，插入U盘密钥或输入权限密码，通过UI开关打开遥控器锁，可以禁用遥控器，再次插入U盘密钥，无需触摸点击，自动复位遥控器锁定UI开关到关闭状态，也可通过输入权限密码，UI开关关闭遥控器锁；</w:t>
            </w:r>
          </w:p>
          <w:p w14:paraId="0C370431">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④支持触控锁，插入U盘密钥或输入权限密码，通过UI开关打开触控锁，可以禁用触控，再次插入U盘密钥，无需触摸点击，自动复位触控锁定UI开关到关闭状态，也可通过输入权限密码，UI开关关闭触控锁；满足多种使用场景需要。【</w:t>
            </w:r>
            <w:r>
              <w:rPr>
                <w:rFonts w:hint="eastAsia" w:ascii="仿宋" w:hAnsi="仿宋" w:eastAsia="仿宋" w:cs="仿宋"/>
                <w:i w:val="0"/>
                <w:iCs w:val="0"/>
                <w:color w:val="auto"/>
                <w:sz w:val="24"/>
                <w:szCs w:val="24"/>
                <w:u w:val="none"/>
                <w:lang w:val="en-US" w:eastAsia="zh-CN"/>
              </w:rPr>
              <w:t>以上4项内容均需</w:t>
            </w:r>
            <w:r>
              <w:rPr>
                <w:rFonts w:hint="eastAsia" w:ascii="仿宋" w:hAnsi="仿宋" w:eastAsia="仿宋" w:cs="仿宋"/>
                <w:i w:val="0"/>
                <w:iCs w:val="0"/>
                <w:color w:val="auto"/>
                <w:sz w:val="24"/>
                <w:szCs w:val="24"/>
                <w:u w:val="none"/>
              </w:rPr>
              <w:t>提供具备CNAS或CMA认证的产品检测报告】</w:t>
            </w:r>
          </w:p>
          <w:p w14:paraId="22823A57">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26.▲整机支持在Android系统下通过软件还原、前置针孔按键还原、OPS上自带一键还原、键盘还原等不少于4种方式进行Windows系统还原操作。【提供</w:t>
            </w:r>
            <w:r>
              <w:rPr>
                <w:rFonts w:hint="eastAsia" w:ascii="仿宋" w:hAnsi="仿宋" w:eastAsia="仿宋" w:cs="仿宋"/>
                <w:i w:val="0"/>
                <w:iCs w:val="0"/>
                <w:color w:val="auto"/>
                <w:sz w:val="24"/>
                <w:szCs w:val="24"/>
                <w:u w:val="none"/>
                <w:lang w:val="en-US" w:eastAsia="zh-CN"/>
              </w:rPr>
              <w:t>国家认可的机构</w:t>
            </w:r>
            <w:r>
              <w:rPr>
                <w:rFonts w:hint="eastAsia" w:ascii="仿宋" w:hAnsi="仿宋" w:eastAsia="仿宋" w:cs="仿宋"/>
                <w:i w:val="0"/>
                <w:iCs w:val="0"/>
                <w:color w:val="auto"/>
                <w:sz w:val="24"/>
                <w:szCs w:val="24"/>
                <w:u w:val="none"/>
              </w:rPr>
              <w:t>出具的第三方检测报告】</w:t>
            </w:r>
          </w:p>
          <w:p w14:paraId="0D9AF107">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27.支持通道自动跳转功能，如整机处于正常使用状态，HDMI信号接入时，能自动识别并切换到对应的HDMI信号源通道，自动跳转前支持选择确认，待确认后再跳转。</w:t>
            </w:r>
          </w:p>
          <w:p w14:paraId="06F514BC">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28.支持外接信号输入时自动唤醒功能，整机处于关机通电状态，外接电脑显示信号通过HDMI传输线连接至整机时，整机可智能识别外接电脑设备信号输入并自动开机。</w:t>
            </w:r>
          </w:p>
          <w:p w14:paraId="7B73679E">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29.整机信号源通道支持用户自定义名称，可兼容中英文数字及标点符号输入。</w:t>
            </w:r>
          </w:p>
          <w:p w14:paraId="68B8A8FA">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30.支持网络唤醒功能，设备和个人电脑在同一局域网内，且设备连接网线状态下，使用个人电脑通过网络唤醒工具可将设备进行开机。</w:t>
            </w:r>
          </w:p>
          <w:p w14:paraId="0B3A48B7">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31.可一键调取自动关机、自动休眠，支持自动关机，指定时间内无操作，设备自动关机，用户可设置触发自动关机的时长：30分钟/60分钟/90分钟/120分钟；支持自动休眠，指定时间内无操作，设备自动休眠，用户可设置触发自动休眠的时长：1分钟/2分钟/3分钟/5分钟；可设置定时开关机时间。</w:t>
            </w:r>
          </w:p>
          <w:p w14:paraId="4B5A26D6">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32.单独听：五指长按进入熄屏状态下，可进行音频播放，有助于语音类教学学生精力更集中，可按键唤醒，五指长按触屏唤醒。</w:t>
            </w:r>
          </w:p>
          <w:p w14:paraId="63287CCC">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33.在任意通道下，可通过五指手势实现熄屏与唤醒功能，方便老师在课堂上提问、测验等场景应用。</w:t>
            </w:r>
          </w:p>
          <w:p w14:paraId="792402CB">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34.▲为最大限度保证显示及书写面积，设备无双侧边工具栏，可通过前置物理按键、两指长按屏幕、手势滑动</w:t>
            </w:r>
            <w:r>
              <w:rPr>
                <w:rFonts w:hint="eastAsia" w:ascii="仿宋" w:hAnsi="仿宋" w:eastAsia="仿宋" w:cs="仿宋"/>
                <w:i w:val="0"/>
                <w:iCs w:val="0"/>
                <w:color w:val="auto"/>
                <w:sz w:val="24"/>
                <w:szCs w:val="24"/>
                <w:u w:val="none"/>
                <w:lang w:val="en-US" w:eastAsia="zh-CN"/>
              </w:rPr>
              <w:t>等不低于</w:t>
            </w:r>
            <w:r>
              <w:rPr>
                <w:rFonts w:hint="eastAsia" w:ascii="仿宋" w:hAnsi="仿宋" w:eastAsia="仿宋" w:cs="仿宋"/>
                <w:i w:val="0"/>
                <w:iCs w:val="0"/>
                <w:color w:val="auto"/>
                <w:sz w:val="24"/>
                <w:szCs w:val="24"/>
                <w:u w:val="none"/>
              </w:rPr>
              <w:t>3种方式在任意通道下调出中控菜单</w:t>
            </w:r>
            <w:r>
              <w:rPr>
                <w:rFonts w:hint="eastAsia" w:ascii="仿宋" w:hAnsi="仿宋" w:eastAsia="仿宋" w:cs="仿宋"/>
                <w:i w:val="0"/>
                <w:iCs w:val="0"/>
                <w:color w:val="auto"/>
                <w:sz w:val="24"/>
                <w:szCs w:val="24"/>
                <w:u w:val="none"/>
                <w:lang w:eastAsia="zh-CN"/>
              </w:rPr>
              <w:t>。</w:t>
            </w:r>
            <w:r>
              <w:rPr>
                <w:rFonts w:hint="eastAsia" w:ascii="仿宋" w:hAnsi="仿宋" w:eastAsia="仿宋" w:cs="仿宋"/>
                <w:i w:val="0"/>
                <w:iCs w:val="0"/>
                <w:color w:val="auto"/>
                <w:sz w:val="24"/>
                <w:szCs w:val="24"/>
                <w:u w:val="none"/>
              </w:rPr>
              <w:t>【提供</w:t>
            </w:r>
            <w:r>
              <w:rPr>
                <w:rFonts w:hint="eastAsia" w:ascii="仿宋" w:hAnsi="仿宋" w:eastAsia="仿宋" w:cs="仿宋"/>
                <w:i w:val="0"/>
                <w:iCs w:val="0"/>
                <w:color w:val="auto"/>
                <w:sz w:val="24"/>
                <w:szCs w:val="24"/>
                <w:u w:val="none"/>
                <w:lang w:val="en-US" w:eastAsia="zh-CN"/>
              </w:rPr>
              <w:t>国家认可的机构</w:t>
            </w:r>
            <w:r>
              <w:rPr>
                <w:rFonts w:hint="eastAsia" w:ascii="仿宋" w:hAnsi="仿宋" w:eastAsia="仿宋" w:cs="仿宋"/>
                <w:i w:val="0"/>
                <w:iCs w:val="0"/>
                <w:color w:val="auto"/>
                <w:sz w:val="24"/>
                <w:szCs w:val="24"/>
                <w:u w:val="none"/>
              </w:rPr>
              <w:t>出具的第三方检测报告】</w:t>
            </w:r>
          </w:p>
          <w:p w14:paraId="329DE3F5">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35.▲支持用户一键启用/关闭信源跳转、悬浮菜单、信源唤醒、网络唤醒、触摸护眼、集控、自动关机、自动休眠等不少于9个功能</w:t>
            </w:r>
            <w:r>
              <w:rPr>
                <w:rFonts w:hint="eastAsia" w:ascii="仿宋" w:hAnsi="仿宋" w:eastAsia="仿宋" w:cs="仿宋"/>
                <w:i w:val="0"/>
                <w:iCs w:val="0"/>
                <w:color w:val="auto"/>
                <w:sz w:val="24"/>
                <w:szCs w:val="24"/>
                <w:u w:val="none"/>
                <w:lang w:eastAsia="zh-CN"/>
              </w:rPr>
              <w:t>。</w:t>
            </w:r>
            <w:r>
              <w:rPr>
                <w:rFonts w:hint="eastAsia" w:ascii="仿宋" w:hAnsi="仿宋" w:eastAsia="仿宋" w:cs="仿宋"/>
                <w:i w:val="0"/>
                <w:iCs w:val="0"/>
                <w:color w:val="auto"/>
                <w:sz w:val="24"/>
                <w:szCs w:val="24"/>
                <w:u w:val="none"/>
              </w:rPr>
              <w:t>【提供</w:t>
            </w:r>
            <w:r>
              <w:rPr>
                <w:rFonts w:hint="eastAsia" w:ascii="仿宋" w:hAnsi="仿宋" w:eastAsia="仿宋" w:cs="仿宋"/>
                <w:i w:val="0"/>
                <w:iCs w:val="0"/>
                <w:color w:val="auto"/>
                <w:sz w:val="24"/>
                <w:szCs w:val="24"/>
                <w:u w:val="none"/>
                <w:lang w:val="en-US" w:eastAsia="zh-CN"/>
              </w:rPr>
              <w:t>国家认可的机构</w:t>
            </w:r>
            <w:r>
              <w:rPr>
                <w:rFonts w:hint="eastAsia" w:ascii="仿宋" w:hAnsi="仿宋" w:eastAsia="仿宋" w:cs="仿宋"/>
                <w:i w:val="0"/>
                <w:iCs w:val="0"/>
                <w:color w:val="auto"/>
                <w:sz w:val="24"/>
                <w:szCs w:val="24"/>
                <w:u w:val="none"/>
              </w:rPr>
              <w:t>出具的第三方检测报告】</w:t>
            </w:r>
          </w:p>
          <w:p w14:paraId="2EFEDA32">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36.▲支持用户快速调用网络设置、投票器、计时器、截屏、无线投屏、录屏、互动课堂、设置、音量调节、亮度调节等不少于10个固定功能，并可自定义</w:t>
            </w:r>
            <w:r>
              <w:rPr>
                <w:rFonts w:hint="eastAsia" w:ascii="仿宋" w:hAnsi="仿宋" w:eastAsia="仿宋" w:cs="仿宋"/>
                <w:i w:val="0"/>
                <w:iCs w:val="0"/>
                <w:color w:val="auto"/>
                <w:sz w:val="24"/>
                <w:szCs w:val="24"/>
                <w:u w:val="none"/>
                <w:lang w:val="en-US" w:eastAsia="zh-CN"/>
              </w:rPr>
              <w:t>不少于</w:t>
            </w:r>
            <w:r>
              <w:rPr>
                <w:rFonts w:hint="eastAsia" w:ascii="仿宋" w:hAnsi="仿宋" w:eastAsia="仿宋" w:cs="仿宋"/>
                <w:i w:val="0"/>
                <w:iCs w:val="0"/>
                <w:color w:val="auto"/>
                <w:sz w:val="24"/>
                <w:szCs w:val="24"/>
                <w:u w:val="none"/>
              </w:rPr>
              <w:t>3个快捷功能，自定义功能可选择</w:t>
            </w:r>
            <w:r>
              <w:rPr>
                <w:rFonts w:hint="eastAsia" w:ascii="仿宋" w:hAnsi="仿宋" w:eastAsia="仿宋" w:cs="仿宋"/>
                <w:i w:val="0"/>
                <w:iCs w:val="0"/>
                <w:color w:val="auto"/>
                <w:sz w:val="24"/>
                <w:szCs w:val="24"/>
                <w:u w:val="none"/>
                <w:lang w:val="en-US" w:eastAsia="zh-CN"/>
              </w:rPr>
              <w:t>不少于</w:t>
            </w:r>
            <w:r>
              <w:rPr>
                <w:rFonts w:hint="eastAsia" w:ascii="仿宋" w:hAnsi="仿宋" w:eastAsia="仿宋" w:cs="仿宋"/>
                <w:i w:val="0"/>
                <w:iCs w:val="0"/>
                <w:color w:val="auto"/>
                <w:sz w:val="24"/>
                <w:szCs w:val="24"/>
                <w:u w:val="none"/>
              </w:rPr>
              <w:t>16种，支持一键清除自定义快捷键设置。【提供</w:t>
            </w:r>
            <w:r>
              <w:rPr>
                <w:rFonts w:hint="eastAsia" w:ascii="仿宋" w:hAnsi="仿宋" w:eastAsia="仿宋" w:cs="仿宋"/>
                <w:i w:val="0"/>
                <w:iCs w:val="0"/>
                <w:color w:val="auto"/>
                <w:sz w:val="24"/>
                <w:szCs w:val="24"/>
                <w:u w:val="none"/>
                <w:lang w:val="en-US" w:eastAsia="zh-CN"/>
              </w:rPr>
              <w:t>国家认可的机构</w:t>
            </w:r>
            <w:r>
              <w:rPr>
                <w:rFonts w:hint="eastAsia" w:ascii="仿宋" w:hAnsi="仿宋" w:eastAsia="仿宋" w:cs="仿宋"/>
                <w:i w:val="0"/>
                <w:iCs w:val="0"/>
                <w:color w:val="auto"/>
                <w:sz w:val="24"/>
                <w:szCs w:val="24"/>
                <w:u w:val="none"/>
              </w:rPr>
              <w:t>出具的第三方检测报告】</w:t>
            </w:r>
          </w:p>
          <w:p w14:paraId="33D7E6E2">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37.悬浮菜单：为方便走动式教学，支持在任意通道下通过两指连续敲击屏幕快速调出悬浮菜单，悬浮菜单包括主页、内置电脑、白板、多任务、返回、信号源、分屏、批注等不少于8个功能，并可在任意通道下通过两指连续敲击屏幕快速调用此悬浮菜单到屏幕任意位置，且悬浮菜单在使用完毕后会自动隐藏。</w:t>
            </w:r>
          </w:p>
          <w:p w14:paraId="41E7789D">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38.亮度调节：整机支持自动、节能、用户</w:t>
            </w:r>
            <w:r>
              <w:rPr>
                <w:rFonts w:hint="eastAsia" w:ascii="仿宋" w:hAnsi="仿宋" w:eastAsia="仿宋" w:cs="仿宋"/>
                <w:i w:val="0"/>
                <w:iCs w:val="0"/>
                <w:color w:val="auto"/>
                <w:sz w:val="24"/>
                <w:szCs w:val="24"/>
                <w:u w:val="none"/>
                <w:lang w:val="en-US" w:eastAsia="zh-CN"/>
              </w:rPr>
              <w:t>等不少于</w:t>
            </w:r>
            <w:r>
              <w:rPr>
                <w:rFonts w:hint="eastAsia" w:ascii="仿宋" w:hAnsi="仿宋" w:eastAsia="仿宋" w:cs="仿宋"/>
                <w:i w:val="0"/>
                <w:iCs w:val="0"/>
                <w:color w:val="auto"/>
                <w:sz w:val="24"/>
                <w:szCs w:val="24"/>
                <w:u w:val="none"/>
              </w:rPr>
              <w:t>3种亮度调节模式，在自动模式下，可根据外界环境光和显示内容的亮度变化自动调节背光亮度。</w:t>
            </w:r>
          </w:p>
          <w:p w14:paraId="23718A8A">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39.▲整机系统具备高清4K视频处理能力，4K 高清显示，使画面亮丽、清晰、流畅，保证显示效果；且具有自动优化运动图像功能,可有效解决图像抖动问题。【提供</w:t>
            </w:r>
            <w:r>
              <w:rPr>
                <w:rFonts w:hint="eastAsia" w:ascii="仿宋" w:hAnsi="仿宋" w:eastAsia="仿宋" w:cs="仿宋"/>
                <w:i w:val="0"/>
                <w:iCs w:val="0"/>
                <w:color w:val="auto"/>
                <w:sz w:val="24"/>
                <w:szCs w:val="24"/>
                <w:u w:val="none"/>
                <w:lang w:val="en-US" w:eastAsia="zh-CN"/>
              </w:rPr>
              <w:t>国家认可的机构</w:t>
            </w:r>
            <w:r>
              <w:rPr>
                <w:rFonts w:hint="eastAsia" w:ascii="仿宋" w:hAnsi="仿宋" w:eastAsia="仿宋" w:cs="仿宋"/>
                <w:i w:val="0"/>
                <w:iCs w:val="0"/>
                <w:color w:val="auto"/>
                <w:sz w:val="24"/>
                <w:szCs w:val="24"/>
                <w:u w:val="none"/>
              </w:rPr>
              <w:t>出具的第三方检测报告】</w:t>
            </w:r>
          </w:p>
          <w:p w14:paraId="7DF3EC29">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40.整机MTBF≥120000小时。</w:t>
            </w:r>
          </w:p>
          <w:p w14:paraId="2474EC19">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41.投屏发射器配套NFC模块，支持自带NFC功能的手机、平板通过触碰发射器，实现下载投屏软件，自动连接热点，自动打开投屏软件等功能；支持不少于4台手机、电脑同时投屏显示。</w:t>
            </w:r>
          </w:p>
          <w:p w14:paraId="45533D54">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42.投屏响应时间≤3ms，其它终端抢占当前投屏界面的响应时间≤2ms，在Windows和Mac OS系统下，支持</w:t>
            </w:r>
            <w:r>
              <w:rPr>
                <w:rFonts w:hint="eastAsia" w:ascii="仿宋" w:hAnsi="仿宋" w:eastAsia="仿宋" w:cs="仿宋"/>
                <w:i w:val="0"/>
                <w:iCs w:val="0"/>
                <w:color w:val="auto"/>
                <w:sz w:val="24"/>
                <w:szCs w:val="24"/>
                <w:u w:val="none"/>
                <w:lang w:val="en-US" w:eastAsia="zh-CN"/>
              </w:rPr>
              <w:t>不少于</w:t>
            </w:r>
            <w:r>
              <w:rPr>
                <w:rFonts w:hint="eastAsia" w:ascii="仿宋" w:hAnsi="仿宋" w:eastAsia="仿宋" w:cs="仿宋"/>
                <w:i w:val="0"/>
                <w:iCs w:val="0"/>
                <w:color w:val="auto"/>
                <w:sz w:val="24"/>
                <w:szCs w:val="24"/>
                <w:u w:val="none"/>
              </w:rPr>
              <w:t>10点的触摸反向控制功能。</w:t>
            </w:r>
          </w:p>
          <w:p w14:paraId="4F6B78A5">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43.▲预装安卓投屏APP，支持扫描二维码自动连接接收端热点。可设置分屏显示模式为单分屏、双分屏、四分屏，以满足不同数量设备投屏接入时的显示需求，支持将四分屏画面内其中一个画面一键全屏显示，以及一键从全屏显示切回四分屏。【提供</w:t>
            </w:r>
            <w:r>
              <w:rPr>
                <w:rFonts w:hint="eastAsia" w:ascii="仿宋" w:hAnsi="仿宋" w:eastAsia="仿宋" w:cs="仿宋"/>
                <w:i w:val="0"/>
                <w:iCs w:val="0"/>
                <w:color w:val="auto"/>
                <w:sz w:val="24"/>
                <w:szCs w:val="24"/>
                <w:u w:val="none"/>
                <w:lang w:val="en-US" w:eastAsia="zh-CN"/>
              </w:rPr>
              <w:t>国家认可的机构</w:t>
            </w:r>
            <w:r>
              <w:rPr>
                <w:rFonts w:hint="eastAsia" w:ascii="仿宋" w:hAnsi="仿宋" w:eastAsia="仿宋" w:cs="仿宋"/>
                <w:i w:val="0"/>
                <w:iCs w:val="0"/>
                <w:color w:val="auto"/>
                <w:sz w:val="24"/>
                <w:szCs w:val="24"/>
                <w:u w:val="none"/>
              </w:rPr>
              <w:t>出具的第三方检测报告】</w:t>
            </w:r>
          </w:p>
          <w:p w14:paraId="2505B9B3">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44.▲投屏时APP上可以进行中控操作，控制连接设备的投屏和退出，可锁定某台投屏设备禁止抢占，可转移控制权限。支持主讲模式、锁定模式、竖屏模式、主控投屏器、混合投屏码，跨网段投屏。【提供</w:t>
            </w:r>
            <w:r>
              <w:rPr>
                <w:rFonts w:hint="eastAsia" w:ascii="仿宋" w:hAnsi="仿宋" w:eastAsia="仿宋" w:cs="仿宋"/>
                <w:i w:val="0"/>
                <w:iCs w:val="0"/>
                <w:color w:val="auto"/>
                <w:sz w:val="24"/>
                <w:szCs w:val="24"/>
                <w:u w:val="none"/>
                <w:lang w:val="en-US" w:eastAsia="zh-CN"/>
              </w:rPr>
              <w:t>国家认可的机构</w:t>
            </w:r>
            <w:r>
              <w:rPr>
                <w:rFonts w:hint="eastAsia" w:ascii="仿宋" w:hAnsi="仿宋" w:eastAsia="仿宋" w:cs="仿宋"/>
                <w:i w:val="0"/>
                <w:iCs w:val="0"/>
                <w:color w:val="auto"/>
                <w:sz w:val="24"/>
                <w:szCs w:val="24"/>
                <w:u w:val="none"/>
              </w:rPr>
              <w:t>出具的第三方检测报告】</w:t>
            </w:r>
          </w:p>
          <w:p w14:paraId="70732A55">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45.▲安卓白板软件具有计算机软件著作权登记证书。</w:t>
            </w:r>
          </w:p>
          <w:p w14:paraId="1924DE68">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二、内置电脑配置：</w:t>
            </w:r>
          </w:p>
          <w:p w14:paraId="24CAB017">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1.一体机采用抽拉式模块化电脑，采用标准 JAE-80PIN 连接器件模块化设计，标准80针接口，外部无任何连线，支持快速拆卸。</w:t>
            </w:r>
          </w:p>
          <w:p w14:paraId="4520187A">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2.CPU：≥ INTEL I5；内存：≥8G；固态硬盘：≥256G；内置WIFI模块。</w:t>
            </w:r>
          </w:p>
          <w:p w14:paraId="0B2D5ADA">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3.支持 windows系统具备一键还原功能，含有防盗锁控。</w:t>
            </w:r>
          </w:p>
          <w:p w14:paraId="42871FDC">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4.电脑MTBF≥120000小时。</w:t>
            </w:r>
          </w:p>
          <w:p w14:paraId="340F0B49">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5.独立非外扩展接口：</w:t>
            </w:r>
            <w:r>
              <w:rPr>
                <w:rFonts w:hint="eastAsia" w:ascii="仿宋" w:hAnsi="仿宋" w:eastAsia="仿宋" w:cs="仿宋"/>
                <w:i w:val="0"/>
                <w:iCs w:val="0"/>
                <w:color w:val="auto"/>
                <w:sz w:val="24"/>
                <w:szCs w:val="24"/>
                <w:u w:val="none"/>
                <w:lang w:val="en-US" w:eastAsia="zh-CN"/>
              </w:rPr>
              <w:t>不少于</w:t>
            </w:r>
            <w:r>
              <w:rPr>
                <w:rFonts w:hint="eastAsia" w:ascii="仿宋" w:hAnsi="仿宋" w:eastAsia="仿宋" w:cs="仿宋"/>
                <w:i w:val="0"/>
                <w:iCs w:val="0"/>
                <w:color w:val="auto"/>
                <w:sz w:val="24"/>
                <w:szCs w:val="24"/>
                <w:u w:val="none"/>
              </w:rPr>
              <w:t>1路VGA，1路HDMI，6路USB（其中USB3.0≥2），1路RJ45。</w:t>
            </w:r>
          </w:p>
          <w:p w14:paraId="78A8D395">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6.拔插式电脑模块具备断电保护功能，当电脑意外断电重启后，操作系统等软件程序不丢失，可以自动恢复；当拔插式电脑模块与整机未接触到位时，整机不会为拔插式电脑模块供电。</w:t>
            </w:r>
          </w:p>
          <w:p w14:paraId="2B36906E">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rPr>
              <w:t>7.PC模块支持不断电情况下热插拔，以便快速维护或替换模块。</w:t>
            </w:r>
          </w:p>
        </w:tc>
      </w:tr>
      <w:tr w14:paraId="4D6D8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75ECA1A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c>
          <w:tcPr>
            <w:tcW w:w="1778" w:type="dxa"/>
            <w:tcBorders>
              <w:top w:val="single" w:color="000000" w:sz="4" w:space="0"/>
              <w:left w:val="single" w:color="000000" w:sz="4" w:space="0"/>
              <w:bottom w:val="single" w:color="000000" w:sz="4" w:space="0"/>
              <w:right w:val="single" w:color="000000" w:sz="4" w:space="0"/>
            </w:tcBorders>
            <w:noWrap/>
            <w:vAlign w:val="center"/>
          </w:tcPr>
          <w:p w14:paraId="5DA82BA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OPS升级</w:t>
            </w:r>
          </w:p>
        </w:tc>
        <w:tc>
          <w:tcPr>
            <w:tcW w:w="6775" w:type="dxa"/>
            <w:tcBorders>
              <w:top w:val="single" w:color="000000" w:sz="4" w:space="0"/>
              <w:left w:val="single" w:color="000000" w:sz="4" w:space="0"/>
              <w:bottom w:val="single" w:color="000000" w:sz="4" w:space="0"/>
              <w:right w:val="single" w:color="000000" w:sz="4" w:space="0"/>
            </w:tcBorders>
            <w:noWrap w:val="0"/>
            <w:vAlign w:val="center"/>
          </w:tcPr>
          <w:p w14:paraId="32A6BE52">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处理器</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不低于8 核 12 线程，最大睿频不低于3.3GHz，L2缓存不低于2MB，L3缓存不低于12MB。</w:t>
            </w:r>
            <w:r>
              <w:rPr>
                <w:rFonts w:hint="eastAsia" w:ascii="仿宋" w:hAnsi="仿宋" w:eastAsia="仿宋" w:cs="仿宋"/>
                <w:i w:val="0"/>
                <w:iCs w:val="0"/>
                <w:color w:val="auto"/>
                <w:kern w:val="0"/>
                <w:sz w:val="24"/>
                <w:szCs w:val="24"/>
                <w:u w:val="none"/>
                <w:lang w:val="en-US" w:eastAsia="zh-CN" w:bidi="ar"/>
              </w:rPr>
              <w:t xml:space="preserve">             </w:t>
            </w:r>
          </w:p>
          <w:p w14:paraId="1E947A72">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 xml:space="preserve">内存：不低于16GB                                  </w:t>
            </w:r>
          </w:p>
          <w:p w14:paraId="31868DDF">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固态硬盘：不低于512G</w:t>
            </w:r>
          </w:p>
        </w:tc>
      </w:tr>
      <w:tr w14:paraId="42EEE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716018A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w:t>
            </w:r>
          </w:p>
        </w:tc>
        <w:tc>
          <w:tcPr>
            <w:tcW w:w="1778" w:type="dxa"/>
            <w:tcBorders>
              <w:top w:val="single" w:color="000000" w:sz="4" w:space="0"/>
              <w:left w:val="single" w:color="000000" w:sz="4" w:space="0"/>
              <w:bottom w:val="single" w:color="000000" w:sz="4" w:space="0"/>
              <w:right w:val="single" w:color="000000" w:sz="4" w:space="0"/>
            </w:tcBorders>
            <w:noWrap/>
            <w:vAlign w:val="center"/>
          </w:tcPr>
          <w:p w14:paraId="6E57434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USB高拍仪</w:t>
            </w:r>
          </w:p>
        </w:tc>
        <w:tc>
          <w:tcPr>
            <w:tcW w:w="6775" w:type="dxa"/>
            <w:tcBorders>
              <w:top w:val="single" w:color="000000" w:sz="4" w:space="0"/>
              <w:left w:val="single" w:color="000000" w:sz="4" w:space="0"/>
              <w:bottom w:val="single" w:color="000000" w:sz="4" w:space="0"/>
              <w:right w:val="single" w:color="000000" w:sz="4" w:space="0"/>
            </w:tcBorders>
            <w:noWrap w:val="0"/>
            <w:vAlign w:val="center"/>
          </w:tcPr>
          <w:p w14:paraId="75EC13E3">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不低于800像素，A4版面；分辨率不低于4K；连接方式USB；清晰度不低于4K</w:t>
            </w:r>
          </w:p>
        </w:tc>
      </w:tr>
    </w:tbl>
    <w:p w14:paraId="5C520BED">
      <w:pPr>
        <w:bidi w:val="0"/>
      </w:pPr>
    </w:p>
    <w:bookmarkEnd w:id="9"/>
    <w:p w14:paraId="6024F95C">
      <w:pPr>
        <w:pStyle w:val="3"/>
        <w:ind w:firstLine="602"/>
        <w:rPr>
          <w:rFonts w:hint="eastAsia" w:eastAsia="宋体"/>
          <w:color w:val="auto"/>
          <w:lang w:eastAsia="zh-CN"/>
        </w:rPr>
      </w:pPr>
      <w:bookmarkStart w:id="10" w:name="_Toc2413"/>
      <w:bookmarkStart w:id="11" w:name="_Toc432753211"/>
      <w:r>
        <w:rPr>
          <w:rFonts w:hint="eastAsia"/>
          <w:color w:val="auto"/>
          <w:sz w:val="30"/>
          <w:szCs w:val="30"/>
          <w:lang w:eastAsia="zh-CN"/>
        </w:rPr>
        <w:t>三</w:t>
      </w:r>
      <w:r>
        <w:rPr>
          <w:rFonts w:hint="eastAsia"/>
          <w:color w:val="auto"/>
          <w:sz w:val="30"/>
          <w:szCs w:val="30"/>
        </w:rPr>
        <w:t>、商务要求</w:t>
      </w:r>
      <w:bookmarkEnd w:id="10"/>
    </w:p>
    <w:bookmarkEnd w:id="11"/>
    <w:tbl>
      <w:tblPr>
        <w:tblStyle w:val="23"/>
        <w:tblpPr w:leftFromText="180" w:rightFromText="180" w:vertAnchor="text" w:horzAnchor="page" w:tblpX="1421" w:tblpY="135"/>
        <w:tblOverlap w:val="never"/>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80"/>
        <w:gridCol w:w="1794"/>
        <w:gridCol w:w="5895"/>
        <w:gridCol w:w="1549"/>
      </w:tblGrid>
      <w:tr w14:paraId="4364D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518" w:hRule="atLeast"/>
          <w:tblHeader/>
        </w:trPr>
        <w:tc>
          <w:tcPr>
            <w:tcW w:w="435" w:type="pct"/>
            <w:shd w:val="clear" w:color="auto" w:fill="auto"/>
            <w:vAlign w:val="center"/>
          </w:tcPr>
          <w:p w14:paraId="651CE9B7">
            <w:pPr>
              <w:keepNext w:val="0"/>
              <w:keepLines w:val="0"/>
              <w:pageBreakBefore w:val="0"/>
              <w:widowControl/>
              <w:tabs>
                <w:tab w:val="left" w:pos="0"/>
              </w:tabs>
              <w:kinsoku/>
              <w:wordWrap/>
              <w:overflowPunct/>
              <w:topLinePunct w:val="0"/>
              <w:autoSpaceDE/>
              <w:autoSpaceDN/>
              <w:bidi w:val="0"/>
              <w:adjustRightInd/>
              <w:snapToGrid/>
              <w:spacing w:line="360" w:lineRule="exact"/>
              <w:ind w:right="-78" w:rightChars="-37" w:firstLine="0" w:firstLineChars="0"/>
              <w:jc w:val="center"/>
              <w:textAlignment w:val="auto"/>
              <w:rPr>
                <w:rFonts w:ascii="宋体" w:hAnsi="宋体" w:cs="宋体"/>
                <w:b/>
                <w:sz w:val="21"/>
                <w:szCs w:val="21"/>
                <w:highlight w:val="none"/>
              </w:rPr>
            </w:pPr>
            <w:bookmarkStart w:id="12" w:name="_Toc1458937"/>
            <w:r>
              <w:rPr>
                <w:rFonts w:hint="eastAsia" w:ascii="宋体" w:hAnsi="宋体" w:cs="宋体"/>
                <w:b/>
                <w:sz w:val="21"/>
                <w:szCs w:val="21"/>
                <w:highlight w:val="none"/>
              </w:rPr>
              <w:t>序号</w:t>
            </w:r>
          </w:p>
        </w:tc>
        <w:tc>
          <w:tcPr>
            <w:tcW w:w="886" w:type="pct"/>
            <w:shd w:val="clear" w:color="auto" w:fill="auto"/>
            <w:vAlign w:val="center"/>
          </w:tcPr>
          <w:p w14:paraId="263FB7A2">
            <w:pPr>
              <w:tabs>
                <w:tab w:val="left" w:pos="0"/>
              </w:tabs>
              <w:spacing w:line="360" w:lineRule="exact"/>
              <w:ind w:firstLine="0" w:firstLineChars="0"/>
              <w:jc w:val="center"/>
              <w:rPr>
                <w:rFonts w:ascii="宋体" w:hAnsi="宋体" w:cs="宋体"/>
                <w:b/>
                <w:kern w:val="0"/>
                <w:sz w:val="21"/>
                <w:szCs w:val="21"/>
                <w:highlight w:val="none"/>
              </w:rPr>
            </w:pPr>
            <w:r>
              <w:rPr>
                <w:rFonts w:hint="eastAsia" w:ascii="宋体" w:hAnsi="宋体" w:cs="宋体"/>
                <w:b/>
                <w:kern w:val="0"/>
                <w:sz w:val="21"/>
                <w:szCs w:val="21"/>
                <w:highlight w:val="none"/>
              </w:rPr>
              <w:t>商务条款</w:t>
            </w:r>
          </w:p>
        </w:tc>
        <w:tc>
          <w:tcPr>
            <w:tcW w:w="2912" w:type="pct"/>
            <w:shd w:val="clear" w:color="auto" w:fill="auto"/>
            <w:vAlign w:val="center"/>
          </w:tcPr>
          <w:p w14:paraId="030AA8B9">
            <w:pPr>
              <w:tabs>
                <w:tab w:val="left" w:pos="0"/>
              </w:tabs>
              <w:spacing w:line="360" w:lineRule="exact"/>
              <w:ind w:left="-92" w:leftChars="-44" w:right="-78" w:rightChars="-37" w:firstLine="482"/>
              <w:jc w:val="center"/>
              <w:rPr>
                <w:rFonts w:ascii="宋体" w:hAnsi="宋体" w:cs="宋体"/>
                <w:b/>
                <w:sz w:val="21"/>
                <w:szCs w:val="21"/>
                <w:highlight w:val="none"/>
              </w:rPr>
            </w:pPr>
            <w:r>
              <w:rPr>
                <w:rFonts w:hint="eastAsia" w:ascii="宋体" w:hAnsi="宋体" w:cs="宋体"/>
                <w:b/>
                <w:sz w:val="21"/>
                <w:szCs w:val="21"/>
                <w:highlight w:val="none"/>
              </w:rPr>
              <w:t>内    容</w:t>
            </w:r>
          </w:p>
        </w:tc>
        <w:tc>
          <w:tcPr>
            <w:tcW w:w="765" w:type="pct"/>
            <w:shd w:val="clear" w:color="auto" w:fill="auto"/>
            <w:vAlign w:val="center"/>
          </w:tcPr>
          <w:p w14:paraId="1A21FB03">
            <w:pPr>
              <w:tabs>
                <w:tab w:val="left" w:pos="0"/>
              </w:tabs>
              <w:spacing w:line="360" w:lineRule="exact"/>
              <w:ind w:right="-107" w:rightChars="-51" w:firstLine="0" w:firstLineChars="0"/>
              <w:jc w:val="center"/>
              <w:rPr>
                <w:rFonts w:ascii="宋体" w:hAnsi="宋体" w:cs="宋体"/>
                <w:b/>
                <w:sz w:val="21"/>
                <w:szCs w:val="21"/>
                <w:highlight w:val="none"/>
              </w:rPr>
            </w:pPr>
            <w:r>
              <w:rPr>
                <w:rFonts w:hint="eastAsia" w:ascii="宋体" w:hAnsi="宋体" w:cs="宋体"/>
                <w:b/>
                <w:sz w:val="21"/>
                <w:szCs w:val="21"/>
                <w:highlight w:val="none"/>
              </w:rPr>
              <w:t>备注</w:t>
            </w:r>
          </w:p>
        </w:tc>
      </w:tr>
      <w:tr w14:paraId="591D6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trPr>
        <w:tc>
          <w:tcPr>
            <w:tcW w:w="435" w:type="pct"/>
            <w:shd w:val="clear" w:color="auto" w:fill="auto"/>
            <w:vAlign w:val="center"/>
          </w:tcPr>
          <w:p w14:paraId="5667FDEB">
            <w:pPr>
              <w:keepNext w:val="0"/>
              <w:keepLines w:val="0"/>
              <w:pageBreakBefore w:val="0"/>
              <w:widowControl/>
              <w:tabs>
                <w:tab w:val="left" w:pos="102"/>
              </w:tabs>
              <w:kinsoku/>
              <w:wordWrap/>
              <w:overflowPunct/>
              <w:topLinePunct w:val="0"/>
              <w:autoSpaceDE/>
              <w:autoSpaceDN/>
              <w:bidi w:val="0"/>
              <w:adjustRightInd/>
              <w:snapToGrid/>
              <w:spacing w:line="280" w:lineRule="exact"/>
              <w:ind w:right="-65" w:rightChars="-31" w:firstLine="0" w:firstLineChars="0"/>
              <w:jc w:val="center"/>
              <w:textAlignment w:val="auto"/>
              <w:rPr>
                <w:rFonts w:hint="default" w:ascii="宋体" w:hAnsi="宋体" w:eastAsia="宋体" w:cs="宋体"/>
                <w:b/>
                <w:sz w:val="21"/>
                <w:szCs w:val="21"/>
                <w:highlight w:val="none"/>
                <w:lang w:val="en-US" w:eastAsia="zh-CN"/>
              </w:rPr>
            </w:pPr>
            <w:r>
              <w:rPr>
                <w:rFonts w:hint="eastAsia" w:ascii="宋体" w:hAnsi="宋体" w:cs="宋体"/>
                <w:b/>
                <w:sz w:val="21"/>
                <w:szCs w:val="21"/>
                <w:highlight w:val="none"/>
                <w:lang w:val="en-US" w:eastAsia="zh-CN"/>
              </w:rPr>
              <w:t>1</w:t>
            </w:r>
          </w:p>
        </w:tc>
        <w:tc>
          <w:tcPr>
            <w:tcW w:w="886" w:type="pct"/>
            <w:shd w:val="clear" w:color="auto" w:fill="auto"/>
            <w:vAlign w:val="center"/>
          </w:tcPr>
          <w:p w14:paraId="11A8839A">
            <w:pPr>
              <w:tabs>
                <w:tab w:val="left" w:pos="0"/>
              </w:tabs>
              <w:spacing w:line="360" w:lineRule="exact"/>
              <w:ind w:firstLine="0" w:firstLineChars="0"/>
              <w:jc w:val="center"/>
              <w:rPr>
                <w:rFonts w:ascii="宋体" w:hAnsi="宋体" w:cs="宋体"/>
                <w:b/>
                <w:sz w:val="21"/>
                <w:szCs w:val="21"/>
                <w:highlight w:val="none"/>
              </w:rPr>
            </w:pPr>
            <w:r>
              <w:rPr>
                <w:rFonts w:ascii="宋体" w:hAnsi="宋体" w:cs="宋体"/>
                <w:b/>
                <w:sz w:val="21"/>
                <w:szCs w:val="21"/>
                <w:highlight w:val="none"/>
              </w:rPr>
              <w:t>交货期</w:t>
            </w:r>
          </w:p>
        </w:tc>
        <w:tc>
          <w:tcPr>
            <w:tcW w:w="2912" w:type="pct"/>
            <w:shd w:val="clear" w:color="auto" w:fill="auto"/>
            <w:vAlign w:val="center"/>
          </w:tcPr>
          <w:p w14:paraId="15CA3548">
            <w:pPr>
              <w:tabs>
                <w:tab w:val="left" w:pos="0"/>
              </w:tabs>
              <w:ind w:left="0" w:leftChars="0" w:firstLine="0" w:firstLineChars="0"/>
              <w:jc w:val="both"/>
              <w:rPr>
                <w:rFonts w:hint="eastAsia" w:ascii="宋体" w:hAnsi="宋体" w:eastAsia="宋体" w:cs="宋体"/>
                <w:color w:val="FF0000"/>
                <w:sz w:val="21"/>
                <w:szCs w:val="21"/>
                <w:highlight w:val="none"/>
                <w:lang w:val="en-US" w:eastAsia="zh-CN"/>
              </w:rPr>
            </w:pPr>
            <w:r>
              <w:rPr>
                <w:rFonts w:hint="eastAsia" w:ascii="宋体" w:hAnsi="宋体" w:eastAsia="宋体" w:cs="宋体"/>
                <w:color w:val="000000"/>
                <w:kern w:val="0"/>
                <w:sz w:val="21"/>
                <w:szCs w:val="21"/>
                <w:highlight w:val="none"/>
              </w:rPr>
              <w:t>合同签订之日起30 个日历天内完成供货及安装、调试。</w:t>
            </w:r>
          </w:p>
        </w:tc>
        <w:tc>
          <w:tcPr>
            <w:tcW w:w="765" w:type="pct"/>
            <w:shd w:val="clear" w:color="auto" w:fill="auto"/>
            <w:vAlign w:val="center"/>
          </w:tcPr>
          <w:p w14:paraId="33BA6172">
            <w:pPr>
              <w:tabs>
                <w:tab w:val="left" w:pos="0"/>
              </w:tabs>
              <w:spacing w:line="360" w:lineRule="exact"/>
              <w:ind w:left="-107" w:leftChars="-51" w:right="-107" w:rightChars="-51" w:firstLine="482"/>
              <w:jc w:val="center"/>
              <w:rPr>
                <w:rFonts w:ascii="宋体" w:hAnsi="宋体" w:cs="宋体"/>
                <w:b/>
                <w:sz w:val="21"/>
                <w:szCs w:val="21"/>
                <w:highlight w:val="none"/>
              </w:rPr>
            </w:pPr>
          </w:p>
        </w:tc>
      </w:tr>
      <w:tr w14:paraId="47E8D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33" w:hRule="atLeast"/>
        </w:trPr>
        <w:tc>
          <w:tcPr>
            <w:tcW w:w="435" w:type="pct"/>
            <w:shd w:val="clear" w:color="auto" w:fill="auto"/>
            <w:vAlign w:val="center"/>
          </w:tcPr>
          <w:p w14:paraId="44C336F8">
            <w:pPr>
              <w:keepNext w:val="0"/>
              <w:keepLines w:val="0"/>
              <w:pageBreakBefore w:val="0"/>
              <w:widowControl/>
              <w:tabs>
                <w:tab w:val="left" w:pos="102"/>
              </w:tabs>
              <w:kinsoku/>
              <w:wordWrap/>
              <w:overflowPunct/>
              <w:topLinePunct w:val="0"/>
              <w:autoSpaceDE/>
              <w:autoSpaceDN/>
              <w:bidi w:val="0"/>
              <w:adjustRightInd/>
              <w:snapToGrid/>
              <w:spacing w:line="280" w:lineRule="exact"/>
              <w:ind w:right="-65" w:rightChars="-31" w:firstLine="0" w:firstLineChars="0"/>
              <w:jc w:val="center"/>
              <w:textAlignment w:val="auto"/>
              <w:rPr>
                <w:rFonts w:hint="eastAsia" w:ascii="宋体" w:hAnsi="宋体" w:eastAsia="宋体" w:cs="宋体"/>
                <w:b/>
                <w:sz w:val="21"/>
                <w:szCs w:val="21"/>
                <w:highlight w:val="none"/>
                <w:lang w:eastAsia="zh-CN"/>
              </w:rPr>
            </w:pPr>
            <w:r>
              <w:rPr>
                <w:rFonts w:hint="eastAsia" w:ascii="宋体" w:hAnsi="宋体" w:cs="宋体"/>
                <w:b/>
                <w:sz w:val="21"/>
                <w:szCs w:val="21"/>
                <w:highlight w:val="none"/>
                <w:lang w:val="en-US" w:eastAsia="zh-CN"/>
              </w:rPr>
              <w:t>2</w:t>
            </w:r>
          </w:p>
        </w:tc>
        <w:tc>
          <w:tcPr>
            <w:tcW w:w="886" w:type="pct"/>
            <w:shd w:val="clear" w:color="auto" w:fill="auto"/>
            <w:vAlign w:val="center"/>
          </w:tcPr>
          <w:p w14:paraId="289428E8">
            <w:pPr>
              <w:tabs>
                <w:tab w:val="left" w:pos="0"/>
              </w:tabs>
              <w:ind w:right="-78" w:rightChars="-37" w:firstLine="0" w:firstLineChars="0"/>
              <w:jc w:val="center"/>
              <w:rPr>
                <w:rFonts w:ascii="宋体" w:hAnsi="宋体" w:cs="宋体"/>
                <w:b/>
                <w:sz w:val="21"/>
                <w:szCs w:val="21"/>
                <w:highlight w:val="none"/>
              </w:rPr>
            </w:pPr>
            <w:r>
              <w:rPr>
                <w:rFonts w:hint="eastAsia" w:ascii="宋体" w:hAnsi="宋体" w:cs="宋体"/>
                <w:b/>
                <w:sz w:val="21"/>
                <w:szCs w:val="21"/>
                <w:highlight w:val="none"/>
              </w:rPr>
              <w:t>质保期</w:t>
            </w:r>
          </w:p>
        </w:tc>
        <w:tc>
          <w:tcPr>
            <w:tcW w:w="2912" w:type="pct"/>
            <w:shd w:val="clear" w:color="auto" w:fill="auto"/>
            <w:vAlign w:val="center"/>
          </w:tcPr>
          <w:p w14:paraId="403B5BCC">
            <w:pPr>
              <w:tabs>
                <w:tab w:val="left" w:pos="0"/>
              </w:tabs>
              <w:ind w:left="0" w:leftChars="0" w:firstLine="0" w:firstLineChars="0"/>
              <w:jc w:val="both"/>
              <w:rPr>
                <w:rFonts w:hint="default" w:ascii="宋体" w:hAnsi="宋体" w:cs="宋体" w:eastAsiaTheme="minorEastAsia"/>
                <w:color w:val="FF0000"/>
                <w:sz w:val="21"/>
                <w:szCs w:val="21"/>
                <w:highlight w:val="none"/>
                <w:lang w:val="en-US" w:eastAsia="zh-Hans"/>
              </w:rPr>
            </w:pPr>
            <w:r>
              <w:rPr>
                <w:rFonts w:hint="eastAsia" w:ascii="宋体" w:hAnsi="宋体" w:cs="宋体"/>
                <w:color w:val="000000"/>
                <w:kern w:val="0"/>
                <w:sz w:val="21"/>
                <w:szCs w:val="21"/>
                <w:highlight w:val="none"/>
                <w:lang w:val="en-US" w:eastAsia="zh-CN"/>
              </w:rPr>
              <w:t>三年</w:t>
            </w:r>
          </w:p>
        </w:tc>
        <w:tc>
          <w:tcPr>
            <w:tcW w:w="765" w:type="pct"/>
            <w:shd w:val="clear" w:color="auto" w:fill="auto"/>
            <w:vAlign w:val="center"/>
          </w:tcPr>
          <w:p w14:paraId="679D9506">
            <w:pPr>
              <w:tabs>
                <w:tab w:val="left" w:pos="0"/>
              </w:tabs>
              <w:spacing w:line="360" w:lineRule="exact"/>
              <w:ind w:left="-107" w:leftChars="-51" w:right="-107" w:rightChars="-51" w:firstLine="482"/>
              <w:jc w:val="center"/>
              <w:rPr>
                <w:rFonts w:ascii="宋体" w:hAnsi="宋体" w:cs="宋体"/>
                <w:b/>
                <w:sz w:val="21"/>
                <w:szCs w:val="21"/>
                <w:highlight w:val="none"/>
              </w:rPr>
            </w:pPr>
          </w:p>
        </w:tc>
      </w:tr>
      <w:tr w14:paraId="3ECE8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8" w:hRule="atLeast"/>
        </w:trPr>
        <w:tc>
          <w:tcPr>
            <w:tcW w:w="435" w:type="pct"/>
            <w:shd w:val="clear" w:color="auto" w:fill="auto"/>
            <w:vAlign w:val="center"/>
          </w:tcPr>
          <w:p w14:paraId="11D91A3E">
            <w:pPr>
              <w:keepNext w:val="0"/>
              <w:keepLines w:val="0"/>
              <w:pageBreakBefore w:val="0"/>
              <w:widowControl/>
              <w:tabs>
                <w:tab w:val="left" w:pos="102"/>
              </w:tabs>
              <w:kinsoku/>
              <w:wordWrap/>
              <w:overflowPunct/>
              <w:topLinePunct w:val="0"/>
              <w:autoSpaceDE/>
              <w:autoSpaceDN/>
              <w:bidi w:val="0"/>
              <w:adjustRightInd/>
              <w:snapToGrid/>
              <w:spacing w:line="280" w:lineRule="exact"/>
              <w:ind w:right="-65" w:rightChars="-31" w:firstLine="0" w:firstLineChars="0"/>
              <w:jc w:val="center"/>
              <w:textAlignment w:val="auto"/>
              <w:rPr>
                <w:rFonts w:hint="eastAsia" w:ascii="宋体" w:hAnsi="宋体" w:eastAsia="宋体" w:cs="宋体"/>
                <w:b/>
                <w:sz w:val="21"/>
                <w:szCs w:val="21"/>
                <w:highlight w:val="none"/>
                <w:lang w:eastAsia="zh-CN"/>
              </w:rPr>
            </w:pPr>
            <w:r>
              <w:rPr>
                <w:rFonts w:hint="eastAsia" w:ascii="宋体" w:hAnsi="宋体" w:cs="宋体"/>
                <w:b/>
                <w:sz w:val="21"/>
                <w:szCs w:val="21"/>
                <w:highlight w:val="none"/>
                <w:lang w:val="en-US" w:eastAsia="zh-CN"/>
              </w:rPr>
              <w:t>3</w:t>
            </w:r>
          </w:p>
        </w:tc>
        <w:tc>
          <w:tcPr>
            <w:tcW w:w="886" w:type="pct"/>
            <w:shd w:val="clear" w:color="auto" w:fill="auto"/>
            <w:vAlign w:val="center"/>
          </w:tcPr>
          <w:p w14:paraId="13B27F8F">
            <w:pPr>
              <w:tabs>
                <w:tab w:val="left" w:pos="0"/>
              </w:tabs>
              <w:ind w:right="-78" w:rightChars="-37" w:firstLine="0" w:firstLineChars="0"/>
              <w:jc w:val="center"/>
              <w:rPr>
                <w:rFonts w:ascii="宋体" w:hAnsi="宋体" w:cs="宋体"/>
                <w:b/>
                <w:sz w:val="21"/>
                <w:szCs w:val="21"/>
                <w:highlight w:val="none"/>
              </w:rPr>
            </w:pPr>
            <w:r>
              <w:rPr>
                <w:rFonts w:hint="eastAsia" w:ascii="宋体" w:hAnsi="宋体" w:cs="宋体"/>
                <w:b/>
                <w:sz w:val="21"/>
                <w:szCs w:val="21"/>
                <w:highlight w:val="none"/>
              </w:rPr>
              <w:t>服务地点</w:t>
            </w:r>
          </w:p>
        </w:tc>
        <w:tc>
          <w:tcPr>
            <w:tcW w:w="2912" w:type="pct"/>
            <w:shd w:val="clear" w:color="auto" w:fill="auto"/>
            <w:vAlign w:val="center"/>
          </w:tcPr>
          <w:p w14:paraId="3C1A5D9C">
            <w:pPr>
              <w:tabs>
                <w:tab w:val="left" w:pos="0"/>
              </w:tabs>
              <w:ind w:left="0" w:leftChars="0" w:firstLine="0" w:firstLineChars="0"/>
              <w:rPr>
                <w:rFonts w:hint="default" w:ascii="宋体" w:hAnsi="宋体" w:cs="宋体" w:eastAsiaTheme="minorEastAsia"/>
                <w:color w:val="FF0000"/>
                <w:sz w:val="21"/>
                <w:szCs w:val="21"/>
                <w:highlight w:val="none"/>
                <w:lang w:val="en-US" w:eastAsia="zh-CN"/>
              </w:rPr>
            </w:pPr>
            <w:r>
              <w:rPr>
                <w:rFonts w:hint="eastAsia" w:ascii="宋体" w:hAnsi="宋体" w:eastAsia="宋体" w:cs="宋体"/>
                <w:color w:val="auto"/>
                <w:sz w:val="21"/>
                <w:szCs w:val="21"/>
                <w:highlight w:val="none"/>
                <w:lang w:val="en-US"/>
              </w:rPr>
              <w:t>采购人指定地点</w:t>
            </w:r>
          </w:p>
        </w:tc>
        <w:tc>
          <w:tcPr>
            <w:tcW w:w="765" w:type="pct"/>
            <w:shd w:val="clear" w:color="auto" w:fill="auto"/>
            <w:vAlign w:val="center"/>
          </w:tcPr>
          <w:p w14:paraId="61904A0E">
            <w:pPr>
              <w:tabs>
                <w:tab w:val="left" w:pos="0"/>
              </w:tabs>
              <w:spacing w:line="360" w:lineRule="exact"/>
              <w:ind w:left="-107" w:leftChars="-51" w:right="-107" w:rightChars="-51" w:firstLine="482"/>
              <w:jc w:val="center"/>
              <w:rPr>
                <w:rFonts w:ascii="宋体" w:hAnsi="宋体" w:cs="宋体"/>
                <w:b/>
                <w:sz w:val="21"/>
                <w:szCs w:val="21"/>
                <w:highlight w:val="none"/>
              </w:rPr>
            </w:pPr>
          </w:p>
        </w:tc>
      </w:tr>
      <w:tr w14:paraId="634BF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3" w:hRule="atLeast"/>
        </w:trPr>
        <w:tc>
          <w:tcPr>
            <w:tcW w:w="435" w:type="pct"/>
            <w:shd w:val="clear" w:color="auto" w:fill="auto"/>
            <w:vAlign w:val="center"/>
          </w:tcPr>
          <w:p w14:paraId="3FE51E5B">
            <w:pPr>
              <w:keepNext w:val="0"/>
              <w:keepLines w:val="0"/>
              <w:pageBreakBefore w:val="0"/>
              <w:widowControl/>
              <w:tabs>
                <w:tab w:val="left" w:pos="102"/>
              </w:tabs>
              <w:kinsoku/>
              <w:wordWrap/>
              <w:overflowPunct/>
              <w:topLinePunct w:val="0"/>
              <w:autoSpaceDE/>
              <w:autoSpaceDN/>
              <w:bidi w:val="0"/>
              <w:adjustRightInd/>
              <w:snapToGrid/>
              <w:spacing w:line="280" w:lineRule="exact"/>
              <w:ind w:right="-65" w:rightChars="-31" w:firstLine="0" w:firstLineChars="0"/>
              <w:jc w:val="center"/>
              <w:textAlignment w:val="auto"/>
              <w:rPr>
                <w:rFonts w:hint="eastAsia" w:ascii="宋体" w:hAnsi="宋体" w:eastAsia="宋体" w:cs="宋体"/>
                <w:b/>
                <w:sz w:val="21"/>
                <w:szCs w:val="21"/>
                <w:highlight w:val="none"/>
                <w:lang w:eastAsia="zh-CN"/>
              </w:rPr>
            </w:pPr>
            <w:r>
              <w:rPr>
                <w:rFonts w:hint="eastAsia" w:ascii="宋体" w:hAnsi="宋体" w:cs="宋体"/>
                <w:b/>
                <w:sz w:val="21"/>
                <w:szCs w:val="21"/>
                <w:highlight w:val="none"/>
                <w:lang w:val="en-US" w:eastAsia="zh-CN"/>
              </w:rPr>
              <w:t>4</w:t>
            </w:r>
          </w:p>
        </w:tc>
        <w:tc>
          <w:tcPr>
            <w:tcW w:w="886" w:type="pct"/>
            <w:shd w:val="clear" w:color="auto" w:fill="auto"/>
            <w:vAlign w:val="center"/>
          </w:tcPr>
          <w:p w14:paraId="2AA23E13">
            <w:pPr>
              <w:tabs>
                <w:tab w:val="left" w:pos="0"/>
              </w:tabs>
              <w:ind w:right="-78" w:rightChars="-37" w:firstLine="0" w:firstLineChars="0"/>
              <w:jc w:val="center"/>
              <w:rPr>
                <w:rFonts w:ascii="宋体" w:hAnsi="宋体" w:cs="宋体"/>
                <w:b/>
                <w:sz w:val="21"/>
                <w:szCs w:val="21"/>
                <w:highlight w:val="none"/>
              </w:rPr>
            </w:pPr>
            <w:r>
              <w:rPr>
                <w:rFonts w:hint="eastAsia" w:ascii="宋体" w:hAnsi="宋体" w:cs="宋体"/>
                <w:b/>
                <w:sz w:val="21"/>
                <w:szCs w:val="21"/>
                <w:highlight w:val="none"/>
              </w:rPr>
              <w:t>付款方式</w:t>
            </w:r>
          </w:p>
        </w:tc>
        <w:tc>
          <w:tcPr>
            <w:tcW w:w="2912" w:type="pct"/>
            <w:shd w:val="clear" w:color="auto" w:fill="auto"/>
            <w:vAlign w:val="center"/>
          </w:tcPr>
          <w:p w14:paraId="140E606C">
            <w:pPr>
              <w:tabs>
                <w:tab w:val="left" w:pos="0"/>
              </w:tabs>
              <w:ind w:left="0" w:leftChars="0" w:firstLine="0" w:firstLineChars="0"/>
              <w:rPr>
                <w:rFonts w:hint="eastAsia" w:ascii="宋体" w:hAnsi="宋体" w:cs="宋体" w:eastAsiaTheme="minorEastAsia"/>
                <w:color w:val="FF0000"/>
                <w:sz w:val="21"/>
                <w:szCs w:val="21"/>
                <w:highlight w:val="none"/>
                <w:lang w:val="zh-CN" w:eastAsia="zh-CN"/>
              </w:rPr>
            </w:pPr>
            <w:r>
              <w:rPr>
                <w:rFonts w:hint="eastAsia" w:ascii="宋体" w:hAnsi="宋体" w:cs="宋体"/>
                <w:sz w:val="21"/>
                <w:szCs w:val="21"/>
                <w:highlight w:val="none"/>
                <w:lang w:val="zh-CN"/>
              </w:rPr>
              <w:t>全部设备供货安装调试完毕，经采购人验收合格后向中标供应商支付100%合同总价款。</w:t>
            </w:r>
          </w:p>
        </w:tc>
        <w:tc>
          <w:tcPr>
            <w:tcW w:w="765" w:type="pct"/>
            <w:shd w:val="clear" w:color="auto" w:fill="auto"/>
            <w:vAlign w:val="center"/>
          </w:tcPr>
          <w:p w14:paraId="7C1C06A8">
            <w:pPr>
              <w:tabs>
                <w:tab w:val="left" w:pos="0"/>
              </w:tabs>
              <w:spacing w:line="360" w:lineRule="exact"/>
              <w:ind w:left="-107" w:leftChars="-51" w:right="-107" w:rightChars="-51" w:firstLine="482"/>
              <w:jc w:val="center"/>
              <w:rPr>
                <w:rFonts w:ascii="宋体" w:hAnsi="宋体" w:cs="宋体"/>
                <w:b/>
                <w:sz w:val="21"/>
                <w:szCs w:val="21"/>
                <w:highlight w:val="none"/>
              </w:rPr>
            </w:pPr>
          </w:p>
        </w:tc>
      </w:tr>
      <w:tr w14:paraId="68150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trPr>
        <w:tc>
          <w:tcPr>
            <w:tcW w:w="435" w:type="pct"/>
            <w:vMerge w:val="restart"/>
            <w:shd w:val="clear" w:color="auto" w:fill="auto"/>
            <w:vAlign w:val="center"/>
          </w:tcPr>
          <w:p w14:paraId="5997E64F">
            <w:pPr>
              <w:keepNext w:val="0"/>
              <w:keepLines w:val="0"/>
              <w:pageBreakBefore w:val="0"/>
              <w:widowControl/>
              <w:tabs>
                <w:tab w:val="left" w:pos="102"/>
              </w:tabs>
              <w:kinsoku/>
              <w:wordWrap/>
              <w:overflowPunct/>
              <w:topLinePunct w:val="0"/>
              <w:autoSpaceDE/>
              <w:autoSpaceDN/>
              <w:bidi w:val="0"/>
              <w:adjustRightInd/>
              <w:snapToGrid/>
              <w:spacing w:line="280" w:lineRule="exact"/>
              <w:ind w:right="-65" w:rightChars="-31" w:firstLine="0" w:firstLineChars="0"/>
              <w:jc w:val="center"/>
              <w:textAlignment w:val="auto"/>
              <w:rPr>
                <w:rFonts w:hint="eastAsia" w:ascii="宋体" w:hAnsi="宋体" w:eastAsia="宋体" w:cs="宋体"/>
                <w:b/>
                <w:sz w:val="21"/>
                <w:szCs w:val="21"/>
                <w:highlight w:val="none"/>
                <w:lang w:eastAsia="zh-CN"/>
              </w:rPr>
            </w:pPr>
            <w:r>
              <w:rPr>
                <w:rFonts w:hint="eastAsia" w:ascii="宋体" w:hAnsi="宋体" w:cs="宋体"/>
                <w:b/>
                <w:sz w:val="21"/>
                <w:szCs w:val="21"/>
                <w:highlight w:val="none"/>
                <w:lang w:val="en-US" w:eastAsia="zh-CN"/>
              </w:rPr>
              <w:t>5</w:t>
            </w:r>
          </w:p>
        </w:tc>
        <w:tc>
          <w:tcPr>
            <w:tcW w:w="886" w:type="pct"/>
            <w:vMerge w:val="restart"/>
            <w:shd w:val="clear" w:color="auto" w:fill="auto"/>
            <w:vAlign w:val="center"/>
          </w:tcPr>
          <w:p w14:paraId="1647D77C">
            <w:pPr>
              <w:tabs>
                <w:tab w:val="left" w:pos="0"/>
              </w:tabs>
              <w:ind w:left="0" w:leftChars="0" w:right="-78" w:rightChars="-37" w:firstLine="0" w:firstLineChars="0"/>
              <w:jc w:val="center"/>
              <w:rPr>
                <w:rFonts w:ascii="宋体" w:hAnsi="宋体" w:cs="宋体"/>
                <w:b/>
                <w:sz w:val="21"/>
                <w:szCs w:val="21"/>
                <w:highlight w:val="none"/>
              </w:rPr>
            </w:pPr>
            <w:r>
              <w:rPr>
                <w:rFonts w:hint="eastAsia" w:ascii="宋体" w:hAnsi="宋体" w:cs="宋体"/>
                <w:b/>
                <w:sz w:val="21"/>
                <w:szCs w:val="21"/>
                <w:highlight w:val="none"/>
              </w:rPr>
              <w:t>报价要求</w:t>
            </w:r>
          </w:p>
        </w:tc>
        <w:tc>
          <w:tcPr>
            <w:tcW w:w="2912" w:type="pct"/>
            <w:shd w:val="clear" w:color="auto" w:fill="auto"/>
            <w:vAlign w:val="center"/>
          </w:tcPr>
          <w:p w14:paraId="5CE4E7D4">
            <w:pPr>
              <w:tabs>
                <w:tab w:val="left" w:pos="0"/>
              </w:tabs>
              <w:ind w:left="0" w:leftChars="0" w:firstLine="0" w:firstLineChars="0"/>
              <w:rPr>
                <w:rFonts w:ascii="宋体" w:hAnsi="宋体" w:cs="宋体"/>
                <w:sz w:val="21"/>
                <w:szCs w:val="21"/>
                <w:highlight w:val="none"/>
                <w:lang w:val="zh-CN"/>
              </w:rPr>
            </w:pPr>
            <w:r>
              <w:rPr>
                <w:rFonts w:hint="eastAsia" w:ascii="宋体" w:hAnsi="宋体" w:cs="宋体"/>
                <w:sz w:val="21"/>
                <w:szCs w:val="21"/>
                <w:highlight w:val="none"/>
                <w:lang w:val="en-US" w:eastAsia="zh-CN"/>
              </w:rPr>
              <w:t>5.1</w:t>
            </w:r>
            <w:r>
              <w:rPr>
                <w:rFonts w:hint="eastAsia" w:ascii="宋体" w:hAnsi="宋体" w:cs="宋体"/>
                <w:sz w:val="21"/>
                <w:szCs w:val="21"/>
                <w:highlight w:val="none"/>
                <w:lang w:val="zh-CN"/>
              </w:rPr>
              <w:t>投标人的报价应包含为完成本招标文件提出的货物或服务等全部相关工作所有可能发生的费用，即投标总报价为“交钥匙”价。对在合同实施过程中可能发生的其他费用，采购人概不负责。</w:t>
            </w:r>
          </w:p>
        </w:tc>
        <w:tc>
          <w:tcPr>
            <w:tcW w:w="765" w:type="pct"/>
            <w:shd w:val="clear" w:color="auto" w:fill="auto"/>
            <w:vAlign w:val="center"/>
          </w:tcPr>
          <w:p w14:paraId="5F11E2E2">
            <w:pPr>
              <w:tabs>
                <w:tab w:val="left" w:pos="0"/>
              </w:tabs>
              <w:ind w:left="-57" w:leftChars="-27" w:right="-78" w:rightChars="-37" w:firstLine="482"/>
              <w:jc w:val="center"/>
              <w:rPr>
                <w:rFonts w:ascii="宋体" w:hAnsi="宋体" w:cs="宋体"/>
                <w:b/>
                <w:sz w:val="21"/>
                <w:szCs w:val="21"/>
                <w:highlight w:val="none"/>
              </w:rPr>
            </w:pPr>
          </w:p>
        </w:tc>
      </w:tr>
      <w:tr w14:paraId="3D5E4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trPr>
        <w:tc>
          <w:tcPr>
            <w:tcW w:w="435" w:type="pct"/>
            <w:vMerge w:val="continue"/>
            <w:shd w:val="clear" w:color="auto" w:fill="auto"/>
            <w:vAlign w:val="center"/>
          </w:tcPr>
          <w:p w14:paraId="1231CFA9">
            <w:pPr>
              <w:keepNext w:val="0"/>
              <w:keepLines w:val="0"/>
              <w:pageBreakBefore w:val="0"/>
              <w:widowControl/>
              <w:tabs>
                <w:tab w:val="left" w:pos="102"/>
              </w:tabs>
              <w:kinsoku/>
              <w:wordWrap/>
              <w:overflowPunct/>
              <w:topLinePunct w:val="0"/>
              <w:autoSpaceDE/>
              <w:autoSpaceDN/>
              <w:bidi w:val="0"/>
              <w:adjustRightInd/>
              <w:snapToGrid/>
              <w:spacing w:line="280" w:lineRule="exact"/>
              <w:ind w:left="-65" w:leftChars="-31" w:right="-65" w:rightChars="-31" w:firstLine="0" w:firstLineChars="0"/>
              <w:jc w:val="center"/>
              <w:textAlignment w:val="auto"/>
              <w:rPr>
                <w:rFonts w:ascii="宋体" w:hAnsi="宋体" w:cs="宋体"/>
                <w:sz w:val="21"/>
                <w:szCs w:val="21"/>
                <w:highlight w:val="none"/>
              </w:rPr>
            </w:pPr>
          </w:p>
        </w:tc>
        <w:tc>
          <w:tcPr>
            <w:tcW w:w="886" w:type="pct"/>
            <w:vMerge w:val="continue"/>
            <w:shd w:val="clear" w:color="auto" w:fill="auto"/>
            <w:vAlign w:val="center"/>
          </w:tcPr>
          <w:p w14:paraId="4D567AD3">
            <w:pPr>
              <w:tabs>
                <w:tab w:val="left" w:pos="0"/>
              </w:tabs>
              <w:ind w:left="-57" w:leftChars="-27" w:right="-78" w:rightChars="-37" w:firstLine="482"/>
              <w:jc w:val="center"/>
              <w:rPr>
                <w:rFonts w:ascii="宋体" w:hAnsi="宋体" w:cs="宋体"/>
                <w:b/>
                <w:sz w:val="21"/>
                <w:szCs w:val="21"/>
                <w:highlight w:val="none"/>
              </w:rPr>
            </w:pPr>
          </w:p>
        </w:tc>
        <w:tc>
          <w:tcPr>
            <w:tcW w:w="2912" w:type="pct"/>
            <w:shd w:val="clear" w:color="auto" w:fill="auto"/>
            <w:vAlign w:val="center"/>
          </w:tcPr>
          <w:p w14:paraId="6BDD0D39">
            <w:pPr>
              <w:tabs>
                <w:tab w:val="left" w:pos="0"/>
              </w:tabs>
              <w:ind w:left="0" w:leftChars="0" w:firstLine="0" w:firstLineChars="0"/>
              <w:rPr>
                <w:rFonts w:ascii="宋体" w:hAnsi="宋体" w:cs="宋体"/>
                <w:sz w:val="21"/>
                <w:szCs w:val="21"/>
                <w:highlight w:val="none"/>
                <w:lang w:val="zh-CN"/>
              </w:rPr>
            </w:pPr>
            <w:r>
              <w:rPr>
                <w:rFonts w:hint="eastAsia" w:ascii="宋体" w:hAnsi="宋体" w:cs="宋体"/>
                <w:sz w:val="21"/>
                <w:szCs w:val="21"/>
                <w:highlight w:val="none"/>
                <w:lang w:val="en-US" w:eastAsia="zh-CN"/>
              </w:rPr>
              <w:t>5.2</w:t>
            </w:r>
            <w:r>
              <w:rPr>
                <w:rFonts w:hint="eastAsia" w:ascii="宋体" w:hAnsi="宋体" w:cs="宋体"/>
                <w:sz w:val="21"/>
                <w:szCs w:val="21"/>
                <w:highlight w:val="none"/>
                <w:lang w:val="zh-CN"/>
              </w:rPr>
              <w:t>对本文件未列明，而投标人认为必需的费用也需列入投标总报价。在合同实施时，采购人将不予支付中标人没有列入的项目费用，并认为此项目的费用已包含在投标总报价中。</w:t>
            </w:r>
          </w:p>
        </w:tc>
        <w:tc>
          <w:tcPr>
            <w:tcW w:w="765" w:type="pct"/>
            <w:shd w:val="clear" w:color="auto" w:fill="auto"/>
            <w:vAlign w:val="center"/>
          </w:tcPr>
          <w:p w14:paraId="13340182">
            <w:pPr>
              <w:tabs>
                <w:tab w:val="left" w:pos="0"/>
              </w:tabs>
              <w:ind w:left="-57" w:leftChars="-27" w:right="-78" w:rightChars="-37" w:firstLine="482"/>
              <w:jc w:val="center"/>
              <w:rPr>
                <w:rFonts w:ascii="宋体" w:hAnsi="宋体" w:cs="宋体"/>
                <w:b/>
                <w:sz w:val="21"/>
                <w:szCs w:val="21"/>
                <w:highlight w:val="none"/>
              </w:rPr>
            </w:pPr>
          </w:p>
        </w:tc>
      </w:tr>
      <w:tr w14:paraId="2D8B2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trPr>
        <w:tc>
          <w:tcPr>
            <w:tcW w:w="435" w:type="pct"/>
            <w:shd w:val="clear" w:color="auto" w:fill="auto"/>
            <w:vAlign w:val="center"/>
          </w:tcPr>
          <w:p w14:paraId="3908109E">
            <w:pPr>
              <w:keepNext w:val="0"/>
              <w:keepLines w:val="0"/>
              <w:pageBreakBefore w:val="0"/>
              <w:widowControl/>
              <w:tabs>
                <w:tab w:val="left" w:pos="102"/>
              </w:tabs>
              <w:kinsoku/>
              <w:wordWrap/>
              <w:overflowPunct/>
              <w:topLinePunct w:val="0"/>
              <w:autoSpaceDE/>
              <w:autoSpaceDN/>
              <w:bidi w:val="0"/>
              <w:adjustRightInd/>
              <w:snapToGrid/>
              <w:spacing w:line="280" w:lineRule="exact"/>
              <w:ind w:right="-65" w:rightChars="-31" w:firstLine="0" w:firstLineChars="0"/>
              <w:jc w:val="center"/>
              <w:textAlignment w:val="auto"/>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6</w:t>
            </w:r>
          </w:p>
        </w:tc>
        <w:tc>
          <w:tcPr>
            <w:tcW w:w="886" w:type="pct"/>
            <w:shd w:val="clear" w:color="auto" w:fill="auto"/>
            <w:vAlign w:val="center"/>
          </w:tcPr>
          <w:p w14:paraId="118001E0">
            <w:pPr>
              <w:tabs>
                <w:tab w:val="left" w:pos="0"/>
              </w:tabs>
              <w:ind w:right="-78" w:rightChars="-37" w:firstLine="0" w:firstLineChars="0"/>
              <w:jc w:val="center"/>
              <w:rPr>
                <w:rFonts w:hint="eastAsia" w:ascii="宋体" w:hAnsi="宋体" w:eastAsia="宋体" w:cs="宋体"/>
                <w:b/>
                <w:sz w:val="21"/>
                <w:szCs w:val="21"/>
                <w:highlight w:val="none"/>
                <w:lang w:val="zh-CN"/>
              </w:rPr>
            </w:pPr>
            <w:r>
              <w:rPr>
                <w:rFonts w:hint="eastAsia" w:ascii="宋体" w:hAnsi="宋体" w:eastAsia="宋体" w:cs="宋体"/>
                <w:b/>
                <w:sz w:val="21"/>
                <w:szCs w:val="21"/>
                <w:highlight w:val="none"/>
                <w:lang w:val="zh-CN"/>
              </w:rPr>
              <w:t>产品质量要求</w:t>
            </w:r>
          </w:p>
        </w:tc>
        <w:tc>
          <w:tcPr>
            <w:tcW w:w="2912" w:type="pct"/>
            <w:shd w:val="clear" w:color="auto" w:fill="auto"/>
            <w:vAlign w:val="center"/>
          </w:tcPr>
          <w:p w14:paraId="784AA55E">
            <w:pPr>
              <w:tabs>
                <w:tab w:val="left" w:pos="0"/>
              </w:tabs>
              <w:ind w:left="0" w:leftChars="0" w:firstLine="0" w:firstLineChars="0"/>
              <w:rPr>
                <w:rFonts w:ascii="宋体" w:hAnsi="宋体" w:cs="宋体"/>
                <w:sz w:val="21"/>
                <w:szCs w:val="21"/>
                <w:highlight w:val="none"/>
                <w:lang w:val="zh-CN"/>
              </w:rPr>
            </w:pPr>
            <w:r>
              <w:rPr>
                <w:rFonts w:hint="eastAsia" w:ascii="宋体" w:hAnsi="宋体" w:cs="宋体"/>
                <w:sz w:val="21"/>
                <w:szCs w:val="21"/>
                <w:highlight w:val="none"/>
                <w:lang w:val="zh-CN"/>
              </w:rPr>
              <w:t>为了确保产品质量，采购方有权对中标供应商所提供的货物按照招标文件技术参数的要求进行逐项核对，经采购方和政府采购专家的验证后，如有虚假应标、技术参数不符合招标文件要求等情形的，采购方有权要求退货及废除合同，由此而造成的一切后果由中标供应商自行承担。</w:t>
            </w:r>
          </w:p>
        </w:tc>
        <w:tc>
          <w:tcPr>
            <w:tcW w:w="765" w:type="pct"/>
            <w:shd w:val="clear" w:color="auto" w:fill="auto"/>
            <w:vAlign w:val="center"/>
          </w:tcPr>
          <w:p w14:paraId="18584611">
            <w:pPr>
              <w:tabs>
                <w:tab w:val="left" w:pos="0"/>
              </w:tabs>
              <w:ind w:left="-57" w:leftChars="-27" w:right="-78" w:rightChars="-37" w:firstLine="482"/>
              <w:jc w:val="center"/>
              <w:rPr>
                <w:rFonts w:ascii="宋体" w:hAnsi="宋体" w:cs="宋体"/>
                <w:b/>
                <w:sz w:val="21"/>
                <w:szCs w:val="21"/>
                <w:highlight w:val="none"/>
              </w:rPr>
            </w:pPr>
          </w:p>
        </w:tc>
      </w:tr>
      <w:tr w14:paraId="32354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trPr>
        <w:tc>
          <w:tcPr>
            <w:tcW w:w="435" w:type="pct"/>
            <w:vMerge w:val="restart"/>
            <w:shd w:val="clear" w:color="auto" w:fill="auto"/>
            <w:vAlign w:val="center"/>
          </w:tcPr>
          <w:p w14:paraId="7238EEB4">
            <w:pPr>
              <w:keepNext w:val="0"/>
              <w:keepLines w:val="0"/>
              <w:pageBreakBefore w:val="0"/>
              <w:widowControl/>
              <w:tabs>
                <w:tab w:val="left" w:pos="102"/>
              </w:tabs>
              <w:kinsoku/>
              <w:wordWrap/>
              <w:overflowPunct/>
              <w:topLinePunct w:val="0"/>
              <w:autoSpaceDE/>
              <w:autoSpaceDN/>
              <w:bidi w:val="0"/>
              <w:adjustRightInd/>
              <w:snapToGrid/>
              <w:spacing w:line="280" w:lineRule="exact"/>
              <w:ind w:right="-65" w:rightChars="-31" w:firstLine="0" w:firstLineChars="0"/>
              <w:jc w:val="center"/>
              <w:textAlignment w:val="auto"/>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7</w:t>
            </w:r>
          </w:p>
        </w:tc>
        <w:tc>
          <w:tcPr>
            <w:tcW w:w="886" w:type="pct"/>
            <w:vMerge w:val="restart"/>
            <w:shd w:val="clear" w:color="auto" w:fill="auto"/>
            <w:vAlign w:val="center"/>
          </w:tcPr>
          <w:p w14:paraId="677CD2E0">
            <w:pPr>
              <w:tabs>
                <w:tab w:val="left" w:pos="0"/>
              </w:tabs>
              <w:ind w:right="-78" w:rightChars="-37" w:firstLine="0" w:firstLineChars="0"/>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产品安装与调试、验收要求</w:t>
            </w:r>
          </w:p>
        </w:tc>
        <w:tc>
          <w:tcPr>
            <w:tcW w:w="2912" w:type="pct"/>
            <w:shd w:val="clear" w:color="auto" w:fill="auto"/>
            <w:vAlign w:val="center"/>
          </w:tcPr>
          <w:p w14:paraId="457E70AF">
            <w:pPr>
              <w:tabs>
                <w:tab w:val="left" w:pos="0"/>
              </w:tabs>
              <w:ind w:left="0" w:leftChars="0" w:firstLine="0" w:firstLineChars="0"/>
              <w:rPr>
                <w:rFonts w:ascii="宋体" w:hAnsi="宋体" w:cs="宋体"/>
                <w:sz w:val="21"/>
                <w:szCs w:val="21"/>
                <w:highlight w:val="none"/>
                <w:lang w:val="zh-CN"/>
              </w:rPr>
            </w:pPr>
            <w:r>
              <w:rPr>
                <w:rFonts w:hint="eastAsia" w:ascii="宋体" w:hAnsi="宋体" w:cs="宋体"/>
                <w:sz w:val="21"/>
                <w:szCs w:val="21"/>
                <w:highlight w:val="none"/>
                <w:lang w:val="en-US" w:eastAsia="zh-CN"/>
              </w:rPr>
              <w:t>7.1</w:t>
            </w:r>
            <w:r>
              <w:rPr>
                <w:rFonts w:hint="eastAsia" w:ascii="宋体" w:hAnsi="宋体" w:cs="宋体"/>
                <w:sz w:val="21"/>
                <w:szCs w:val="21"/>
                <w:highlight w:val="none"/>
                <w:lang w:val="zh-CN"/>
              </w:rPr>
              <w:t>中标人必须依照采购文件的要求和响应文件的承诺，将设备安装并调试至正常运行的最佳状态，货物安装调试完成后由双方共同进行验收。</w:t>
            </w:r>
          </w:p>
        </w:tc>
        <w:tc>
          <w:tcPr>
            <w:tcW w:w="765" w:type="pct"/>
            <w:shd w:val="clear" w:color="auto" w:fill="auto"/>
            <w:vAlign w:val="center"/>
          </w:tcPr>
          <w:p w14:paraId="7CD1207B">
            <w:pPr>
              <w:tabs>
                <w:tab w:val="left" w:pos="0"/>
              </w:tabs>
              <w:ind w:left="-57" w:leftChars="-27" w:right="-78" w:rightChars="-37" w:firstLine="482"/>
              <w:jc w:val="center"/>
              <w:rPr>
                <w:rFonts w:ascii="宋体" w:hAnsi="宋体" w:cs="宋体"/>
                <w:b/>
                <w:sz w:val="21"/>
                <w:szCs w:val="21"/>
                <w:highlight w:val="none"/>
              </w:rPr>
            </w:pPr>
          </w:p>
        </w:tc>
      </w:tr>
      <w:tr w14:paraId="4A759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trPr>
        <w:tc>
          <w:tcPr>
            <w:tcW w:w="435" w:type="pct"/>
            <w:vMerge w:val="continue"/>
            <w:shd w:val="clear" w:color="auto" w:fill="auto"/>
            <w:vAlign w:val="center"/>
          </w:tcPr>
          <w:p w14:paraId="0B743DA7">
            <w:pPr>
              <w:keepNext w:val="0"/>
              <w:keepLines w:val="0"/>
              <w:pageBreakBefore w:val="0"/>
              <w:widowControl/>
              <w:tabs>
                <w:tab w:val="left" w:pos="102"/>
              </w:tabs>
              <w:kinsoku/>
              <w:wordWrap/>
              <w:overflowPunct/>
              <w:topLinePunct w:val="0"/>
              <w:autoSpaceDE/>
              <w:autoSpaceDN/>
              <w:bidi w:val="0"/>
              <w:adjustRightInd/>
              <w:snapToGrid/>
              <w:spacing w:line="280" w:lineRule="exact"/>
              <w:ind w:right="-65" w:rightChars="-31" w:firstLine="0" w:firstLineChars="0"/>
              <w:jc w:val="center"/>
              <w:textAlignment w:val="auto"/>
              <w:rPr>
                <w:rFonts w:ascii="宋体" w:hAnsi="宋体" w:cs="宋体"/>
                <w:sz w:val="21"/>
                <w:szCs w:val="21"/>
                <w:highlight w:val="none"/>
              </w:rPr>
            </w:pPr>
          </w:p>
        </w:tc>
        <w:tc>
          <w:tcPr>
            <w:tcW w:w="886" w:type="pct"/>
            <w:vMerge w:val="continue"/>
            <w:shd w:val="clear" w:color="auto" w:fill="auto"/>
            <w:vAlign w:val="center"/>
          </w:tcPr>
          <w:p w14:paraId="6CC2E42F">
            <w:pPr>
              <w:tabs>
                <w:tab w:val="left" w:pos="0"/>
              </w:tabs>
              <w:ind w:firstLine="480"/>
              <w:rPr>
                <w:rFonts w:ascii="宋体" w:hAnsi="宋体" w:cs="宋体"/>
                <w:sz w:val="21"/>
                <w:szCs w:val="21"/>
                <w:highlight w:val="none"/>
              </w:rPr>
            </w:pPr>
          </w:p>
        </w:tc>
        <w:tc>
          <w:tcPr>
            <w:tcW w:w="2912" w:type="pct"/>
            <w:shd w:val="clear" w:color="auto" w:fill="auto"/>
            <w:vAlign w:val="center"/>
          </w:tcPr>
          <w:p w14:paraId="0DF097E3">
            <w:pPr>
              <w:tabs>
                <w:tab w:val="left" w:pos="0"/>
              </w:tabs>
              <w:ind w:left="0" w:leftChars="0" w:firstLine="0" w:firstLineChars="0"/>
              <w:rPr>
                <w:rFonts w:ascii="宋体" w:hAnsi="宋体" w:cs="宋体"/>
                <w:sz w:val="21"/>
                <w:szCs w:val="21"/>
                <w:highlight w:val="none"/>
                <w:lang w:val="zh-CN"/>
              </w:rPr>
            </w:pPr>
            <w:r>
              <w:rPr>
                <w:rFonts w:hint="eastAsia" w:ascii="宋体" w:hAnsi="宋体" w:cs="宋体"/>
                <w:sz w:val="21"/>
                <w:szCs w:val="21"/>
                <w:highlight w:val="none"/>
                <w:lang w:val="en-US" w:eastAsia="zh-CN"/>
              </w:rPr>
              <w:t>7.2</w:t>
            </w:r>
            <w:r>
              <w:rPr>
                <w:rFonts w:hint="eastAsia" w:ascii="宋体" w:hAnsi="宋体" w:cs="宋体"/>
                <w:sz w:val="21"/>
                <w:szCs w:val="21"/>
                <w:highlight w:val="none"/>
                <w:lang w:val="zh-CN"/>
              </w:rPr>
              <w:t>中标人须提供全新的设备，所有设备均须由中标人送货到采购人指定地点并安装调试，采购人不再支付任何费用。</w:t>
            </w:r>
          </w:p>
        </w:tc>
        <w:tc>
          <w:tcPr>
            <w:tcW w:w="765" w:type="pct"/>
            <w:shd w:val="clear" w:color="auto" w:fill="auto"/>
            <w:vAlign w:val="center"/>
          </w:tcPr>
          <w:p w14:paraId="2F302234">
            <w:pPr>
              <w:tabs>
                <w:tab w:val="left" w:pos="0"/>
              </w:tabs>
              <w:ind w:left="-57" w:leftChars="-27" w:right="-78" w:rightChars="-37" w:firstLine="482"/>
              <w:jc w:val="center"/>
              <w:rPr>
                <w:rFonts w:ascii="宋体" w:hAnsi="宋体" w:cs="宋体"/>
                <w:b/>
                <w:sz w:val="21"/>
                <w:szCs w:val="21"/>
                <w:highlight w:val="none"/>
              </w:rPr>
            </w:pPr>
          </w:p>
        </w:tc>
      </w:tr>
      <w:tr w14:paraId="504BF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trPr>
        <w:tc>
          <w:tcPr>
            <w:tcW w:w="435" w:type="pct"/>
            <w:vMerge w:val="continue"/>
            <w:shd w:val="clear" w:color="auto" w:fill="auto"/>
            <w:vAlign w:val="center"/>
          </w:tcPr>
          <w:p w14:paraId="427CA2EC">
            <w:pPr>
              <w:keepNext w:val="0"/>
              <w:keepLines w:val="0"/>
              <w:pageBreakBefore w:val="0"/>
              <w:widowControl/>
              <w:tabs>
                <w:tab w:val="left" w:pos="102"/>
              </w:tabs>
              <w:kinsoku/>
              <w:wordWrap/>
              <w:overflowPunct/>
              <w:topLinePunct w:val="0"/>
              <w:autoSpaceDE/>
              <w:autoSpaceDN/>
              <w:bidi w:val="0"/>
              <w:adjustRightInd/>
              <w:snapToGrid/>
              <w:spacing w:line="280" w:lineRule="exact"/>
              <w:ind w:right="-65" w:rightChars="-31" w:firstLine="0" w:firstLineChars="0"/>
              <w:jc w:val="center"/>
              <w:textAlignment w:val="auto"/>
              <w:rPr>
                <w:rFonts w:ascii="宋体" w:hAnsi="宋体" w:cs="宋体"/>
                <w:sz w:val="21"/>
                <w:szCs w:val="21"/>
                <w:highlight w:val="none"/>
              </w:rPr>
            </w:pPr>
          </w:p>
        </w:tc>
        <w:tc>
          <w:tcPr>
            <w:tcW w:w="886" w:type="pct"/>
            <w:vMerge w:val="continue"/>
            <w:shd w:val="clear" w:color="auto" w:fill="auto"/>
            <w:vAlign w:val="center"/>
          </w:tcPr>
          <w:p w14:paraId="7CC8439A">
            <w:pPr>
              <w:tabs>
                <w:tab w:val="left" w:pos="0"/>
              </w:tabs>
              <w:ind w:firstLine="480"/>
              <w:rPr>
                <w:rFonts w:ascii="宋体" w:hAnsi="宋体" w:cs="宋体"/>
                <w:sz w:val="21"/>
                <w:szCs w:val="21"/>
                <w:highlight w:val="none"/>
              </w:rPr>
            </w:pPr>
          </w:p>
        </w:tc>
        <w:tc>
          <w:tcPr>
            <w:tcW w:w="2912" w:type="pct"/>
            <w:shd w:val="clear" w:color="auto" w:fill="auto"/>
            <w:vAlign w:val="center"/>
          </w:tcPr>
          <w:p w14:paraId="09A5F1FC">
            <w:pPr>
              <w:tabs>
                <w:tab w:val="left" w:pos="0"/>
              </w:tabs>
              <w:ind w:left="0" w:leftChars="0" w:firstLine="0" w:firstLineChars="0"/>
              <w:rPr>
                <w:rFonts w:ascii="宋体" w:hAnsi="宋体" w:cs="宋体"/>
                <w:sz w:val="21"/>
                <w:szCs w:val="21"/>
                <w:highlight w:val="none"/>
                <w:lang w:val="zh-CN"/>
              </w:rPr>
            </w:pPr>
            <w:r>
              <w:rPr>
                <w:rFonts w:hint="eastAsia" w:ascii="宋体" w:hAnsi="宋体" w:cs="宋体"/>
                <w:sz w:val="21"/>
                <w:szCs w:val="21"/>
                <w:highlight w:val="none"/>
                <w:lang w:val="en-US" w:eastAsia="zh-CN"/>
              </w:rPr>
              <w:t>7.3</w:t>
            </w:r>
            <w:r>
              <w:rPr>
                <w:rFonts w:hint="eastAsia" w:ascii="宋体" w:hAnsi="宋体" w:cs="宋体"/>
                <w:sz w:val="21"/>
                <w:szCs w:val="21"/>
                <w:highlight w:val="none"/>
                <w:lang w:val="zh-CN"/>
              </w:rPr>
              <w:t>中标人所提供设备到达目的地后，采购人按中标人提供的设备清单，开箱检查设备的产品合格证、使用说明书及其他随机附件是否完整无损，技术资料是否与采购人的要求相符，如有损坏、缺件等情况，中标人应在7日内完成更换为全新产品，相应的费用及责任均由中标人自行承担。</w:t>
            </w:r>
          </w:p>
        </w:tc>
        <w:tc>
          <w:tcPr>
            <w:tcW w:w="765" w:type="pct"/>
            <w:shd w:val="clear" w:color="auto" w:fill="auto"/>
            <w:vAlign w:val="center"/>
          </w:tcPr>
          <w:p w14:paraId="42FE2755">
            <w:pPr>
              <w:tabs>
                <w:tab w:val="left" w:pos="0"/>
              </w:tabs>
              <w:ind w:left="-57" w:leftChars="-27" w:right="-78" w:rightChars="-37" w:firstLine="482"/>
              <w:jc w:val="center"/>
              <w:rPr>
                <w:rFonts w:ascii="宋体" w:hAnsi="宋体" w:cs="宋体"/>
                <w:b/>
                <w:sz w:val="21"/>
                <w:szCs w:val="21"/>
                <w:highlight w:val="none"/>
              </w:rPr>
            </w:pPr>
          </w:p>
        </w:tc>
      </w:tr>
      <w:tr w14:paraId="4BB7F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trPr>
        <w:tc>
          <w:tcPr>
            <w:tcW w:w="435" w:type="pct"/>
            <w:vMerge w:val="continue"/>
            <w:shd w:val="clear" w:color="auto" w:fill="auto"/>
            <w:vAlign w:val="center"/>
          </w:tcPr>
          <w:p w14:paraId="7DAAD997">
            <w:pPr>
              <w:keepNext w:val="0"/>
              <w:keepLines w:val="0"/>
              <w:pageBreakBefore w:val="0"/>
              <w:widowControl/>
              <w:tabs>
                <w:tab w:val="left" w:pos="102"/>
              </w:tabs>
              <w:kinsoku/>
              <w:wordWrap/>
              <w:overflowPunct/>
              <w:topLinePunct w:val="0"/>
              <w:autoSpaceDE/>
              <w:autoSpaceDN/>
              <w:bidi w:val="0"/>
              <w:adjustRightInd/>
              <w:snapToGrid/>
              <w:spacing w:line="280" w:lineRule="exact"/>
              <w:ind w:right="-65" w:rightChars="-31" w:firstLine="0" w:firstLineChars="0"/>
              <w:jc w:val="center"/>
              <w:textAlignment w:val="auto"/>
              <w:rPr>
                <w:rFonts w:ascii="宋体" w:hAnsi="宋体" w:cs="宋体"/>
                <w:sz w:val="21"/>
                <w:szCs w:val="21"/>
                <w:highlight w:val="none"/>
              </w:rPr>
            </w:pPr>
          </w:p>
        </w:tc>
        <w:tc>
          <w:tcPr>
            <w:tcW w:w="886" w:type="pct"/>
            <w:vMerge w:val="continue"/>
            <w:shd w:val="clear" w:color="auto" w:fill="auto"/>
            <w:vAlign w:val="center"/>
          </w:tcPr>
          <w:p w14:paraId="1911301C">
            <w:pPr>
              <w:tabs>
                <w:tab w:val="left" w:pos="0"/>
              </w:tabs>
              <w:ind w:firstLine="480"/>
              <w:rPr>
                <w:rFonts w:ascii="宋体" w:hAnsi="宋体" w:cs="宋体"/>
                <w:sz w:val="21"/>
                <w:szCs w:val="21"/>
                <w:highlight w:val="none"/>
              </w:rPr>
            </w:pPr>
          </w:p>
        </w:tc>
        <w:tc>
          <w:tcPr>
            <w:tcW w:w="2912" w:type="pct"/>
            <w:shd w:val="clear" w:color="auto" w:fill="auto"/>
            <w:vAlign w:val="center"/>
          </w:tcPr>
          <w:p w14:paraId="51451557">
            <w:pPr>
              <w:tabs>
                <w:tab w:val="left" w:pos="0"/>
              </w:tabs>
              <w:ind w:left="0" w:leftChars="0" w:firstLine="0" w:firstLineChars="0"/>
              <w:rPr>
                <w:rFonts w:hint="eastAsia" w:ascii="宋体" w:hAnsi="宋体" w:cs="宋体"/>
                <w:sz w:val="21"/>
                <w:szCs w:val="21"/>
                <w:highlight w:val="none"/>
                <w:lang w:val="zh-CN"/>
              </w:rPr>
            </w:pPr>
            <w:r>
              <w:rPr>
                <w:rFonts w:hint="eastAsia" w:ascii="宋体" w:hAnsi="宋体" w:cs="宋体"/>
                <w:sz w:val="21"/>
                <w:szCs w:val="21"/>
                <w:highlight w:val="none"/>
                <w:lang w:val="en-US" w:eastAsia="zh-CN"/>
              </w:rPr>
              <w:t>7.4</w:t>
            </w:r>
            <w:r>
              <w:rPr>
                <w:rFonts w:hint="eastAsia" w:ascii="宋体" w:hAnsi="宋体" w:cs="宋体"/>
                <w:sz w:val="21"/>
                <w:szCs w:val="21"/>
                <w:highlight w:val="none"/>
                <w:lang w:val="zh-CN"/>
              </w:rPr>
              <w:t>中标人应能提供产品安装的详细实施方案和产品安装实施过程的工作内容、工作日程表、工作方法，并报经采购人审批通过后严格执行。日程表内容至少应包括到货日期、现场安装、系统测试、系统联调、系统验收及技术培训等。</w:t>
            </w:r>
          </w:p>
        </w:tc>
        <w:tc>
          <w:tcPr>
            <w:tcW w:w="765" w:type="pct"/>
            <w:shd w:val="clear" w:color="auto" w:fill="auto"/>
            <w:vAlign w:val="center"/>
          </w:tcPr>
          <w:p w14:paraId="578FBD93">
            <w:pPr>
              <w:tabs>
                <w:tab w:val="left" w:pos="0"/>
              </w:tabs>
              <w:ind w:left="-57" w:leftChars="-27" w:right="-78" w:rightChars="-37" w:firstLine="482"/>
              <w:jc w:val="center"/>
              <w:rPr>
                <w:rFonts w:ascii="宋体" w:hAnsi="宋体" w:cs="宋体"/>
                <w:b/>
                <w:sz w:val="21"/>
                <w:szCs w:val="21"/>
                <w:highlight w:val="none"/>
              </w:rPr>
            </w:pPr>
          </w:p>
        </w:tc>
      </w:tr>
      <w:tr w14:paraId="4F2EA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trPr>
        <w:tc>
          <w:tcPr>
            <w:tcW w:w="435" w:type="pct"/>
            <w:vMerge w:val="continue"/>
            <w:shd w:val="clear" w:color="auto" w:fill="auto"/>
            <w:vAlign w:val="center"/>
          </w:tcPr>
          <w:p w14:paraId="698A431A">
            <w:pPr>
              <w:keepNext w:val="0"/>
              <w:keepLines w:val="0"/>
              <w:pageBreakBefore w:val="0"/>
              <w:widowControl/>
              <w:tabs>
                <w:tab w:val="left" w:pos="102"/>
              </w:tabs>
              <w:kinsoku/>
              <w:wordWrap/>
              <w:overflowPunct/>
              <w:topLinePunct w:val="0"/>
              <w:autoSpaceDE/>
              <w:autoSpaceDN/>
              <w:bidi w:val="0"/>
              <w:adjustRightInd/>
              <w:snapToGrid/>
              <w:spacing w:line="280" w:lineRule="exact"/>
              <w:ind w:right="-65" w:rightChars="-31" w:firstLine="0" w:firstLineChars="0"/>
              <w:jc w:val="center"/>
              <w:textAlignment w:val="auto"/>
              <w:rPr>
                <w:rFonts w:ascii="宋体" w:hAnsi="宋体" w:cs="宋体"/>
                <w:sz w:val="21"/>
                <w:szCs w:val="21"/>
                <w:highlight w:val="none"/>
              </w:rPr>
            </w:pPr>
          </w:p>
        </w:tc>
        <w:tc>
          <w:tcPr>
            <w:tcW w:w="886" w:type="pct"/>
            <w:vMerge w:val="continue"/>
            <w:shd w:val="clear" w:color="auto" w:fill="auto"/>
            <w:vAlign w:val="center"/>
          </w:tcPr>
          <w:p w14:paraId="2D0A4A39">
            <w:pPr>
              <w:tabs>
                <w:tab w:val="left" w:pos="0"/>
              </w:tabs>
              <w:ind w:firstLine="480"/>
              <w:rPr>
                <w:rFonts w:ascii="宋体" w:hAnsi="宋体" w:cs="宋体"/>
                <w:sz w:val="21"/>
                <w:szCs w:val="21"/>
                <w:highlight w:val="none"/>
              </w:rPr>
            </w:pPr>
          </w:p>
        </w:tc>
        <w:tc>
          <w:tcPr>
            <w:tcW w:w="2912" w:type="pct"/>
            <w:shd w:val="clear" w:color="auto" w:fill="auto"/>
            <w:vAlign w:val="center"/>
          </w:tcPr>
          <w:p w14:paraId="227AB81A">
            <w:pPr>
              <w:tabs>
                <w:tab w:val="left" w:pos="0"/>
              </w:tabs>
              <w:ind w:left="0" w:leftChars="0" w:firstLine="0" w:firstLineChars="0"/>
              <w:rPr>
                <w:rFonts w:ascii="宋体" w:hAnsi="宋体" w:cs="宋体"/>
                <w:sz w:val="21"/>
                <w:szCs w:val="21"/>
                <w:highlight w:val="none"/>
                <w:lang w:val="zh-CN"/>
              </w:rPr>
            </w:pPr>
            <w:r>
              <w:rPr>
                <w:rFonts w:hint="eastAsia" w:ascii="宋体" w:hAnsi="宋体" w:cs="宋体"/>
                <w:sz w:val="21"/>
                <w:szCs w:val="21"/>
                <w:highlight w:val="none"/>
                <w:lang w:val="en-US" w:eastAsia="zh-CN"/>
              </w:rPr>
              <w:t>7.5</w:t>
            </w:r>
            <w:r>
              <w:rPr>
                <w:rFonts w:hint="eastAsia" w:ascii="宋体" w:hAnsi="宋体" w:cs="宋体"/>
                <w:sz w:val="21"/>
                <w:szCs w:val="21"/>
                <w:highlight w:val="none"/>
                <w:lang w:val="zh-CN"/>
              </w:rPr>
              <w:t>中标人应允许采购人的工作人员参与项目的安装、测试、诊断及解决问题等各项工作，并提供相关的现场培训。</w:t>
            </w:r>
          </w:p>
        </w:tc>
        <w:tc>
          <w:tcPr>
            <w:tcW w:w="765" w:type="pct"/>
            <w:shd w:val="clear" w:color="auto" w:fill="auto"/>
            <w:vAlign w:val="center"/>
          </w:tcPr>
          <w:p w14:paraId="5C977C5C">
            <w:pPr>
              <w:tabs>
                <w:tab w:val="left" w:pos="0"/>
              </w:tabs>
              <w:ind w:left="-57" w:leftChars="-27" w:right="-78" w:rightChars="-37" w:firstLine="482"/>
              <w:jc w:val="center"/>
              <w:rPr>
                <w:rFonts w:ascii="宋体" w:hAnsi="宋体" w:cs="宋体"/>
                <w:b/>
                <w:sz w:val="21"/>
                <w:szCs w:val="21"/>
                <w:highlight w:val="none"/>
              </w:rPr>
            </w:pPr>
          </w:p>
        </w:tc>
      </w:tr>
      <w:tr w14:paraId="255CC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trPr>
        <w:tc>
          <w:tcPr>
            <w:tcW w:w="435" w:type="pct"/>
            <w:shd w:val="clear" w:color="auto" w:fill="auto"/>
            <w:vAlign w:val="center"/>
          </w:tcPr>
          <w:p w14:paraId="0DB9D6E9">
            <w:pPr>
              <w:keepNext w:val="0"/>
              <w:keepLines w:val="0"/>
              <w:pageBreakBefore w:val="0"/>
              <w:widowControl/>
              <w:tabs>
                <w:tab w:val="left" w:pos="102"/>
              </w:tabs>
              <w:kinsoku/>
              <w:wordWrap/>
              <w:overflowPunct/>
              <w:topLinePunct w:val="0"/>
              <w:autoSpaceDE/>
              <w:autoSpaceDN/>
              <w:bidi w:val="0"/>
              <w:adjustRightInd/>
              <w:snapToGrid/>
              <w:spacing w:line="280" w:lineRule="exact"/>
              <w:ind w:right="-65" w:rightChars="-31" w:firstLine="0" w:firstLineChars="0"/>
              <w:jc w:val="center"/>
              <w:textAlignment w:val="auto"/>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8</w:t>
            </w:r>
          </w:p>
        </w:tc>
        <w:tc>
          <w:tcPr>
            <w:tcW w:w="886" w:type="pct"/>
            <w:shd w:val="clear" w:color="auto" w:fill="auto"/>
            <w:vAlign w:val="center"/>
          </w:tcPr>
          <w:p w14:paraId="50135B27">
            <w:pPr>
              <w:tabs>
                <w:tab w:val="left" w:pos="0"/>
              </w:tabs>
              <w:ind w:left="0" w:leftChars="0" w:firstLine="0" w:firstLineChars="0"/>
              <w:jc w:val="center"/>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lang w:val="en-US" w:eastAsia="zh-CN"/>
              </w:rPr>
              <w:t>核心产品正版操作系统及办公软件要求</w:t>
            </w:r>
          </w:p>
        </w:tc>
        <w:tc>
          <w:tcPr>
            <w:tcW w:w="2912" w:type="pct"/>
            <w:shd w:val="clear" w:color="auto" w:fill="auto"/>
            <w:vAlign w:val="center"/>
          </w:tcPr>
          <w:p w14:paraId="79FA51E2">
            <w:pPr>
              <w:tabs>
                <w:tab w:val="left" w:pos="0"/>
              </w:tabs>
              <w:ind w:left="0" w:leftChars="0" w:firstLine="0" w:firstLineChars="0"/>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所投核心产品须配备正版Windows10专业版及以上版本操作系统和正版office2019标准版及以上版本办公软件，投标人提供本次采购预装的操作系统和办公软件为正版的证明文件。</w:t>
            </w:r>
          </w:p>
        </w:tc>
        <w:tc>
          <w:tcPr>
            <w:tcW w:w="765" w:type="pct"/>
            <w:shd w:val="clear" w:color="auto" w:fill="auto"/>
            <w:vAlign w:val="center"/>
          </w:tcPr>
          <w:p w14:paraId="3D131A42">
            <w:pPr>
              <w:tabs>
                <w:tab w:val="left" w:pos="0"/>
              </w:tabs>
              <w:ind w:left="-57" w:leftChars="-27" w:right="-78" w:rightChars="-37" w:firstLine="482"/>
              <w:jc w:val="center"/>
              <w:rPr>
                <w:rFonts w:ascii="宋体" w:hAnsi="宋体" w:cs="宋体"/>
                <w:b/>
                <w:sz w:val="21"/>
                <w:szCs w:val="21"/>
                <w:highlight w:val="none"/>
              </w:rPr>
            </w:pPr>
          </w:p>
        </w:tc>
      </w:tr>
      <w:tr w14:paraId="34D2D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2" w:hRule="atLeast"/>
        </w:trPr>
        <w:tc>
          <w:tcPr>
            <w:tcW w:w="435" w:type="pct"/>
            <w:shd w:val="clear" w:color="auto" w:fill="auto"/>
            <w:vAlign w:val="center"/>
          </w:tcPr>
          <w:p w14:paraId="769ED102">
            <w:pPr>
              <w:keepNext w:val="0"/>
              <w:keepLines w:val="0"/>
              <w:pageBreakBefore w:val="0"/>
              <w:widowControl/>
              <w:tabs>
                <w:tab w:val="left" w:pos="102"/>
              </w:tabs>
              <w:kinsoku/>
              <w:wordWrap/>
              <w:overflowPunct/>
              <w:topLinePunct w:val="0"/>
              <w:autoSpaceDE/>
              <w:autoSpaceDN/>
              <w:bidi w:val="0"/>
              <w:adjustRightInd/>
              <w:snapToGrid/>
              <w:spacing w:line="280" w:lineRule="exact"/>
              <w:ind w:right="-65" w:rightChars="-31" w:firstLine="0" w:firstLineChars="0"/>
              <w:jc w:val="center"/>
              <w:textAlignment w:val="auto"/>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9</w:t>
            </w:r>
          </w:p>
        </w:tc>
        <w:tc>
          <w:tcPr>
            <w:tcW w:w="886" w:type="pct"/>
            <w:shd w:val="clear" w:color="auto" w:fill="auto"/>
            <w:vAlign w:val="center"/>
          </w:tcPr>
          <w:p w14:paraId="5DC7D0EC">
            <w:pPr>
              <w:tabs>
                <w:tab w:val="left" w:pos="0"/>
              </w:tabs>
              <w:ind w:right="-78" w:rightChars="-37" w:firstLine="0" w:firstLineChars="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zh-CN"/>
              </w:rPr>
              <w:t>履约保证金</w:t>
            </w:r>
          </w:p>
        </w:tc>
        <w:tc>
          <w:tcPr>
            <w:tcW w:w="2912" w:type="pct"/>
            <w:shd w:val="clear" w:color="auto" w:fill="auto"/>
            <w:vAlign w:val="center"/>
          </w:tcPr>
          <w:p w14:paraId="005B39CC">
            <w:pPr>
              <w:tabs>
                <w:tab w:val="left" w:pos="0"/>
              </w:tabs>
              <w:ind w:left="0" w:leftChars="0" w:firstLine="0" w:firstLineChars="0"/>
              <w:rPr>
                <w:rFonts w:hint="eastAsia" w:ascii="宋体" w:hAnsi="宋体" w:eastAsia="宋体" w:cs="宋体"/>
                <w:sz w:val="21"/>
                <w:szCs w:val="21"/>
                <w:highlight w:val="none"/>
                <w:lang w:eastAsia="zh-CN"/>
              </w:rPr>
            </w:pPr>
            <w:r>
              <w:rPr>
                <w:rFonts w:hint="eastAsia" w:ascii="宋体" w:hAnsi="宋体" w:cs="宋体"/>
                <w:sz w:val="21"/>
                <w:szCs w:val="21"/>
                <w:highlight w:val="none"/>
              </w:rPr>
              <w:t>本项目不收取履约保证金</w:t>
            </w:r>
            <w:r>
              <w:rPr>
                <w:rFonts w:hint="eastAsia" w:ascii="宋体" w:hAnsi="宋体" w:cs="宋体"/>
                <w:sz w:val="21"/>
                <w:szCs w:val="21"/>
                <w:highlight w:val="none"/>
                <w:lang w:eastAsia="zh-CN"/>
              </w:rPr>
              <w:t>。</w:t>
            </w:r>
          </w:p>
        </w:tc>
        <w:tc>
          <w:tcPr>
            <w:tcW w:w="765" w:type="pct"/>
            <w:shd w:val="clear" w:color="auto" w:fill="auto"/>
            <w:vAlign w:val="center"/>
          </w:tcPr>
          <w:p w14:paraId="7424B695">
            <w:pPr>
              <w:tabs>
                <w:tab w:val="left" w:pos="0"/>
              </w:tabs>
              <w:ind w:left="-57" w:leftChars="-27" w:right="-78" w:rightChars="-37" w:firstLine="482"/>
              <w:jc w:val="center"/>
              <w:rPr>
                <w:rFonts w:ascii="宋体" w:hAnsi="宋体" w:cs="宋体"/>
                <w:b/>
                <w:sz w:val="21"/>
                <w:szCs w:val="21"/>
                <w:highlight w:val="none"/>
              </w:rPr>
            </w:pPr>
          </w:p>
        </w:tc>
      </w:tr>
      <w:tr w14:paraId="1D424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2" w:hRule="atLeast"/>
        </w:trPr>
        <w:tc>
          <w:tcPr>
            <w:tcW w:w="435" w:type="pct"/>
            <w:shd w:val="clear" w:color="auto" w:fill="auto"/>
            <w:vAlign w:val="center"/>
          </w:tcPr>
          <w:p w14:paraId="4604D40E">
            <w:pPr>
              <w:keepNext w:val="0"/>
              <w:keepLines w:val="0"/>
              <w:pageBreakBefore w:val="0"/>
              <w:widowControl/>
              <w:tabs>
                <w:tab w:val="left" w:pos="102"/>
              </w:tabs>
              <w:kinsoku/>
              <w:wordWrap/>
              <w:overflowPunct/>
              <w:topLinePunct w:val="0"/>
              <w:autoSpaceDE/>
              <w:autoSpaceDN/>
              <w:bidi w:val="0"/>
              <w:adjustRightInd/>
              <w:snapToGrid/>
              <w:spacing w:line="280" w:lineRule="exact"/>
              <w:ind w:right="-65" w:rightChars="-31" w:firstLine="0" w:firstLineChars="0"/>
              <w:jc w:val="center"/>
              <w:textAlignment w:val="auto"/>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10</w:t>
            </w:r>
          </w:p>
        </w:tc>
        <w:tc>
          <w:tcPr>
            <w:tcW w:w="886" w:type="pct"/>
            <w:shd w:val="clear" w:color="auto" w:fill="auto"/>
            <w:vAlign w:val="center"/>
          </w:tcPr>
          <w:p w14:paraId="283C4299">
            <w:pPr>
              <w:tabs>
                <w:tab w:val="left" w:pos="0"/>
              </w:tabs>
              <w:ind w:right="-78" w:rightChars="-37" w:firstLine="0" w:firstLineChars="0"/>
              <w:jc w:val="center"/>
              <w:rPr>
                <w:rFonts w:hint="eastAsia" w:ascii="宋体" w:hAnsi="宋体" w:eastAsia="宋体" w:cs="宋体"/>
                <w:b/>
                <w:bCs/>
                <w:sz w:val="21"/>
                <w:szCs w:val="21"/>
                <w:highlight w:val="none"/>
                <w:lang w:val="en-US" w:eastAsia="zh-CN"/>
              </w:rPr>
            </w:pPr>
            <w:r>
              <w:rPr>
                <w:rFonts w:hint="eastAsia" w:ascii="宋体" w:hAnsi="宋体" w:cs="宋体"/>
                <w:b/>
                <w:bCs/>
                <w:sz w:val="21"/>
                <w:szCs w:val="21"/>
                <w:highlight w:val="none"/>
                <w:lang w:val="en-US" w:eastAsia="zh-CN"/>
              </w:rPr>
              <w:t>类似业绩</w:t>
            </w:r>
          </w:p>
        </w:tc>
        <w:tc>
          <w:tcPr>
            <w:tcW w:w="2912" w:type="pct"/>
            <w:shd w:val="clear" w:color="auto" w:fill="auto"/>
            <w:vAlign w:val="center"/>
          </w:tcPr>
          <w:p w14:paraId="578DD370">
            <w:pPr>
              <w:tabs>
                <w:tab w:val="left" w:pos="0"/>
              </w:tabs>
              <w:ind w:left="0" w:leftChars="0" w:firstLine="0" w:firstLineChars="0"/>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zh-CN"/>
              </w:rPr>
              <w:t>投标人</w:t>
            </w:r>
            <w:r>
              <w:rPr>
                <w:rFonts w:hint="eastAsia" w:ascii="宋体" w:hAnsi="宋体" w:cs="宋体"/>
                <w:sz w:val="21"/>
                <w:szCs w:val="21"/>
                <w:highlight w:val="none"/>
              </w:rPr>
              <w:t>近三年类似</w:t>
            </w:r>
            <w:r>
              <w:rPr>
                <w:rFonts w:hint="eastAsia" w:ascii="宋体" w:hAnsi="宋体" w:cs="宋体"/>
                <w:sz w:val="21"/>
                <w:szCs w:val="21"/>
                <w:highlight w:val="none"/>
                <w:lang w:val="en-US" w:eastAsia="zh-CN"/>
              </w:rPr>
              <w:t>项目</w:t>
            </w:r>
            <w:r>
              <w:rPr>
                <w:rFonts w:hint="eastAsia" w:ascii="宋体" w:hAnsi="宋体" w:cs="宋体"/>
                <w:sz w:val="21"/>
                <w:szCs w:val="21"/>
                <w:highlight w:val="none"/>
              </w:rPr>
              <w:t>业绩</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提供成交（中标）通知书或合同关键页复印件并进行签章。</w:t>
            </w:r>
          </w:p>
        </w:tc>
        <w:tc>
          <w:tcPr>
            <w:tcW w:w="765" w:type="pct"/>
            <w:shd w:val="clear" w:color="auto" w:fill="auto"/>
            <w:vAlign w:val="center"/>
          </w:tcPr>
          <w:p w14:paraId="350B6308">
            <w:pPr>
              <w:tabs>
                <w:tab w:val="left" w:pos="0"/>
              </w:tabs>
              <w:ind w:left="-57" w:leftChars="-27" w:right="-78" w:rightChars="-37" w:firstLine="482"/>
              <w:jc w:val="center"/>
              <w:rPr>
                <w:rFonts w:ascii="宋体" w:hAnsi="宋体" w:cs="宋体"/>
                <w:b/>
                <w:sz w:val="21"/>
                <w:szCs w:val="21"/>
                <w:highlight w:val="none"/>
              </w:rPr>
            </w:pPr>
          </w:p>
        </w:tc>
      </w:tr>
      <w:tr w14:paraId="5B75E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2" w:hRule="atLeast"/>
        </w:trPr>
        <w:tc>
          <w:tcPr>
            <w:tcW w:w="435" w:type="pct"/>
            <w:shd w:val="clear" w:color="auto" w:fill="auto"/>
            <w:vAlign w:val="center"/>
          </w:tcPr>
          <w:p w14:paraId="5CA4823F">
            <w:pPr>
              <w:keepNext w:val="0"/>
              <w:keepLines w:val="0"/>
              <w:pageBreakBefore w:val="0"/>
              <w:widowControl/>
              <w:tabs>
                <w:tab w:val="left" w:pos="102"/>
              </w:tabs>
              <w:kinsoku/>
              <w:wordWrap/>
              <w:overflowPunct/>
              <w:topLinePunct w:val="0"/>
              <w:autoSpaceDE/>
              <w:autoSpaceDN/>
              <w:bidi w:val="0"/>
              <w:adjustRightInd/>
              <w:snapToGrid/>
              <w:spacing w:line="280" w:lineRule="exact"/>
              <w:ind w:right="-65" w:rightChars="-31" w:firstLine="0" w:firstLineChars="0"/>
              <w:jc w:val="center"/>
              <w:textAlignment w:val="auto"/>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11</w:t>
            </w:r>
          </w:p>
        </w:tc>
        <w:tc>
          <w:tcPr>
            <w:tcW w:w="886" w:type="pct"/>
            <w:shd w:val="clear" w:color="auto" w:fill="auto"/>
            <w:vAlign w:val="center"/>
          </w:tcPr>
          <w:p w14:paraId="1ACF1097">
            <w:pPr>
              <w:widowControl/>
              <w:ind w:firstLine="0" w:firstLineChars="0"/>
              <w:jc w:val="center"/>
              <w:rPr>
                <w:rFonts w:hint="eastAsia" w:ascii="宋体" w:hAnsi="宋体" w:eastAsia="宋体" w:cs="宋体"/>
                <w:b/>
                <w:bCs/>
                <w:sz w:val="21"/>
                <w:szCs w:val="21"/>
                <w:highlight w:val="none"/>
                <w:lang w:val="zh-CN"/>
              </w:rPr>
            </w:pPr>
            <w:r>
              <w:rPr>
                <w:rFonts w:hint="eastAsia" w:ascii="宋体" w:hAnsi="宋体" w:cs="宋体"/>
                <w:b/>
                <w:bCs/>
                <w:color w:val="auto"/>
                <w:kern w:val="0"/>
                <w:sz w:val="21"/>
                <w:szCs w:val="21"/>
              </w:rPr>
              <w:t>违约责任</w:t>
            </w:r>
          </w:p>
        </w:tc>
        <w:tc>
          <w:tcPr>
            <w:tcW w:w="2912" w:type="pct"/>
            <w:shd w:val="clear" w:color="auto" w:fill="auto"/>
            <w:vAlign w:val="center"/>
          </w:tcPr>
          <w:p w14:paraId="5201BEDA">
            <w:pPr>
              <w:ind w:left="0" w:leftChars="0" w:firstLine="0" w:firstLineChars="0"/>
              <w:rPr>
                <w:rFonts w:hint="eastAsia" w:ascii="宋体" w:hAnsi="宋体" w:cs="宋体"/>
                <w:sz w:val="21"/>
                <w:szCs w:val="21"/>
                <w:highlight w:val="none"/>
              </w:rPr>
            </w:pPr>
            <w:r>
              <w:rPr>
                <w:rFonts w:hint="eastAsia" w:ascii="宋体" w:hAnsi="宋体" w:cs="宋体"/>
                <w:sz w:val="21"/>
                <w:szCs w:val="21"/>
                <w:highlight w:val="none"/>
                <w:lang w:val="zh-CN"/>
              </w:rPr>
              <w:t>中标人未按照合同约定履行时，采购人有权解除本合同，同时如因此给采购人或第三方造成损失由中标人按照实际造成的损失进行赔偿，包括但不限于追索损失产生的诉讼费、律师费、公证费等费用。</w:t>
            </w:r>
          </w:p>
        </w:tc>
        <w:tc>
          <w:tcPr>
            <w:tcW w:w="765" w:type="pct"/>
            <w:shd w:val="clear" w:color="auto" w:fill="auto"/>
            <w:vAlign w:val="center"/>
          </w:tcPr>
          <w:p w14:paraId="0BD6F4FB">
            <w:pPr>
              <w:tabs>
                <w:tab w:val="left" w:pos="0"/>
              </w:tabs>
              <w:ind w:left="-57" w:leftChars="-27" w:right="-78" w:rightChars="-37" w:firstLine="482"/>
              <w:jc w:val="center"/>
              <w:rPr>
                <w:rFonts w:ascii="宋体" w:hAnsi="宋体" w:cs="宋体"/>
                <w:b/>
                <w:sz w:val="21"/>
                <w:szCs w:val="21"/>
                <w:highlight w:val="none"/>
              </w:rPr>
            </w:pPr>
          </w:p>
        </w:tc>
      </w:tr>
    </w:tbl>
    <w:p w14:paraId="19DF5404">
      <w:pPr>
        <w:bidi w:val="0"/>
        <w:rPr>
          <w:rFonts w:hint="eastAsia"/>
        </w:rPr>
      </w:pPr>
    </w:p>
    <w:p w14:paraId="10A5A261">
      <w:pPr>
        <w:pStyle w:val="3"/>
        <w:keepNext/>
        <w:keepLines/>
        <w:pageBreakBefore/>
        <w:widowControl/>
        <w:kinsoku/>
        <w:wordWrap/>
        <w:overflowPunct/>
        <w:topLinePunct w:val="0"/>
        <w:autoSpaceDE/>
        <w:autoSpaceDN/>
        <w:bidi w:val="0"/>
        <w:adjustRightInd/>
        <w:snapToGrid/>
        <w:spacing w:line="416" w:lineRule="auto"/>
        <w:ind w:firstLine="602"/>
        <w:textAlignment w:val="auto"/>
        <w:rPr>
          <w:rFonts w:hint="eastAsia" w:eastAsia="宋体"/>
          <w:color w:val="auto"/>
          <w:lang w:eastAsia="zh-CN"/>
        </w:rPr>
      </w:pPr>
      <w:r>
        <w:rPr>
          <w:rFonts w:hint="eastAsia"/>
          <w:color w:val="auto"/>
          <w:sz w:val="30"/>
          <w:szCs w:val="30"/>
          <w:lang w:val="en-US" w:eastAsia="zh-CN"/>
        </w:rPr>
        <w:t>四</w:t>
      </w:r>
      <w:r>
        <w:rPr>
          <w:rFonts w:hint="eastAsia"/>
          <w:color w:val="auto"/>
          <w:sz w:val="30"/>
          <w:szCs w:val="30"/>
        </w:rPr>
        <w:t>、</w:t>
      </w:r>
      <w:r>
        <w:rPr>
          <w:rFonts w:hint="eastAsia"/>
          <w:color w:val="auto"/>
          <w:sz w:val="30"/>
          <w:szCs w:val="30"/>
          <w:lang w:val="en-US" w:eastAsia="zh-CN"/>
        </w:rPr>
        <w:t>技术</w:t>
      </w:r>
      <w:r>
        <w:rPr>
          <w:rFonts w:hint="eastAsia"/>
          <w:color w:val="auto"/>
          <w:sz w:val="30"/>
          <w:szCs w:val="30"/>
        </w:rPr>
        <w:t>要求</w:t>
      </w:r>
    </w:p>
    <w:tbl>
      <w:tblPr>
        <w:tblStyle w:val="23"/>
        <w:tblpPr w:leftFromText="180" w:rightFromText="180" w:vertAnchor="text" w:horzAnchor="page" w:tblpX="1421" w:tblpY="135"/>
        <w:tblOverlap w:val="never"/>
        <w:tblW w:w="463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75"/>
        <w:gridCol w:w="1794"/>
        <w:gridCol w:w="5518"/>
        <w:gridCol w:w="1200"/>
      </w:tblGrid>
      <w:tr w14:paraId="017C1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8" w:hRule="atLeast"/>
          <w:tblHeader/>
        </w:trPr>
        <w:tc>
          <w:tcPr>
            <w:tcW w:w="466" w:type="pct"/>
            <w:shd w:val="clear" w:color="auto" w:fill="auto"/>
            <w:vAlign w:val="center"/>
          </w:tcPr>
          <w:p w14:paraId="329F7E2F">
            <w:pPr>
              <w:keepNext w:val="0"/>
              <w:keepLines w:val="0"/>
              <w:pageBreakBefore w:val="0"/>
              <w:widowControl/>
              <w:tabs>
                <w:tab w:val="left" w:pos="0"/>
              </w:tabs>
              <w:kinsoku/>
              <w:wordWrap/>
              <w:overflowPunct/>
              <w:topLinePunct w:val="0"/>
              <w:autoSpaceDE/>
              <w:autoSpaceDN/>
              <w:bidi w:val="0"/>
              <w:adjustRightInd/>
              <w:snapToGrid/>
              <w:spacing w:line="360" w:lineRule="exact"/>
              <w:ind w:right="-78" w:rightChars="-37" w:firstLine="0" w:firstLineChars="0"/>
              <w:jc w:val="center"/>
              <w:textAlignment w:val="auto"/>
              <w:rPr>
                <w:rFonts w:ascii="宋体" w:hAnsi="宋体" w:cs="宋体"/>
                <w:b/>
                <w:sz w:val="21"/>
                <w:szCs w:val="21"/>
                <w:highlight w:val="none"/>
              </w:rPr>
            </w:pPr>
            <w:r>
              <w:rPr>
                <w:rFonts w:hint="eastAsia" w:ascii="宋体" w:hAnsi="宋体" w:cs="宋体"/>
                <w:b/>
                <w:sz w:val="21"/>
                <w:szCs w:val="21"/>
                <w:highlight w:val="none"/>
              </w:rPr>
              <w:t>序号</w:t>
            </w:r>
          </w:p>
        </w:tc>
        <w:tc>
          <w:tcPr>
            <w:tcW w:w="955" w:type="pct"/>
            <w:shd w:val="clear" w:color="auto" w:fill="auto"/>
            <w:vAlign w:val="center"/>
          </w:tcPr>
          <w:p w14:paraId="024B36CD">
            <w:pPr>
              <w:tabs>
                <w:tab w:val="left" w:pos="0"/>
              </w:tabs>
              <w:spacing w:line="360" w:lineRule="exact"/>
              <w:ind w:firstLine="0" w:firstLineChars="0"/>
              <w:jc w:val="center"/>
              <w:rPr>
                <w:rFonts w:ascii="宋体" w:hAnsi="宋体" w:cs="宋体"/>
                <w:b/>
                <w:kern w:val="0"/>
                <w:sz w:val="21"/>
                <w:szCs w:val="21"/>
                <w:highlight w:val="none"/>
              </w:rPr>
            </w:pPr>
            <w:r>
              <w:rPr>
                <w:rFonts w:hint="eastAsia" w:ascii="宋体" w:hAnsi="宋体" w:cs="宋体"/>
                <w:b/>
                <w:kern w:val="0"/>
                <w:sz w:val="21"/>
                <w:szCs w:val="21"/>
                <w:highlight w:val="none"/>
                <w:lang w:val="en-US" w:eastAsia="zh-CN"/>
              </w:rPr>
              <w:t>技术</w:t>
            </w:r>
            <w:r>
              <w:rPr>
                <w:rFonts w:hint="eastAsia" w:ascii="宋体" w:hAnsi="宋体" w:cs="宋体"/>
                <w:b/>
                <w:kern w:val="0"/>
                <w:sz w:val="21"/>
                <w:szCs w:val="21"/>
                <w:highlight w:val="none"/>
              </w:rPr>
              <w:t>条款</w:t>
            </w:r>
          </w:p>
        </w:tc>
        <w:tc>
          <w:tcPr>
            <w:tcW w:w="2938" w:type="pct"/>
            <w:shd w:val="clear" w:color="auto" w:fill="auto"/>
            <w:vAlign w:val="center"/>
          </w:tcPr>
          <w:p w14:paraId="452DAF89">
            <w:pPr>
              <w:tabs>
                <w:tab w:val="left" w:pos="0"/>
              </w:tabs>
              <w:spacing w:line="360" w:lineRule="exact"/>
              <w:ind w:left="-92" w:leftChars="-44" w:right="-78" w:rightChars="-37" w:firstLine="482"/>
              <w:jc w:val="center"/>
              <w:rPr>
                <w:rFonts w:ascii="宋体" w:hAnsi="宋体" w:cs="宋体"/>
                <w:b/>
                <w:sz w:val="21"/>
                <w:szCs w:val="21"/>
                <w:highlight w:val="none"/>
              </w:rPr>
            </w:pPr>
            <w:r>
              <w:rPr>
                <w:rFonts w:hint="eastAsia" w:ascii="宋体" w:hAnsi="宋体" w:cs="宋体"/>
                <w:b/>
                <w:sz w:val="21"/>
                <w:szCs w:val="21"/>
                <w:highlight w:val="none"/>
              </w:rPr>
              <w:t>内    容</w:t>
            </w:r>
          </w:p>
        </w:tc>
        <w:tc>
          <w:tcPr>
            <w:tcW w:w="639" w:type="pct"/>
            <w:shd w:val="clear" w:color="auto" w:fill="auto"/>
            <w:vAlign w:val="center"/>
          </w:tcPr>
          <w:p w14:paraId="1647FFAA">
            <w:pPr>
              <w:tabs>
                <w:tab w:val="left" w:pos="0"/>
              </w:tabs>
              <w:spacing w:line="360" w:lineRule="exact"/>
              <w:ind w:right="-107" w:rightChars="-51" w:firstLine="0" w:firstLineChars="0"/>
              <w:jc w:val="center"/>
              <w:rPr>
                <w:rFonts w:ascii="宋体" w:hAnsi="宋体" w:cs="宋体"/>
                <w:b/>
                <w:sz w:val="21"/>
                <w:szCs w:val="21"/>
                <w:highlight w:val="none"/>
              </w:rPr>
            </w:pPr>
            <w:r>
              <w:rPr>
                <w:rFonts w:hint="eastAsia" w:ascii="宋体" w:hAnsi="宋体" w:cs="宋体"/>
                <w:b/>
                <w:sz w:val="21"/>
                <w:szCs w:val="21"/>
                <w:highlight w:val="none"/>
              </w:rPr>
              <w:t>备注</w:t>
            </w:r>
          </w:p>
        </w:tc>
      </w:tr>
      <w:tr w14:paraId="5C3BC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trPr>
        <w:tc>
          <w:tcPr>
            <w:tcW w:w="466" w:type="pct"/>
            <w:shd w:val="clear" w:color="auto" w:fill="auto"/>
            <w:vAlign w:val="center"/>
          </w:tcPr>
          <w:p w14:paraId="734E47F5">
            <w:pPr>
              <w:keepNext w:val="0"/>
              <w:keepLines w:val="0"/>
              <w:pageBreakBefore w:val="0"/>
              <w:widowControl/>
              <w:tabs>
                <w:tab w:val="left" w:pos="102"/>
              </w:tabs>
              <w:kinsoku/>
              <w:wordWrap/>
              <w:overflowPunct/>
              <w:topLinePunct w:val="0"/>
              <w:autoSpaceDE/>
              <w:autoSpaceDN/>
              <w:bidi w:val="0"/>
              <w:adjustRightInd/>
              <w:snapToGrid/>
              <w:spacing w:line="280" w:lineRule="exact"/>
              <w:ind w:right="-65" w:rightChars="-31" w:firstLine="0" w:firstLineChars="0"/>
              <w:jc w:val="center"/>
              <w:textAlignment w:val="auto"/>
              <w:rPr>
                <w:rFonts w:hint="default" w:ascii="宋体" w:hAnsi="宋体" w:eastAsia="宋体" w:cs="宋体"/>
                <w:b/>
                <w:sz w:val="21"/>
                <w:szCs w:val="21"/>
                <w:highlight w:val="none"/>
                <w:lang w:val="en-US" w:eastAsia="zh-CN"/>
              </w:rPr>
            </w:pPr>
            <w:r>
              <w:rPr>
                <w:rFonts w:hint="eastAsia" w:ascii="宋体" w:hAnsi="宋体" w:cs="宋体"/>
                <w:b/>
                <w:sz w:val="21"/>
                <w:szCs w:val="21"/>
                <w:highlight w:val="none"/>
                <w:lang w:val="en-US" w:eastAsia="zh-CN"/>
              </w:rPr>
              <w:t>1</w:t>
            </w:r>
          </w:p>
        </w:tc>
        <w:tc>
          <w:tcPr>
            <w:tcW w:w="955" w:type="pct"/>
            <w:shd w:val="clear" w:color="auto" w:fill="auto"/>
            <w:vAlign w:val="center"/>
          </w:tcPr>
          <w:p w14:paraId="316A9CDA">
            <w:pPr>
              <w:tabs>
                <w:tab w:val="left" w:pos="0"/>
              </w:tabs>
              <w:spacing w:line="360" w:lineRule="exact"/>
              <w:ind w:firstLine="0" w:firstLineChars="0"/>
              <w:jc w:val="center"/>
              <w:rPr>
                <w:rFonts w:ascii="宋体" w:hAnsi="宋体" w:cs="宋体"/>
                <w:b/>
                <w:sz w:val="21"/>
                <w:szCs w:val="21"/>
                <w:highlight w:val="none"/>
              </w:rPr>
            </w:pPr>
            <w:r>
              <w:rPr>
                <w:rFonts w:hint="eastAsia" w:ascii="宋体" w:hAnsi="宋体" w:cs="宋体"/>
                <w:b/>
                <w:sz w:val="21"/>
                <w:szCs w:val="21"/>
                <w:highlight w:val="none"/>
              </w:rPr>
              <w:t>技术</w:t>
            </w:r>
            <w:r>
              <w:rPr>
                <w:rFonts w:hint="eastAsia" w:ascii="宋体" w:hAnsi="宋体" w:cs="宋体"/>
                <w:b/>
                <w:sz w:val="21"/>
                <w:szCs w:val="21"/>
                <w:highlight w:val="none"/>
                <w:lang w:val="en-US" w:eastAsia="zh-CN"/>
              </w:rPr>
              <w:t>参数</w:t>
            </w:r>
            <w:r>
              <w:rPr>
                <w:rFonts w:hint="eastAsia" w:ascii="宋体" w:hAnsi="宋体" w:cs="宋体"/>
                <w:b/>
                <w:sz w:val="21"/>
                <w:szCs w:val="21"/>
                <w:highlight w:val="none"/>
              </w:rPr>
              <w:t>响应</w:t>
            </w:r>
          </w:p>
        </w:tc>
        <w:tc>
          <w:tcPr>
            <w:tcW w:w="2938" w:type="pct"/>
            <w:shd w:val="clear" w:color="auto" w:fill="auto"/>
            <w:vAlign w:val="center"/>
          </w:tcPr>
          <w:p w14:paraId="297E0D25">
            <w:pPr>
              <w:tabs>
                <w:tab w:val="left" w:pos="0"/>
              </w:tabs>
              <w:ind w:left="0" w:leftChars="0" w:firstLine="0" w:firstLineChars="0"/>
              <w:jc w:val="both"/>
              <w:rPr>
                <w:rFonts w:hint="eastAsia" w:ascii="宋体" w:hAnsi="宋体" w:eastAsia="宋体" w:cs="宋体"/>
                <w:color w:val="FF0000"/>
                <w:sz w:val="21"/>
                <w:szCs w:val="21"/>
                <w:highlight w:val="none"/>
                <w:lang w:val="en-US" w:eastAsia="zh-CN"/>
              </w:rPr>
            </w:pPr>
            <w:r>
              <w:rPr>
                <w:rFonts w:hint="eastAsia"/>
                <w:lang w:val="en-US" w:eastAsia="zh-CN"/>
              </w:rPr>
              <w:t>投标人</w:t>
            </w:r>
            <w:r>
              <w:rPr>
                <w:rFonts w:hint="eastAsia"/>
              </w:rPr>
              <w:t>应提供技术响应偏离表，并对技术参数要求说明是否响应</w:t>
            </w:r>
            <w:r>
              <w:rPr>
                <w:rFonts w:hint="eastAsia"/>
                <w:lang w:eastAsia="zh-CN"/>
              </w:rPr>
              <w:t>（</w:t>
            </w:r>
            <w:r>
              <w:rPr>
                <w:rFonts w:hint="eastAsia"/>
                <w:lang w:val="en-US" w:eastAsia="zh-CN"/>
              </w:rPr>
              <w:t>详见第二部分：二、技术参数要求</w:t>
            </w:r>
            <w:r>
              <w:rPr>
                <w:rFonts w:hint="eastAsia"/>
                <w:lang w:eastAsia="zh-CN"/>
              </w:rPr>
              <w:t>），所有▲项指标项须提供证明材料，未提供证明材料视为不满足。</w:t>
            </w:r>
          </w:p>
        </w:tc>
        <w:tc>
          <w:tcPr>
            <w:tcW w:w="639" w:type="pct"/>
            <w:shd w:val="clear" w:color="auto" w:fill="auto"/>
            <w:vAlign w:val="center"/>
          </w:tcPr>
          <w:p w14:paraId="4B2D3CBD">
            <w:pPr>
              <w:tabs>
                <w:tab w:val="left" w:pos="0"/>
              </w:tabs>
              <w:spacing w:line="360" w:lineRule="exact"/>
              <w:ind w:left="-107" w:leftChars="-51" w:right="-107" w:rightChars="-51" w:firstLine="482"/>
              <w:jc w:val="center"/>
              <w:rPr>
                <w:rFonts w:ascii="宋体" w:hAnsi="宋体" w:cs="宋体"/>
                <w:b/>
                <w:sz w:val="21"/>
                <w:szCs w:val="21"/>
                <w:highlight w:val="none"/>
              </w:rPr>
            </w:pPr>
          </w:p>
        </w:tc>
      </w:tr>
      <w:tr w14:paraId="5433E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47" w:hRule="atLeast"/>
        </w:trPr>
        <w:tc>
          <w:tcPr>
            <w:tcW w:w="466" w:type="pct"/>
            <w:shd w:val="clear" w:color="auto" w:fill="auto"/>
            <w:vAlign w:val="center"/>
          </w:tcPr>
          <w:p w14:paraId="761C115C">
            <w:pPr>
              <w:keepNext w:val="0"/>
              <w:keepLines w:val="0"/>
              <w:pageBreakBefore w:val="0"/>
              <w:widowControl/>
              <w:tabs>
                <w:tab w:val="left" w:pos="102"/>
              </w:tabs>
              <w:kinsoku/>
              <w:wordWrap/>
              <w:overflowPunct/>
              <w:topLinePunct w:val="0"/>
              <w:autoSpaceDE/>
              <w:autoSpaceDN/>
              <w:bidi w:val="0"/>
              <w:adjustRightInd/>
              <w:snapToGrid/>
              <w:spacing w:line="280" w:lineRule="exact"/>
              <w:ind w:right="-65" w:rightChars="-31" w:firstLine="0" w:firstLineChars="0"/>
              <w:jc w:val="center"/>
              <w:textAlignment w:val="auto"/>
              <w:rPr>
                <w:rFonts w:hint="eastAsia" w:ascii="宋体" w:hAnsi="宋体" w:eastAsia="宋体" w:cs="宋体"/>
                <w:b/>
                <w:sz w:val="21"/>
                <w:szCs w:val="21"/>
                <w:highlight w:val="none"/>
                <w:lang w:eastAsia="zh-CN"/>
              </w:rPr>
            </w:pPr>
            <w:r>
              <w:rPr>
                <w:rFonts w:hint="eastAsia" w:ascii="宋体" w:hAnsi="宋体" w:cs="宋体"/>
                <w:b/>
                <w:sz w:val="21"/>
                <w:szCs w:val="21"/>
                <w:highlight w:val="none"/>
                <w:lang w:val="en-US" w:eastAsia="zh-CN"/>
              </w:rPr>
              <w:t>2</w:t>
            </w:r>
          </w:p>
        </w:tc>
        <w:tc>
          <w:tcPr>
            <w:tcW w:w="955" w:type="pct"/>
            <w:shd w:val="clear" w:color="auto" w:fill="auto"/>
            <w:vAlign w:val="center"/>
          </w:tcPr>
          <w:p w14:paraId="10E9A7BE">
            <w:pPr>
              <w:tabs>
                <w:tab w:val="left" w:pos="0"/>
              </w:tabs>
              <w:ind w:right="-78" w:rightChars="-37" w:firstLine="0" w:firstLineChars="0"/>
              <w:jc w:val="center"/>
              <w:rPr>
                <w:rFonts w:ascii="宋体" w:hAnsi="宋体" w:cs="宋体"/>
                <w:b/>
                <w:sz w:val="21"/>
                <w:szCs w:val="21"/>
                <w:highlight w:val="none"/>
              </w:rPr>
            </w:pPr>
            <w:r>
              <w:rPr>
                <w:rFonts w:hint="eastAsia" w:ascii="宋体" w:hAnsi="宋体" w:cs="宋体"/>
                <w:b/>
                <w:sz w:val="21"/>
                <w:szCs w:val="21"/>
                <w:highlight w:val="none"/>
              </w:rPr>
              <w:t>项目实施方案</w:t>
            </w:r>
          </w:p>
        </w:tc>
        <w:tc>
          <w:tcPr>
            <w:tcW w:w="2938" w:type="pct"/>
            <w:shd w:val="clear" w:color="auto" w:fill="auto"/>
            <w:vAlign w:val="center"/>
          </w:tcPr>
          <w:p w14:paraId="5D9E2776">
            <w:pPr>
              <w:tabs>
                <w:tab w:val="left" w:pos="0"/>
              </w:tabs>
              <w:ind w:left="0" w:leftChars="0" w:firstLine="0" w:firstLineChars="0"/>
              <w:jc w:val="both"/>
              <w:rPr>
                <w:rFonts w:hint="eastAsia" w:ascii="宋体" w:hAnsi="宋体" w:cs="宋体"/>
                <w:color w:val="000000"/>
                <w:kern w:val="0"/>
                <w:sz w:val="21"/>
                <w:szCs w:val="21"/>
                <w:highlight w:val="none"/>
                <w:lang w:val="en-US" w:eastAsia="zh-CN"/>
              </w:rPr>
            </w:pPr>
            <w:r>
              <w:rPr>
                <w:rFonts w:hint="eastAsia" w:ascii="宋体" w:hAnsi="宋体" w:cs="宋体"/>
                <w:color w:val="000000"/>
                <w:kern w:val="0"/>
                <w:sz w:val="21"/>
                <w:szCs w:val="21"/>
                <w:highlight w:val="none"/>
                <w:lang w:val="en-US" w:eastAsia="zh-CN"/>
              </w:rPr>
              <w:t>投标人应编制项目实施方案，包含：</w:t>
            </w:r>
          </w:p>
          <w:p w14:paraId="7F76AD72">
            <w:pPr>
              <w:tabs>
                <w:tab w:val="left" w:pos="0"/>
              </w:tabs>
              <w:ind w:left="0" w:leftChars="0" w:firstLine="0" w:firstLineChars="0"/>
              <w:jc w:val="both"/>
              <w:rPr>
                <w:rFonts w:hint="eastAsia" w:ascii="宋体" w:hAnsi="宋体" w:cs="宋体"/>
                <w:color w:val="000000"/>
                <w:kern w:val="0"/>
                <w:sz w:val="21"/>
                <w:szCs w:val="21"/>
                <w:highlight w:val="none"/>
                <w:lang w:val="en-US" w:eastAsia="zh-CN"/>
              </w:rPr>
            </w:pPr>
            <w:r>
              <w:rPr>
                <w:rFonts w:hint="eastAsia" w:ascii="宋体" w:hAnsi="宋体" w:cs="宋体"/>
                <w:color w:val="000000"/>
                <w:kern w:val="0"/>
                <w:sz w:val="21"/>
                <w:szCs w:val="21"/>
                <w:highlight w:val="none"/>
                <w:lang w:val="en-US" w:eastAsia="zh-CN"/>
              </w:rPr>
              <w:t>（1）供货进度保证措施及质量保证计划；</w:t>
            </w:r>
          </w:p>
          <w:p w14:paraId="34A97B37">
            <w:pPr>
              <w:tabs>
                <w:tab w:val="left" w:pos="0"/>
              </w:tabs>
              <w:ind w:left="0" w:leftChars="0" w:firstLine="0" w:firstLineChars="0"/>
              <w:jc w:val="both"/>
              <w:rPr>
                <w:rFonts w:hint="eastAsia" w:ascii="宋体" w:hAnsi="宋体" w:cs="宋体"/>
                <w:color w:val="000000"/>
                <w:kern w:val="0"/>
                <w:sz w:val="21"/>
                <w:szCs w:val="21"/>
                <w:highlight w:val="none"/>
                <w:lang w:val="en-US" w:eastAsia="zh-CN"/>
              </w:rPr>
            </w:pPr>
            <w:r>
              <w:rPr>
                <w:rFonts w:hint="eastAsia" w:ascii="宋体" w:hAnsi="宋体" w:cs="宋体"/>
                <w:color w:val="000000"/>
                <w:kern w:val="0"/>
                <w:sz w:val="21"/>
                <w:szCs w:val="21"/>
                <w:highlight w:val="none"/>
                <w:lang w:val="en-US" w:eastAsia="zh-CN"/>
              </w:rPr>
              <w:t>（2）安装技术方案；</w:t>
            </w:r>
          </w:p>
          <w:p w14:paraId="7F06DAF4">
            <w:pPr>
              <w:tabs>
                <w:tab w:val="left" w:pos="0"/>
              </w:tabs>
              <w:ind w:left="0" w:leftChars="0" w:firstLine="0" w:firstLineChars="0"/>
              <w:jc w:val="both"/>
              <w:rPr>
                <w:rFonts w:hint="eastAsia" w:ascii="宋体" w:hAnsi="宋体" w:cs="宋体"/>
                <w:color w:val="000000"/>
                <w:kern w:val="0"/>
                <w:sz w:val="21"/>
                <w:szCs w:val="21"/>
                <w:highlight w:val="none"/>
                <w:lang w:val="en-US" w:eastAsia="zh-CN"/>
              </w:rPr>
            </w:pPr>
            <w:r>
              <w:rPr>
                <w:rFonts w:hint="eastAsia" w:ascii="宋体" w:hAnsi="宋体" w:cs="宋体"/>
                <w:color w:val="000000"/>
                <w:kern w:val="0"/>
                <w:sz w:val="21"/>
                <w:szCs w:val="21"/>
                <w:highlight w:val="none"/>
                <w:lang w:val="en-US" w:eastAsia="zh-CN"/>
              </w:rPr>
              <w:t>（3）检验、调试及验收方案；</w:t>
            </w:r>
          </w:p>
          <w:p w14:paraId="382FCA11">
            <w:pPr>
              <w:tabs>
                <w:tab w:val="left" w:pos="0"/>
              </w:tabs>
              <w:ind w:left="0" w:leftChars="0" w:firstLine="0" w:firstLineChars="0"/>
              <w:jc w:val="both"/>
              <w:rPr>
                <w:rFonts w:hint="default" w:ascii="宋体" w:hAnsi="宋体" w:cs="宋体" w:eastAsiaTheme="minorEastAsia"/>
                <w:color w:val="FF0000"/>
                <w:sz w:val="21"/>
                <w:szCs w:val="21"/>
                <w:highlight w:val="none"/>
                <w:lang w:val="en-US" w:eastAsia="zh-Hans"/>
              </w:rPr>
            </w:pPr>
            <w:r>
              <w:rPr>
                <w:rFonts w:hint="eastAsia" w:ascii="宋体" w:hAnsi="宋体" w:cs="宋体"/>
                <w:color w:val="000000"/>
                <w:kern w:val="0"/>
                <w:sz w:val="21"/>
                <w:szCs w:val="21"/>
                <w:highlight w:val="none"/>
                <w:lang w:val="en-US" w:eastAsia="zh-CN"/>
              </w:rPr>
              <w:t>（4）应急方案。</w:t>
            </w:r>
          </w:p>
        </w:tc>
        <w:tc>
          <w:tcPr>
            <w:tcW w:w="639" w:type="pct"/>
            <w:shd w:val="clear" w:color="auto" w:fill="auto"/>
            <w:vAlign w:val="center"/>
          </w:tcPr>
          <w:p w14:paraId="3C9124AF">
            <w:pPr>
              <w:tabs>
                <w:tab w:val="left" w:pos="0"/>
              </w:tabs>
              <w:spacing w:line="360" w:lineRule="exact"/>
              <w:ind w:left="-107" w:leftChars="-51" w:right="-107" w:rightChars="-51" w:firstLine="482"/>
              <w:jc w:val="center"/>
              <w:rPr>
                <w:rFonts w:ascii="宋体" w:hAnsi="宋体" w:cs="宋体"/>
                <w:b/>
                <w:sz w:val="21"/>
                <w:szCs w:val="21"/>
                <w:highlight w:val="none"/>
              </w:rPr>
            </w:pPr>
          </w:p>
        </w:tc>
      </w:tr>
      <w:tr w14:paraId="21DB0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8" w:hRule="atLeast"/>
        </w:trPr>
        <w:tc>
          <w:tcPr>
            <w:tcW w:w="466" w:type="pct"/>
            <w:shd w:val="clear" w:color="auto" w:fill="auto"/>
            <w:vAlign w:val="center"/>
          </w:tcPr>
          <w:p w14:paraId="080BC11D">
            <w:pPr>
              <w:keepNext w:val="0"/>
              <w:keepLines w:val="0"/>
              <w:pageBreakBefore w:val="0"/>
              <w:widowControl/>
              <w:tabs>
                <w:tab w:val="left" w:pos="102"/>
              </w:tabs>
              <w:kinsoku/>
              <w:wordWrap/>
              <w:overflowPunct/>
              <w:topLinePunct w:val="0"/>
              <w:autoSpaceDE/>
              <w:autoSpaceDN/>
              <w:bidi w:val="0"/>
              <w:adjustRightInd/>
              <w:snapToGrid/>
              <w:spacing w:line="280" w:lineRule="exact"/>
              <w:ind w:right="-65" w:rightChars="-31" w:firstLine="0" w:firstLineChars="0"/>
              <w:jc w:val="center"/>
              <w:textAlignment w:val="auto"/>
              <w:rPr>
                <w:rFonts w:hint="eastAsia" w:ascii="宋体" w:hAnsi="宋体" w:eastAsia="宋体" w:cs="宋体"/>
                <w:b/>
                <w:sz w:val="21"/>
                <w:szCs w:val="21"/>
                <w:highlight w:val="none"/>
                <w:lang w:eastAsia="zh-CN"/>
              </w:rPr>
            </w:pPr>
            <w:r>
              <w:rPr>
                <w:rFonts w:hint="eastAsia" w:ascii="宋体" w:hAnsi="宋体" w:cs="宋体"/>
                <w:b/>
                <w:sz w:val="21"/>
                <w:szCs w:val="21"/>
                <w:highlight w:val="none"/>
                <w:lang w:val="en-US" w:eastAsia="zh-CN"/>
              </w:rPr>
              <w:t>3</w:t>
            </w:r>
          </w:p>
        </w:tc>
        <w:tc>
          <w:tcPr>
            <w:tcW w:w="955" w:type="pct"/>
            <w:shd w:val="clear" w:color="auto" w:fill="auto"/>
            <w:vAlign w:val="center"/>
          </w:tcPr>
          <w:p w14:paraId="7AA3F837">
            <w:pPr>
              <w:tabs>
                <w:tab w:val="left" w:pos="0"/>
              </w:tabs>
              <w:ind w:right="-78" w:rightChars="-37" w:firstLine="0" w:firstLineChars="0"/>
              <w:jc w:val="center"/>
              <w:rPr>
                <w:rFonts w:ascii="宋体" w:hAnsi="宋体" w:cs="宋体"/>
                <w:b/>
                <w:color w:val="auto"/>
                <w:sz w:val="21"/>
                <w:szCs w:val="21"/>
                <w:highlight w:val="none"/>
              </w:rPr>
            </w:pPr>
            <w:r>
              <w:rPr>
                <w:rFonts w:hint="eastAsia" w:ascii="宋体" w:hAnsi="宋体" w:cs="宋体"/>
                <w:b/>
                <w:color w:val="auto"/>
                <w:sz w:val="21"/>
                <w:szCs w:val="21"/>
                <w:highlight w:val="none"/>
              </w:rPr>
              <w:t>培训方案</w:t>
            </w:r>
          </w:p>
        </w:tc>
        <w:tc>
          <w:tcPr>
            <w:tcW w:w="2938" w:type="pct"/>
            <w:shd w:val="clear" w:color="auto" w:fill="auto"/>
            <w:vAlign w:val="center"/>
          </w:tcPr>
          <w:p w14:paraId="776FDBD0">
            <w:pPr>
              <w:tabs>
                <w:tab w:val="left" w:pos="0"/>
              </w:tabs>
              <w:ind w:left="0" w:leftChars="0" w:firstLine="0" w:firstLineChars="0"/>
              <w:jc w:val="both"/>
              <w:rPr>
                <w:rFonts w:hint="eastAsia"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投标人应编制培训方案，包含：</w:t>
            </w:r>
          </w:p>
          <w:p w14:paraId="1BE82A7B">
            <w:pPr>
              <w:tabs>
                <w:tab w:val="left" w:pos="0"/>
              </w:tabs>
              <w:ind w:left="0" w:leftChars="0" w:firstLine="0" w:firstLineChars="0"/>
              <w:rPr>
                <w:rFonts w:hint="default" w:ascii="宋体" w:hAnsi="宋体" w:cs="宋体" w:eastAsiaTheme="minorEastAsia"/>
                <w:color w:val="auto"/>
                <w:sz w:val="21"/>
                <w:szCs w:val="21"/>
                <w:highlight w:val="none"/>
                <w:lang w:val="en-US" w:eastAsia="zh-CN"/>
              </w:rPr>
            </w:pPr>
            <w:r>
              <w:rPr>
                <w:rFonts w:hint="default" w:ascii="宋体" w:hAnsi="宋体" w:cs="宋体" w:eastAsiaTheme="minorEastAsia"/>
                <w:color w:val="auto"/>
                <w:sz w:val="21"/>
                <w:szCs w:val="21"/>
                <w:highlight w:val="none"/>
                <w:lang w:val="en-US" w:eastAsia="zh-CN"/>
              </w:rPr>
              <w:t>（1）培训计划</w:t>
            </w:r>
          </w:p>
          <w:p w14:paraId="63BD9EAB">
            <w:pPr>
              <w:tabs>
                <w:tab w:val="left" w:pos="0"/>
              </w:tabs>
              <w:ind w:left="0" w:leftChars="0" w:firstLine="0" w:firstLineChars="0"/>
              <w:rPr>
                <w:rFonts w:hint="default" w:ascii="宋体" w:hAnsi="宋体" w:cs="宋体" w:eastAsiaTheme="minorEastAsia"/>
                <w:color w:val="auto"/>
                <w:sz w:val="21"/>
                <w:szCs w:val="21"/>
                <w:highlight w:val="none"/>
                <w:lang w:val="en-US" w:eastAsia="zh-CN"/>
              </w:rPr>
            </w:pPr>
            <w:r>
              <w:rPr>
                <w:rFonts w:hint="default" w:ascii="宋体" w:hAnsi="宋体" w:cs="宋体" w:eastAsiaTheme="minorEastAsia"/>
                <w:color w:val="auto"/>
                <w:sz w:val="21"/>
                <w:szCs w:val="21"/>
                <w:highlight w:val="none"/>
                <w:lang w:val="en-US" w:eastAsia="zh-CN"/>
              </w:rPr>
              <w:t>（2）培训方式</w:t>
            </w:r>
          </w:p>
        </w:tc>
        <w:tc>
          <w:tcPr>
            <w:tcW w:w="639" w:type="pct"/>
            <w:shd w:val="clear" w:color="auto" w:fill="auto"/>
            <w:vAlign w:val="center"/>
          </w:tcPr>
          <w:p w14:paraId="4CF6DC5D">
            <w:pPr>
              <w:tabs>
                <w:tab w:val="left" w:pos="0"/>
              </w:tabs>
              <w:spacing w:line="360" w:lineRule="exact"/>
              <w:ind w:left="-107" w:leftChars="-51" w:right="-107" w:rightChars="-51" w:firstLine="482"/>
              <w:jc w:val="center"/>
              <w:rPr>
                <w:rFonts w:ascii="宋体" w:hAnsi="宋体" w:cs="宋体"/>
                <w:b/>
                <w:sz w:val="21"/>
                <w:szCs w:val="21"/>
                <w:highlight w:val="none"/>
              </w:rPr>
            </w:pPr>
          </w:p>
        </w:tc>
      </w:tr>
      <w:tr w14:paraId="4DB94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3" w:hRule="atLeast"/>
        </w:trPr>
        <w:tc>
          <w:tcPr>
            <w:tcW w:w="466" w:type="pct"/>
            <w:shd w:val="clear" w:color="auto" w:fill="auto"/>
            <w:vAlign w:val="center"/>
          </w:tcPr>
          <w:p w14:paraId="10BC4FC3">
            <w:pPr>
              <w:keepNext w:val="0"/>
              <w:keepLines w:val="0"/>
              <w:pageBreakBefore w:val="0"/>
              <w:widowControl/>
              <w:tabs>
                <w:tab w:val="left" w:pos="102"/>
              </w:tabs>
              <w:kinsoku/>
              <w:wordWrap/>
              <w:overflowPunct/>
              <w:topLinePunct w:val="0"/>
              <w:autoSpaceDE/>
              <w:autoSpaceDN/>
              <w:bidi w:val="0"/>
              <w:adjustRightInd/>
              <w:snapToGrid/>
              <w:spacing w:line="280" w:lineRule="exact"/>
              <w:ind w:right="-65" w:rightChars="-31" w:firstLine="0" w:firstLineChars="0"/>
              <w:jc w:val="center"/>
              <w:textAlignment w:val="auto"/>
              <w:rPr>
                <w:rFonts w:hint="eastAsia" w:ascii="宋体" w:hAnsi="宋体" w:eastAsia="宋体" w:cs="宋体"/>
                <w:b/>
                <w:sz w:val="21"/>
                <w:szCs w:val="21"/>
                <w:highlight w:val="none"/>
                <w:lang w:eastAsia="zh-CN"/>
              </w:rPr>
            </w:pPr>
            <w:r>
              <w:rPr>
                <w:rFonts w:hint="eastAsia" w:ascii="宋体" w:hAnsi="宋体" w:cs="宋体"/>
                <w:b/>
                <w:sz w:val="21"/>
                <w:szCs w:val="21"/>
                <w:highlight w:val="none"/>
                <w:lang w:val="en-US" w:eastAsia="zh-CN"/>
              </w:rPr>
              <w:t>4</w:t>
            </w:r>
          </w:p>
        </w:tc>
        <w:tc>
          <w:tcPr>
            <w:tcW w:w="955" w:type="pct"/>
            <w:shd w:val="clear" w:color="auto" w:fill="auto"/>
            <w:vAlign w:val="center"/>
          </w:tcPr>
          <w:p w14:paraId="53DADA2F">
            <w:pPr>
              <w:tabs>
                <w:tab w:val="left" w:pos="0"/>
              </w:tabs>
              <w:ind w:right="-78" w:rightChars="-37" w:firstLine="0" w:firstLineChars="0"/>
              <w:jc w:val="center"/>
              <w:rPr>
                <w:rFonts w:ascii="宋体" w:hAnsi="宋体" w:cs="宋体"/>
                <w:b/>
                <w:sz w:val="21"/>
                <w:szCs w:val="21"/>
                <w:highlight w:val="none"/>
              </w:rPr>
            </w:pPr>
            <w:r>
              <w:rPr>
                <w:rFonts w:hint="eastAsia" w:ascii="宋体" w:hAnsi="宋体" w:cs="宋体"/>
                <w:b/>
                <w:sz w:val="21"/>
                <w:szCs w:val="21"/>
                <w:highlight w:val="none"/>
              </w:rPr>
              <w:t>售后服务方案</w:t>
            </w:r>
          </w:p>
        </w:tc>
        <w:tc>
          <w:tcPr>
            <w:tcW w:w="2938" w:type="pct"/>
            <w:shd w:val="clear" w:color="auto" w:fill="auto"/>
            <w:vAlign w:val="center"/>
          </w:tcPr>
          <w:p w14:paraId="17036159">
            <w:pPr>
              <w:tabs>
                <w:tab w:val="left" w:pos="0"/>
              </w:tabs>
              <w:ind w:left="0" w:leftChars="0" w:firstLine="0" w:firstLineChars="0"/>
              <w:jc w:val="both"/>
              <w:rPr>
                <w:rFonts w:hint="eastAsia" w:ascii="宋体" w:hAnsi="宋体" w:cs="宋体"/>
                <w:color w:val="000000"/>
                <w:kern w:val="0"/>
                <w:sz w:val="21"/>
                <w:szCs w:val="21"/>
                <w:highlight w:val="none"/>
                <w:lang w:val="en-US" w:eastAsia="zh-CN"/>
              </w:rPr>
            </w:pPr>
            <w:r>
              <w:rPr>
                <w:rFonts w:hint="eastAsia" w:ascii="宋体" w:hAnsi="宋体" w:cs="宋体"/>
                <w:color w:val="000000"/>
                <w:kern w:val="0"/>
                <w:sz w:val="21"/>
                <w:szCs w:val="21"/>
                <w:highlight w:val="none"/>
                <w:lang w:val="en-US" w:eastAsia="zh-CN"/>
              </w:rPr>
              <w:t>投标人应编制售后服务方案，包含：</w:t>
            </w:r>
          </w:p>
          <w:p w14:paraId="4087AE65">
            <w:pPr>
              <w:tabs>
                <w:tab w:val="left" w:pos="0"/>
              </w:tabs>
              <w:ind w:left="0" w:leftChars="0" w:firstLine="0" w:firstLineChars="0"/>
              <w:rPr>
                <w:rFonts w:hint="eastAsia" w:ascii="宋体" w:hAnsi="宋体" w:cs="宋体"/>
                <w:sz w:val="21"/>
                <w:szCs w:val="21"/>
                <w:highlight w:val="none"/>
                <w:lang w:val="zh-CN"/>
              </w:rPr>
            </w:pPr>
            <w:r>
              <w:rPr>
                <w:rFonts w:hint="eastAsia" w:ascii="宋体" w:hAnsi="宋体" w:cs="宋体"/>
                <w:sz w:val="21"/>
                <w:szCs w:val="21"/>
                <w:highlight w:val="none"/>
                <w:lang w:val="zh-CN"/>
              </w:rPr>
              <w:t>（1）服务响应时间</w:t>
            </w:r>
          </w:p>
          <w:p w14:paraId="1ADBF86F">
            <w:pPr>
              <w:tabs>
                <w:tab w:val="left" w:pos="0"/>
              </w:tabs>
              <w:ind w:left="0" w:leftChars="0" w:firstLine="0" w:firstLineChars="0"/>
              <w:rPr>
                <w:rFonts w:hint="eastAsia" w:ascii="宋体" w:hAnsi="宋体" w:cs="宋体"/>
                <w:sz w:val="21"/>
                <w:szCs w:val="21"/>
                <w:highlight w:val="none"/>
                <w:lang w:val="zh-CN"/>
              </w:rPr>
            </w:pPr>
            <w:r>
              <w:rPr>
                <w:rFonts w:hint="eastAsia" w:ascii="宋体" w:hAnsi="宋体" w:cs="宋体"/>
                <w:sz w:val="21"/>
                <w:szCs w:val="21"/>
                <w:highlight w:val="none"/>
                <w:lang w:val="zh-CN"/>
              </w:rPr>
              <w:t>（2）售后服务技术人员情况</w:t>
            </w:r>
          </w:p>
          <w:p w14:paraId="64366DB1">
            <w:pPr>
              <w:tabs>
                <w:tab w:val="left" w:pos="0"/>
              </w:tabs>
              <w:ind w:left="0" w:leftChars="0" w:firstLine="0" w:firstLineChars="0"/>
              <w:rPr>
                <w:rFonts w:hint="eastAsia" w:ascii="宋体" w:hAnsi="宋体" w:cs="宋体" w:eastAsiaTheme="minorEastAsia"/>
                <w:color w:val="FF0000"/>
                <w:sz w:val="21"/>
                <w:szCs w:val="21"/>
                <w:highlight w:val="none"/>
                <w:lang w:val="zh-CN" w:eastAsia="zh-CN"/>
              </w:rPr>
            </w:pPr>
            <w:r>
              <w:rPr>
                <w:rFonts w:hint="eastAsia" w:ascii="宋体" w:hAnsi="宋体" w:cs="宋体"/>
                <w:sz w:val="21"/>
                <w:szCs w:val="21"/>
                <w:highlight w:val="none"/>
                <w:lang w:val="zh-CN"/>
              </w:rPr>
              <w:t>（3）备品备件方案</w:t>
            </w:r>
          </w:p>
        </w:tc>
        <w:tc>
          <w:tcPr>
            <w:tcW w:w="639" w:type="pct"/>
            <w:shd w:val="clear" w:color="auto" w:fill="auto"/>
            <w:vAlign w:val="center"/>
          </w:tcPr>
          <w:p w14:paraId="1D91DD4B">
            <w:pPr>
              <w:tabs>
                <w:tab w:val="left" w:pos="0"/>
              </w:tabs>
              <w:spacing w:line="360" w:lineRule="exact"/>
              <w:ind w:left="-107" w:leftChars="-51" w:right="-107" w:rightChars="-51" w:firstLine="482"/>
              <w:jc w:val="center"/>
              <w:rPr>
                <w:rFonts w:ascii="宋体" w:hAnsi="宋体" w:cs="宋体"/>
                <w:b/>
                <w:sz w:val="21"/>
                <w:szCs w:val="21"/>
                <w:highlight w:val="none"/>
              </w:rPr>
            </w:pPr>
          </w:p>
        </w:tc>
      </w:tr>
    </w:tbl>
    <w:p w14:paraId="7261A3C7">
      <w:pPr>
        <w:pStyle w:val="2"/>
        <w:keepNext/>
        <w:keepLines/>
        <w:pageBreakBefore/>
        <w:widowControl/>
        <w:kinsoku/>
        <w:wordWrap/>
        <w:overflowPunct/>
        <w:topLinePunct w:val="0"/>
        <w:autoSpaceDE/>
        <w:autoSpaceDN/>
        <w:bidi w:val="0"/>
        <w:adjustRightInd/>
        <w:snapToGrid/>
        <w:spacing w:line="579" w:lineRule="auto"/>
        <w:ind w:firstLine="0" w:firstLineChars="0"/>
        <w:jc w:val="center"/>
        <w:textAlignment w:val="auto"/>
        <w:rPr>
          <w:color w:val="auto"/>
        </w:rPr>
      </w:pPr>
      <w:bookmarkStart w:id="13" w:name="_Toc799"/>
      <w:r>
        <w:rPr>
          <w:rFonts w:hint="eastAsia"/>
          <w:color w:val="auto"/>
        </w:rPr>
        <w:t>第三部分  评标方法及评分标准</w:t>
      </w:r>
      <w:bookmarkEnd w:id="12"/>
      <w:bookmarkEnd w:id="13"/>
    </w:p>
    <w:p w14:paraId="76BB60F8">
      <w:pPr>
        <w:pStyle w:val="3"/>
        <w:numPr>
          <w:ilvl w:val="0"/>
          <w:numId w:val="1"/>
        </w:numPr>
        <w:spacing w:line="560" w:lineRule="exact"/>
        <w:ind w:left="10" w:leftChars="0" w:firstLine="602" w:firstLineChars="0"/>
        <w:rPr>
          <w:color w:val="auto"/>
          <w:sz w:val="30"/>
          <w:szCs w:val="30"/>
        </w:rPr>
      </w:pPr>
      <w:bookmarkStart w:id="14" w:name="_Toc10229"/>
      <w:bookmarkStart w:id="15" w:name="_Toc1458938"/>
      <w:r>
        <w:rPr>
          <w:rFonts w:hint="eastAsia"/>
          <w:color w:val="auto"/>
          <w:sz w:val="30"/>
          <w:szCs w:val="30"/>
        </w:rPr>
        <w:t>评标方法</w:t>
      </w:r>
      <w:bookmarkEnd w:id="14"/>
      <w:bookmarkEnd w:id="15"/>
    </w:p>
    <w:p w14:paraId="1A542E00">
      <w:pPr>
        <w:spacing w:line="560" w:lineRule="exact"/>
        <w:ind w:firstLine="480"/>
        <w:rPr>
          <w:rFonts w:ascii="宋体" w:hAnsi="宋体"/>
          <w:color w:val="auto"/>
          <w:sz w:val="24"/>
          <w:szCs w:val="20"/>
          <w:lang w:val="zh-CN"/>
        </w:rPr>
      </w:pPr>
      <w:r>
        <w:rPr>
          <w:rFonts w:hint="eastAsia" w:ascii="宋体" w:hAnsi="宋体"/>
          <w:color w:val="auto"/>
          <w:sz w:val="24"/>
          <w:szCs w:val="20"/>
          <w:lang w:val="zh-CN"/>
        </w:rPr>
        <w:t>本项目评标采用</w:t>
      </w:r>
      <w:r>
        <w:rPr>
          <w:rFonts w:hint="eastAsia" w:ascii="宋体" w:hAnsi="宋体"/>
          <w:b/>
          <w:color w:val="auto"/>
          <w:sz w:val="24"/>
          <w:szCs w:val="20"/>
          <w:lang w:val="zh-CN"/>
        </w:rPr>
        <w:t>综合评分法</w:t>
      </w:r>
      <w:r>
        <w:rPr>
          <w:rFonts w:hint="eastAsia" w:ascii="宋体" w:hAnsi="宋体"/>
          <w:color w:val="auto"/>
          <w:sz w:val="24"/>
          <w:szCs w:val="20"/>
          <w:lang w:val="zh-CN"/>
        </w:rPr>
        <w:t>。综合评分法</w:t>
      </w:r>
      <w:r>
        <w:rPr>
          <w:rFonts w:ascii="宋体" w:hAnsi="宋体"/>
          <w:color w:val="auto"/>
          <w:sz w:val="24"/>
          <w:szCs w:val="20"/>
          <w:lang w:val="zh-CN"/>
        </w:rPr>
        <w:t>是指投标文件满足招标文件全部实质性要求，且按照评审因素的量化指标评审得分最高的投标人为中标候选人的评标方法。</w:t>
      </w:r>
    </w:p>
    <w:p w14:paraId="77ECB38E">
      <w:pPr>
        <w:pStyle w:val="3"/>
        <w:numPr>
          <w:ilvl w:val="0"/>
          <w:numId w:val="1"/>
        </w:numPr>
        <w:spacing w:line="560" w:lineRule="exact"/>
        <w:ind w:left="10" w:leftChars="0" w:firstLine="602" w:firstLineChars="0"/>
        <w:rPr>
          <w:rFonts w:hint="eastAsia"/>
          <w:color w:val="auto"/>
          <w:sz w:val="30"/>
          <w:szCs w:val="30"/>
        </w:rPr>
      </w:pPr>
      <w:bookmarkStart w:id="16" w:name="_Toc11230"/>
      <w:r>
        <w:rPr>
          <w:rFonts w:hint="eastAsia"/>
          <w:color w:val="auto"/>
          <w:sz w:val="30"/>
          <w:szCs w:val="30"/>
        </w:rPr>
        <w:t>评审因素及评分标准</w:t>
      </w:r>
      <w:bookmarkEnd w:id="16"/>
    </w:p>
    <w:tbl>
      <w:tblPr>
        <w:tblStyle w:val="23"/>
        <w:tblW w:w="98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2"/>
        <w:gridCol w:w="1288"/>
        <w:gridCol w:w="5958"/>
        <w:gridCol w:w="1063"/>
      </w:tblGrid>
      <w:tr w14:paraId="16D5B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blHeader/>
          <w:jc w:val="center"/>
        </w:trPr>
        <w:tc>
          <w:tcPr>
            <w:tcW w:w="1512" w:type="dxa"/>
            <w:noWrap w:val="0"/>
            <w:vAlign w:val="center"/>
          </w:tcPr>
          <w:p w14:paraId="46088E84">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cs="宋体"/>
                <w:b/>
                <w:bCs/>
                <w:color w:val="auto"/>
                <w:kern w:val="0"/>
                <w:sz w:val="24"/>
                <w:szCs w:val="24"/>
              </w:rPr>
            </w:pPr>
            <w:r>
              <w:rPr>
                <w:rFonts w:hint="eastAsia" w:ascii="宋体" w:hAnsi="宋体" w:cs="宋体"/>
                <w:b/>
                <w:bCs/>
                <w:color w:val="auto"/>
                <w:kern w:val="0"/>
                <w:sz w:val="24"/>
                <w:szCs w:val="24"/>
              </w:rPr>
              <w:t>评审因素</w:t>
            </w:r>
          </w:p>
        </w:tc>
        <w:tc>
          <w:tcPr>
            <w:tcW w:w="1288" w:type="dxa"/>
            <w:noWrap w:val="0"/>
            <w:vAlign w:val="center"/>
          </w:tcPr>
          <w:p w14:paraId="2E5DFC9E">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cs="宋体"/>
                <w:b/>
                <w:bCs/>
                <w:color w:val="auto"/>
                <w:kern w:val="0"/>
                <w:sz w:val="24"/>
                <w:szCs w:val="24"/>
              </w:rPr>
            </w:pPr>
            <w:r>
              <w:rPr>
                <w:rFonts w:hint="eastAsia" w:ascii="宋体" w:hAnsi="宋体" w:cs="宋体"/>
                <w:b/>
                <w:bCs/>
                <w:color w:val="auto"/>
                <w:kern w:val="0"/>
                <w:sz w:val="24"/>
                <w:szCs w:val="24"/>
              </w:rPr>
              <w:t>评审项目</w:t>
            </w:r>
          </w:p>
        </w:tc>
        <w:tc>
          <w:tcPr>
            <w:tcW w:w="5958" w:type="dxa"/>
            <w:noWrap w:val="0"/>
            <w:vAlign w:val="center"/>
          </w:tcPr>
          <w:p w14:paraId="772B4DAF">
            <w:pPr>
              <w:keepNext w:val="0"/>
              <w:keepLines w:val="0"/>
              <w:pageBreakBefore w:val="0"/>
              <w:widowControl/>
              <w:kinsoku/>
              <w:wordWrap/>
              <w:overflowPunct/>
              <w:topLinePunct w:val="0"/>
              <w:autoSpaceDE/>
              <w:autoSpaceDN/>
              <w:bidi w:val="0"/>
              <w:spacing w:line="360" w:lineRule="auto"/>
              <w:ind w:firstLine="0" w:firstLineChars="0"/>
              <w:jc w:val="center"/>
              <w:textAlignment w:val="auto"/>
              <w:rPr>
                <w:rFonts w:hint="eastAsia" w:ascii="宋体" w:hAnsi="宋体" w:cs="宋体"/>
                <w:b/>
                <w:bCs/>
                <w:color w:val="auto"/>
                <w:kern w:val="0"/>
                <w:sz w:val="24"/>
                <w:szCs w:val="24"/>
                <w:shd w:val="clear" w:color="auto" w:fill="FFFFFF"/>
              </w:rPr>
            </w:pPr>
            <w:r>
              <w:rPr>
                <w:rFonts w:hint="eastAsia" w:ascii="宋体" w:hAnsi="宋体" w:cs="宋体"/>
                <w:b/>
                <w:bCs/>
                <w:color w:val="auto"/>
                <w:kern w:val="0"/>
                <w:sz w:val="24"/>
                <w:szCs w:val="24"/>
              </w:rPr>
              <w:t>评分标准及细则</w:t>
            </w:r>
          </w:p>
        </w:tc>
        <w:tc>
          <w:tcPr>
            <w:tcW w:w="1063" w:type="dxa"/>
            <w:noWrap w:val="0"/>
            <w:vAlign w:val="center"/>
          </w:tcPr>
          <w:p w14:paraId="2C96434F">
            <w:pPr>
              <w:keepNext w:val="0"/>
              <w:keepLines w:val="0"/>
              <w:pageBreakBefore w:val="0"/>
              <w:widowControl/>
              <w:kinsoku/>
              <w:wordWrap/>
              <w:overflowPunct/>
              <w:topLinePunct w:val="0"/>
              <w:autoSpaceDE/>
              <w:autoSpaceDN/>
              <w:bidi w:val="0"/>
              <w:spacing w:line="360" w:lineRule="auto"/>
              <w:ind w:firstLine="0" w:firstLineChars="0"/>
              <w:jc w:val="center"/>
              <w:textAlignment w:val="auto"/>
              <w:rPr>
                <w:rFonts w:hint="eastAsia" w:ascii="宋体" w:hAnsi="宋体" w:cs="宋体"/>
                <w:b/>
                <w:bCs/>
                <w:color w:val="auto"/>
                <w:kern w:val="0"/>
                <w:sz w:val="24"/>
                <w:szCs w:val="24"/>
                <w:shd w:val="clear" w:color="auto" w:fill="FFFFFF"/>
              </w:rPr>
            </w:pPr>
            <w:r>
              <w:rPr>
                <w:rFonts w:hint="eastAsia" w:ascii="宋体" w:hAnsi="宋体" w:cs="宋体"/>
                <w:b/>
                <w:bCs/>
                <w:color w:val="auto"/>
                <w:kern w:val="0"/>
                <w:sz w:val="24"/>
                <w:szCs w:val="24"/>
              </w:rPr>
              <w:t>分值</w:t>
            </w:r>
          </w:p>
        </w:tc>
      </w:tr>
      <w:tr w14:paraId="544BB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2" w:hRule="atLeast"/>
          <w:jc w:val="center"/>
        </w:trPr>
        <w:tc>
          <w:tcPr>
            <w:tcW w:w="1512" w:type="dxa"/>
            <w:noWrap w:val="0"/>
            <w:vAlign w:val="center"/>
          </w:tcPr>
          <w:p w14:paraId="0A8C2238">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cs="宋体"/>
                <w:color w:val="auto"/>
                <w:kern w:val="0"/>
                <w:sz w:val="24"/>
                <w:szCs w:val="24"/>
                <w:shd w:val="clear" w:color="auto" w:fill="FFFFFF"/>
              </w:rPr>
            </w:pPr>
            <w:r>
              <w:rPr>
                <w:rFonts w:hint="eastAsia" w:ascii="宋体" w:hAnsi="宋体" w:cs="宋体"/>
                <w:color w:val="auto"/>
                <w:kern w:val="0"/>
                <w:sz w:val="24"/>
                <w:szCs w:val="24"/>
              </w:rPr>
              <w:t>投标报价（</w:t>
            </w:r>
            <w:r>
              <w:rPr>
                <w:rFonts w:hint="eastAsia" w:ascii="宋体" w:hAnsi="宋体" w:cs="宋体"/>
                <w:color w:val="auto"/>
                <w:kern w:val="0"/>
                <w:sz w:val="24"/>
                <w:szCs w:val="24"/>
                <w:lang w:val="en-US" w:eastAsia="zh-CN"/>
              </w:rPr>
              <w:t>5</w:t>
            </w:r>
            <w:r>
              <w:rPr>
                <w:rFonts w:hint="eastAsia" w:ascii="宋体" w:hAnsi="宋体" w:cs="宋体"/>
                <w:color w:val="auto"/>
                <w:kern w:val="0"/>
                <w:sz w:val="24"/>
                <w:szCs w:val="24"/>
              </w:rPr>
              <w:t>0分）</w:t>
            </w:r>
          </w:p>
        </w:tc>
        <w:tc>
          <w:tcPr>
            <w:tcW w:w="1288" w:type="dxa"/>
            <w:noWrap w:val="0"/>
            <w:vAlign w:val="center"/>
          </w:tcPr>
          <w:p w14:paraId="56E7038B">
            <w:pPr>
              <w:keepNext w:val="0"/>
              <w:keepLines w:val="0"/>
              <w:pageBreakBefore w:val="0"/>
              <w:widowControl/>
              <w:kinsoku/>
              <w:wordWrap/>
              <w:overflowPunct/>
              <w:topLinePunct w:val="0"/>
              <w:autoSpaceDE/>
              <w:autoSpaceDN/>
              <w:bidi w:val="0"/>
              <w:spacing w:line="360" w:lineRule="auto"/>
              <w:ind w:firstLine="0" w:firstLineChars="0"/>
              <w:jc w:val="center"/>
              <w:textAlignment w:val="auto"/>
              <w:rPr>
                <w:rFonts w:hint="eastAsia" w:ascii="宋体" w:hAnsi="宋体" w:cs="宋体"/>
                <w:color w:val="auto"/>
                <w:kern w:val="0"/>
                <w:sz w:val="24"/>
                <w:szCs w:val="24"/>
                <w:shd w:val="clear" w:color="auto" w:fill="FFFFFF"/>
              </w:rPr>
            </w:pPr>
            <w:r>
              <w:rPr>
                <w:rFonts w:hint="eastAsia" w:ascii="宋体" w:hAnsi="宋体" w:cs="宋体"/>
                <w:color w:val="auto"/>
                <w:kern w:val="0"/>
                <w:sz w:val="24"/>
                <w:szCs w:val="24"/>
              </w:rPr>
              <w:t>价格</w:t>
            </w:r>
          </w:p>
        </w:tc>
        <w:tc>
          <w:tcPr>
            <w:tcW w:w="5958" w:type="dxa"/>
            <w:noWrap w:val="0"/>
            <w:vAlign w:val="center"/>
          </w:tcPr>
          <w:p w14:paraId="6F4F02F0">
            <w:pPr>
              <w:keepNext w:val="0"/>
              <w:keepLines w:val="0"/>
              <w:pageBreakBefore w:val="0"/>
              <w:widowControl/>
              <w:kinsoku/>
              <w:wordWrap/>
              <w:overflowPunct/>
              <w:topLinePunct w:val="0"/>
              <w:autoSpaceDE/>
              <w:autoSpaceDN/>
              <w:bidi w:val="0"/>
              <w:ind w:firstLine="0" w:firstLineChars="0"/>
              <w:jc w:val="left"/>
              <w:textAlignment w:val="auto"/>
              <w:rPr>
                <w:rFonts w:hint="eastAsia" w:ascii="宋体" w:hAnsi="宋体" w:cs="宋体"/>
                <w:color w:val="auto"/>
                <w:kern w:val="0"/>
                <w:sz w:val="24"/>
                <w:szCs w:val="24"/>
              </w:rPr>
            </w:pPr>
            <w:r>
              <w:rPr>
                <w:rFonts w:hint="eastAsia" w:ascii="宋体" w:hAnsi="宋体" w:cs="宋体"/>
                <w:color w:val="auto"/>
                <w:kern w:val="0"/>
                <w:sz w:val="24"/>
                <w:szCs w:val="24"/>
              </w:rPr>
              <w:t>满足招标文件要求且投标价格最低的投标报价为评标基准价，其价格分为满分。其他投标人的价格分统一按照下列公式计算：</w:t>
            </w:r>
          </w:p>
          <w:p w14:paraId="32B53020">
            <w:pPr>
              <w:keepNext w:val="0"/>
              <w:keepLines w:val="0"/>
              <w:pageBreakBefore w:val="0"/>
              <w:widowControl/>
              <w:kinsoku/>
              <w:wordWrap/>
              <w:overflowPunct/>
              <w:topLinePunct w:val="0"/>
              <w:autoSpaceDE/>
              <w:autoSpaceDN/>
              <w:bidi w:val="0"/>
              <w:ind w:firstLine="0" w:firstLineChars="0"/>
              <w:jc w:val="left"/>
              <w:textAlignment w:val="auto"/>
              <w:rPr>
                <w:rFonts w:hint="default" w:ascii="宋体" w:hAnsi="宋体" w:eastAsia="宋体" w:cs="宋体"/>
                <w:color w:val="auto"/>
                <w:kern w:val="0"/>
                <w:sz w:val="24"/>
                <w:szCs w:val="24"/>
                <w:shd w:val="clear" w:color="auto" w:fill="FFFFFF"/>
                <w:lang w:val="en-US" w:eastAsia="zh-CN"/>
              </w:rPr>
            </w:pPr>
            <w:r>
              <w:rPr>
                <w:rFonts w:hint="eastAsia" w:ascii="宋体" w:hAnsi="宋体" w:cs="宋体"/>
                <w:color w:val="auto"/>
                <w:kern w:val="0"/>
                <w:sz w:val="24"/>
                <w:szCs w:val="24"/>
              </w:rPr>
              <w:t>投标报价得分=（评标基准价／投标报价)×价格权值×100价格权值=</w:t>
            </w:r>
            <w:r>
              <w:rPr>
                <w:rFonts w:hint="eastAsia" w:ascii="宋体" w:hAnsi="宋体" w:cs="宋体"/>
                <w:color w:val="auto"/>
                <w:kern w:val="0"/>
                <w:sz w:val="24"/>
                <w:szCs w:val="24"/>
                <w:lang w:val="en-US" w:eastAsia="zh-CN"/>
              </w:rPr>
              <w:t>5</w:t>
            </w:r>
            <w:r>
              <w:rPr>
                <w:rFonts w:hint="eastAsia" w:ascii="宋体" w:hAnsi="宋体" w:cs="宋体"/>
                <w:color w:val="auto"/>
                <w:kern w:val="0"/>
                <w:sz w:val="24"/>
                <w:szCs w:val="24"/>
              </w:rPr>
              <w:t>0%</w:t>
            </w:r>
            <w:r>
              <w:rPr>
                <w:rFonts w:hint="eastAsia" w:ascii="宋体" w:hAnsi="宋体" w:cs="宋体"/>
                <w:color w:val="auto"/>
                <w:kern w:val="0"/>
                <w:sz w:val="24"/>
                <w:szCs w:val="24"/>
                <w:lang w:eastAsia="zh-CN"/>
              </w:rPr>
              <w:t>（</w:t>
            </w:r>
            <w:r>
              <w:rPr>
                <w:rFonts w:hint="eastAsia" w:ascii="宋体" w:hAnsi="宋体" w:cs="宋体"/>
                <w:color w:val="auto"/>
                <w:kern w:val="0"/>
                <w:sz w:val="24"/>
                <w:szCs w:val="24"/>
                <w:lang w:val="en-US" w:eastAsia="zh-CN"/>
              </w:rPr>
              <w:t>保留小数点后两位）</w:t>
            </w:r>
          </w:p>
        </w:tc>
        <w:tc>
          <w:tcPr>
            <w:tcW w:w="1063" w:type="dxa"/>
            <w:noWrap w:val="0"/>
            <w:vAlign w:val="center"/>
          </w:tcPr>
          <w:p w14:paraId="206A5A48">
            <w:pPr>
              <w:keepNext w:val="0"/>
              <w:keepLines w:val="0"/>
              <w:pageBreakBefore w:val="0"/>
              <w:widowControl/>
              <w:kinsoku/>
              <w:wordWrap/>
              <w:overflowPunct/>
              <w:topLinePunct w:val="0"/>
              <w:autoSpaceDE/>
              <w:autoSpaceDN/>
              <w:bidi w:val="0"/>
              <w:spacing w:line="360" w:lineRule="auto"/>
              <w:ind w:firstLine="0" w:firstLineChars="0"/>
              <w:jc w:val="center"/>
              <w:textAlignment w:val="auto"/>
              <w:rPr>
                <w:rFonts w:ascii="宋体" w:hAnsi="宋体" w:cs="宋体"/>
                <w:color w:val="auto"/>
                <w:kern w:val="0"/>
                <w:sz w:val="24"/>
                <w:szCs w:val="24"/>
                <w:shd w:val="clear" w:color="auto" w:fill="FFFFFF"/>
              </w:rPr>
            </w:pPr>
            <w:r>
              <w:rPr>
                <w:rFonts w:hint="eastAsia" w:ascii="宋体" w:hAnsi="宋体" w:cs="宋体"/>
                <w:color w:val="auto"/>
                <w:kern w:val="0"/>
                <w:sz w:val="24"/>
                <w:szCs w:val="24"/>
                <w:lang w:val="en-US" w:eastAsia="zh-CN"/>
              </w:rPr>
              <w:t>5</w:t>
            </w:r>
            <w:r>
              <w:rPr>
                <w:rFonts w:hint="eastAsia" w:ascii="宋体" w:hAnsi="宋体" w:cs="宋体"/>
                <w:color w:val="auto"/>
                <w:kern w:val="0"/>
                <w:sz w:val="24"/>
                <w:szCs w:val="24"/>
              </w:rPr>
              <w:t>0</w:t>
            </w:r>
          </w:p>
        </w:tc>
      </w:tr>
      <w:tr w14:paraId="13776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5" w:hRule="atLeast"/>
          <w:jc w:val="center"/>
        </w:trPr>
        <w:tc>
          <w:tcPr>
            <w:tcW w:w="1512" w:type="dxa"/>
            <w:vMerge w:val="restart"/>
            <w:noWrap w:val="0"/>
            <w:vAlign w:val="center"/>
          </w:tcPr>
          <w:p w14:paraId="33662210">
            <w:pPr>
              <w:keepNext w:val="0"/>
              <w:keepLines w:val="0"/>
              <w:pageBreakBefore w:val="0"/>
              <w:widowControl/>
              <w:kinsoku/>
              <w:wordWrap/>
              <w:overflowPunct/>
              <w:topLinePunct w:val="0"/>
              <w:autoSpaceDE/>
              <w:autoSpaceDN/>
              <w:bidi w:val="0"/>
              <w:spacing w:line="360" w:lineRule="auto"/>
              <w:ind w:firstLine="0" w:firstLineChars="0"/>
              <w:jc w:val="center"/>
              <w:textAlignment w:val="auto"/>
              <w:rPr>
                <w:rFonts w:hint="eastAsia" w:ascii="宋体" w:hAnsi="宋体" w:cs="宋体"/>
                <w:color w:val="auto"/>
                <w:kern w:val="0"/>
                <w:sz w:val="24"/>
                <w:szCs w:val="24"/>
              </w:rPr>
            </w:pPr>
            <w:r>
              <w:rPr>
                <w:rFonts w:hint="eastAsia" w:ascii="宋体" w:hAnsi="宋体" w:cs="宋体"/>
                <w:color w:val="auto"/>
                <w:kern w:val="0"/>
                <w:sz w:val="24"/>
                <w:szCs w:val="24"/>
              </w:rPr>
              <w:t>商务部分（4分）</w:t>
            </w:r>
          </w:p>
        </w:tc>
        <w:tc>
          <w:tcPr>
            <w:tcW w:w="1288" w:type="dxa"/>
            <w:noWrap w:val="0"/>
            <w:vAlign w:val="center"/>
          </w:tcPr>
          <w:p w14:paraId="58ACC24C">
            <w:pPr>
              <w:keepNext w:val="0"/>
              <w:keepLines w:val="0"/>
              <w:pageBreakBefore w:val="0"/>
              <w:widowControl/>
              <w:kinsoku/>
              <w:wordWrap/>
              <w:overflowPunct/>
              <w:topLinePunct w:val="0"/>
              <w:autoSpaceDE/>
              <w:autoSpaceDN/>
              <w:bidi w:val="0"/>
              <w:spacing w:line="360" w:lineRule="auto"/>
              <w:ind w:firstLine="0" w:firstLineChars="0"/>
              <w:jc w:val="center"/>
              <w:textAlignment w:val="auto"/>
              <w:rPr>
                <w:rFonts w:ascii="宋体" w:hAnsi="宋体" w:cs="宋体"/>
                <w:color w:val="auto"/>
                <w:kern w:val="0"/>
                <w:sz w:val="24"/>
                <w:szCs w:val="24"/>
              </w:rPr>
            </w:pPr>
            <w:r>
              <w:rPr>
                <w:rFonts w:hint="eastAsia" w:ascii="宋体" w:hAnsi="宋体" w:cs="宋体"/>
                <w:color w:val="auto"/>
                <w:kern w:val="0"/>
                <w:sz w:val="24"/>
                <w:szCs w:val="24"/>
              </w:rPr>
              <w:t>类似业绩</w:t>
            </w:r>
          </w:p>
        </w:tc>
        <w:tc>
          <w:tcPr>
            <w:tcW w:w="5958" w:type="dxa"/>
            <w:noWrap w:val="0"/>
            <w:vAlign w:val="center"/>
          </w:tcPr>
          <w:p w14:paraId="4416F223">
            <w:pPr>
              <w:keepNext w:val="0"/>
              <w:keepLines w:val="0"/>
              <w:pageBreakBefore w:val="0"/>
              <w:widowControl/>
              <w:kinsoku/>
              <w:wordWrap/>
              <w:overflowPunct/>
              <w:topLinePunct w:val="0"/>
              <w:autoSpaceDE/>
              <w:autoSpaceDN/>
              <w:bidi w:val="0"/>
              <w:ind w:firstLine="0" w:firstLineChars="0"/>
              <w:jc w:val="left"/>
              <w:textAlignment w:val="auto"/>
              <w:rPr>
                <w:rFonts w:hint="eastAsia" w:ascii="宋体" w:hAnsi="宋体" w:cs="宋体"/>
                <w:color w:val="auto"/>
                <w:kern w:val="0"/>
                <w:sz w:val="24"/>
                <w:szCs w:val="24"/>
                <w:shd w:val="clear" w:color="auto" w:fill="FFFFFF"/>
              </w:rPr>
            </w:pPr>
            <w:r>
              <w:rPr>
                <w:rFonts w:hint="eastAsia" w:ascii="宋体" w:hAnsi="宋体" w:cs="宋体"/>
                <w:color w:val="auto"/>
                <w:kern w:val="0"/>
                <w:sz w:val="24"/>
                <w:szCs w:val="24"/>
                <w:shd w:val="clear" w:color="auto" w:fill="FFFFFF"/>
                <w:lang w:eastAsia="zh-CN"/>
              </w:rPr>
              <w:t>近三年</w:t>
            </w:r>
            <w:r>
              <w:rPr>
                <w:rFonts w:hint="eastAsia" w:ascii="宋体" w:hAnsi="宋体" w:cs="宋体"/>
                <w:color w:val="auto"/>
                <w:kern w:val="0"/>
                <w:sz w:val="24"/>
                <w:szCs w:val="24"/>
                <w:shd w:val="clear" w:color="auto" w:fill="FFFFFF"/>
              </w:rPr>
              <w:t>类似业绩，</w:t>
            </w:r>
            <w:r>
              <w:rPr>
                <w:rFonts w:hint="eastAsia" w:ascii="宋体" w:hAnsi="宋体" w:cs="宋体"/>
                <w:color w:val="auto"/>
                <w:kern w:val="0"/>
                <w:sz w:val="24"/>
                <w:szCs w:val="24"/>
                <w:shd w:val="clear" w:color="auto" w:fill="FFFFFF"/>
                <w:lang w:val="en-US" w:eastAsia="zh-CN"/>
              </w:rPr>
              <w:t>提供</w:t>
            </w:r>
            <w:r>
              <w:rPr>
                <w:rFonts w:hint="eastAsia" w:ascii="宋体" w:hAnsi="宋体" w:cs="宋体"/>
                <w:color w:val="auto"/>
                <w:kern w:val="0"/>
                <w:sz w:val="24"/>
                <w:szCs w:val="24"/>
                <w:shd w:val="clear" w:color="auto" w:fill="FFFFFF"/>
              </w:rPr>
              <w:t>1个得</w:t>
            </w:r>
            <w:r>
              <w:rPr>
                <w:rFonts w:hint="eastAsia" w:ascii="宋体" w:hAnsi="宋体" w:cs="宋体"/>
                <w:color w:val="auto"/>
                <w:kern w:val="0"/>
                <w:sz w:val="24"/>
                <w:szCs w:val="24"/>
                <w:shd w:val="clear" w:color="auto" w:fill="FFFFFF"/>
                <w:lang w:val="en-US" w:eastAsia="zh-CN"/>
              </w:rPr>
              <w:t>1</w:t>
            </w:r>
            <w:r>
              <w:rPr>
                <w:rFonts w:hint="eastAsia" w:ascii="宋体" w:hAnsi="宋体" w:cs="宋体"/>
                <w:color w:val="auto"/>
                <w:kern w:val="0"/>
                <w:sz w:val="24"/>
                <w:szCs w:val="24"/>
                <w:shd w:val="clear" w:color="auto" w:fill="FFFFFF"/>
              </w:rPr>
              <w:t>分，最多得</w:t>
            </w:r>
            <w:r>
              <w:rPr>
                <w:rFonts w:hint="eastAsia" w:ascii="宋体" w:hAnsi="宋体" w:cs="宋体"/>
                <w:color w:val="auto"/>
                <w:kern w:val="0"/>
                <w:sz w:val="24"/>
                <w:szCs w:val="24"/>
                <w:shd w:val="clear" w:color="auto" w:fill="FFFFFF"/>
                <w:lang w:val="en-US" w:eastAsia="zh-CN"/>
              </w:rPr>
              <w:t>4</w:t>
            </w:r>
            <w:r>
              <w:rPr>
                <w:rFonts w:hint="eastAsia" w:ascii="宋体" w:hAnsi="宋体" w:cs="宋体"/>
                <w:color w:val="auto"/>
                <w:kern w:val="0"/>
                <w:sz w:val="24"/>
                <w:szCs w:val="24"/>
                <w:shd w:val="clear" w:color="auto" w:fill="FFFFFF"/>
              </w:rPr>
              <w:t>分。（注：提供成交（中标）通知书</w:t>
            </w:r>
            <w:r>
              <w:rPr>
                <w:rFonts w:hint="eastAsia" w:ascii="宋体" w:hAnsi="宋体" w:cs="宋体"/>
                <w:color w:val="auto"/>
                <w:kern w:val="0"/>
                <w:sz w:val="24"/>
                <w:szCs w:val="24"/>
                <w:shd w:val="clear" w:color="auto" w:fill="FFFFFF"/>
                <w:lang w:val="en-US" w:eastAsia="zh-CN"/>
              </w:rPr>
              <w:t>或</w:t>
            </w:r>
            <w:r>
              <w:rPr>
                <w:rFonts w:hint="eastAsia" w:ascii="宋体" w:hAnsi="宋体" w:cs="宋体"/>
                <w:color w:val="auto"/>
                <w:kern w:val="0"/>
                <w:sz w:val="24"/>
                <w:szCs w:val="24"/>
                <w:shd w:val="clear" w:color="auto" w:fill="FFFFFF"/>
              </w:rPr>
              <w:t>合同关键页复印件并进行签章。</w:t>
            </w:r>
          </w:p>
        </w:tc>
        <w:tc>
          <w:tcPr>
            <w:tcW w:w="1063" w:type="dxa"/>
            <w:noWrap w:val="0"/>
            <w:vAlign w:val="center"/>
          </w:tcPr>
          <w:p w14:paraId="5FE2D2B8">
            <w:pPr>
              <w:keepNext w:val="0"/>
              <w:keepLines w:val="0"/>
              <w:pageBreakBefore w:val="0"/>
              <w:widowControl/>
              <w:kinsoku/>
              <w:wordWrap/>
              <w:overflowPunct/>
              <w:topLinePunct w:val="0"/>
              <w:autoSpaceDE/>
              <w:autoSpaceDN/>
              <w:bidi w:val="0"/>
              <w:spacing w:line="360" w:lineRule="auto"/>
              <w:ind w:firstLine="0" w:firstLineChars="0"/>
              <w:jc w:val="center"/>
              <w:textAlignment w:val="auto"/>
              <w:rPr>
                <w:rFonts w:hint="eastAsia"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4</w:t>
            </w:r>
          </w:p>
        </w:tc>
      </w:tr>
      <w:tr w14:paraId="073F9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512" w:type="dxa"/>
            <w:vMerge w:val="restart"/>
            <w:noWrap w:val="0"/>
            <w:vAlign w:val="center"/>
          </w:tcPr>
          <w:p w14:paraId="1F22E87A">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cs="宋体"/>
                <w:color w:val="auto"/>
                <w:kern w:val="0"/>
                <w:sz w:val="24"/>
                <w:szCs w:val="24"/>
                <w:shd w:val="clear" w:color="auto" w:fill="FFFFFF"/>
              </w:rPr>
            </w:pPr>
            <w:r>
              <w:rPr>
                <w:rFonts w:hint="eastAsia" w:ascii="宋体" w:hAnsi="宋体" w:cs="宋体"/>
                <w:color w:val="auto"/>
                <w:kern w:val="0"/>
                <w:sz w:val="24"/>
                <w:szCs w:val="24"/>
              </w:rPr>
              <w:t>技术部分（</w:t>
            </w:r>
            <w:r>
              <w:rPr>
                <w:rFonts w:hint="eastAsia" w:ascii="宋体" w:hAnsi="宋体" w:cs="宋体"/>
                <w:color w:val="auto"/>
                <w:kern w:val="0"/>
                <w:sz w:val="24"/>
                <w:szCs w:val="24"/>
                <w:lang w:val="en-US" w:eastAsia="zh-CN"/>
              </w:rPr>
              <w:t>4</w:t>
            </w:r>
            <w:r>
              <w:rPr>
                <w:rFonts w:hint="eastAsia" w:ascii="宋体" w:hAnsi="宋体" w:cs="宋体"/>
                <w:color w:val="auto"/>
                <w:kern w:val="0"/>
                <w:sz w:val="24"/>
                <w:szCs w:val="24"/>
              </w:rPr>
              <w:t>6分）</w:t>
            </w:r>
          </w:p>
        </w:tc>
        <w:tc>
          <w:tcPr>
            <w:tcW w:w="1288" w:type="dxa"/>
            <w:noWrap w:val="0"/>
            <w:vAlign w:val="center"/>
          </w:tcPr>
          <w:p w14:paraId="5F41F477">
            <w:pPr>
              <w:keepNext w:val="0"/>
              <w:keepLines w:val="0"/>
              <w:pageBreakBefore w:val="0"/>
              <w:widowControl/>
              <w:kinsoku/>
              <w:wordWrap/>
              <w:overflowPunct/>
              <w:topLinePunct w:val="0"/>
              <w:autoSpaceDE/>
              <w:autoSpaceDN/>
              <w:bidi w:val="0"/>
              <w:snapToGrid w:val="0"/>
              <w:spacing w:line="360" w:lineRule="auto"/>
              <w:ind w:firstLine="0" w:firstLineChars="0"/>
              <w:jc w:val="center"/>
              <w:textAlignment w:val="auto"/>
              <w:rPr>
                <w:rFonts w:hint="eastAsia" w:ascii="宋体" w:hAnsi="宋体" w:cs="宋体"/>
                <w:color w:val="auto"/>
                <w:kern w:val="0"/>
                <w:sz w:val="24"/>
                <w:szCs w:val="24"/>
              </w:rPr>
            </w:pPr>
            <w:r>
              <w:rPr>
                <w:rFonts w:hint="eastAsia" w:ascii="宋体" w:hAnsi="宋体" w:cs="宋体"/>
                <w:color w:val="auto"/>
                <w:sz w:val="24"/>
                <w:szCs w:val="24"/>
              </w:rPr>
              <w:t>技术响应</w:t>
            </w:r>
          </w:p>
        </w:tc>
        <w:tc>
          <w:tcPr>
            <w:tcW w:w="5958" w:type="dxa"/>
            <w:noWrap w:val="0"/>
            <w:vAlign w:val="center"/>
          </w:tcPr>
          <w:p w14:paraId="517963D6">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auto"/>
                <w:kern w:val="0"/>
                <w:sz w:val="24"/>
                <w:szCs w:val="24"/>
                <w:shd w:val="clear" w:color="auto" w:fill="FFFFFF"/>
                <w:lang w:eastAsia="zh-CN"/>
              </w:rPr>
            </w:pPr>
            <w:r>
              <w:rPr>
                <w:rFonts w:hint="eastAsia" w:ascii="宋体" w:hAnsi="宋体" w:cs="宋体"/>
                <w:color w:val="auto"/>
                <w:kern w:val="0"/>
                <w:sz w:val="24"/>
                <w:szCs w:val="24"/>
                <w:shd w:val="clear" w:color="auto" w:fill="FFFFFF"/>
                <w:lang w:val="en-US" w:eastAsia="zh-CN"/>
              </w:rPr>
              <w:t>所投核心</w:t>
            </w:r>
            <w:r>
              <w:rPr>
                <w:rFonts w:hint="eastAsia" w:ascii="宋体" w:hAnsi="宋体" w:cs="宋体"/>
                <w:color w:val="auto"/>
                <w:kern w:val="0"/>
                <w:sz w:val="24"/>
                <w:szCs w:val="24"/>
                <w:shd w:val="clear" w:color="auto" w:fill="FFFFFF"/>
              </w:rPr>
              <w:t>产品技术指标、配置</w:t>
            </w:r>
            <w:r>
              <w:rPr>
                <w:rFonts w:hint="eastAsia" w:ascii="宋体" w:hAnsi="宋体" w:cs="宋体"/>
                <w:color w:val="auto"/>
                <w:kern w:val="0"/>
                <w:sz w:val="24"/>
                <w:szCs w:val="24"/>
                <w:shd w:val="clear" w:color="auto" w:fill="FFFFFF"/>
              </w:rPr>
              <w:tab/>
            </w:r>
            <w:r>
              <w:rPr>
                <w:rFonts w:hint="eastAsia" w:ascii="宋体" w:hAnsi="宋体" w:cs="宋体"/>
                <w:color w:val="auto"/>
                <w:kern w:val="0"/>
                <w:sz w:val="24"/>
                <w:szCs w:val="24"/>
                <w:shd w:val="clear" w:color="auto" w:fill="FFFFFF"/>
              </w:rPr>
              <w:t>投标人针对技术要求，没有负偏离得</w:t>
            </w:r>
            <w:r>
              <w:rPr>
                <w:rFonts w:hint="eastAsia" w:ascii="宋体" w:hAnsi="宋体" w:cs="宋体"/>
                <w:color w:val="auto"/>
                <w:kern w:val="0"/>
                <w:sz w:val="24"/>
                <w:szCs w:val="24"/>
                <w:shd w:val="clear" w:color="auto" w:fill="FFFFFF"/>
                <w:lang w:val="en-US" w:eastAsia="zh-CN"/>
              </w:rPr>
              <w:t>3</w:t>
            </w:r>
            <w:r>
              <w:rPr>
                <w:rFonts w:hint="eastAsia" w:ascii="宋体" w:hAnsi="宋体" w:cs="宋体"/>
                <w:color w:val="auto"/>
                <w:kern w:val="0"/>
                <w:sz w:val="24"/>
                <w:szCs w:val="24"/>
                <w:shd w:val="clear" w:color="auto" w:fill="FFFFFF"/>
              </w:rPr>
              <w:t>6分。1、带“▲”的参数项（共计</w:t>
            </w:r>
            <w:r>
              <w:rPr>
                <w:rFonts w:hint="eastAsia" w:ascii="宋体" w:hAnsi="宋体" w:cs="宋体"/>
                <w:color w:val="auto"/>
                <w:kern w:val="0"/>
                <w:sz w:val="24"/>
                <w:szCs w:val="24"/>
                <w:shd w:val="clear" w:color="auto" w:fill="FFFFFF"/>
                <w:lang w:val="en-US" w:eastAsia="zh-CN"/>
              </w:rPr>
              <w:t>13</w:t>
            </w:r>
            <w:r>
              <w:rPr>
                <w:rFonts w:hint="eastAsia" w:ascii="宋体" w:hAnsi="宋体" w:cs="宋体"/>
                <w:color w:val="auto"/>
                <w:kern w:val="0"/>
                <w:sz w:val="24"/>
                <w:szCs w:val="24"/>
                <w:shd w:val="clear" w:color="auto" w:fill="FFFFFF"/>
              </w:rPr>
              <w:t>项），每有一项负偏离的扣</w:t>
            </w:r>
            <w:r>
              <w:rPr>
                <w:rFonts w:hint="eastAsia" w:ascii="宋体" w:hAnsi="宋体" w:cs="宋体"/>
                <w:color w:val="auto"/>
                <w:kern w:val="0"/>
                <w:sz w:val="24"/>
                <w:szCs w:val="24"/>
                <w:shd w:val="clear" w:color="auto" w:fill="FFFFFF"/>
                <w:lang w:val="en-US" w:eastAsia="zh-CN"/>
              </w:rPr>
              <w:t>2</w:t>
            </w:r>
            <w:r>
              <w:rPr>
                <w:rFonts w:hint="eastAsia" w:ascii="宋体" w:hAnsi="宋体" w:cs="宋体"/>
                <w:color w:val="auto"/>
                <w:kern w:val="0"/>
                <w:sz w:val="24"/>
                <w:szCs w:val="24"/>
                <w:shd w:val="clear" w:color="auto" w:fill="FFFFFF"/>
              </w:rPr>
              <w:t>分，最多扣</w:t>
            </w:r>
            <w:r>
              <w:rPr>
                <w:rFonts w:hint="eastAsia" w:ascii="宋体" w:hAnsi="宋体" w:cs="宋体"/>
                <w:color w:val="auto"/>
                <w:kern w:val="0"/>
                <w:sz w:val="24"/>
                <w:szCs w:val="24"/>
                <w:shd w:val="clear" w:color="auto" w:fill="FFFFFF"/>
                <w:lang w:val="en-US" w:eastAsia="zh-CN"/>
              </w:rPr>
              <w:t>26</w:t>
            </w:r>
            <w:r>
              <w:rPr>
                <w:rFonts w:hint="eastAsia" w:ascii="宋体" w:hAnsi="宋体" w:cs="宋体"/>
                <w:color w:val="auto"/>
                <w:kern w:val="0"/>
                <w:sz w:val="24"/>
                <w:szCs w:val="24"/>
                <w:shd w:val="clear" w:color="auto" w:fill="FFFFFF"/>
              </w:rPr>
              <w:t>分；2、其余参数项（不带“▲”的）（共计</w:t>
            </w:r>
            <w:r>
              <w:rPr>
                <w:rFonts w:hint="eastAsia" w:ascii="宋体" w:hAnsi="宋体" w:cs="宋体"/>
                <w:color w:val="auto"/>
                <w:kern w:val="0"/>
                <w:sz w:val="24"/>
                <w:szCs w:val="24"/>
                <w:shd w:val="clear" w:color="auto" w:fill="FFFFFF"/>
                <w:lang w:val="en-US" w:eastAsia="zh-CN"/>
              </w:rPr>
              <w:t>39</w:t>
            </w:r>
            <w:r>
              <w:rPr>
                <w:rFonts w:hint="eastAsia" w:ascii="宋体" w:hAnsi="宋体" w:cs="宋体"/>
                <w:color w:val="auto"/>
                <w:kern w:val="0"/>
                <w:sz w:val="24"/>
                <w:szCs w:val="24"/>
                <w:shd w:val="clear" w:color="auto" w:fill="FFFFFF"/>
              </w:rPr>
              <w:t>项），每有</w:t>
            </w:r>
            <w:r>
              <w:rPr>
                <w:rFonts w:hint="eastAsia" w:ascii="宋体" w:hAnsi="宋体" w:cs="宋体"/>
                <w:color w:val="auto"/>
                <w:kern w:val="0"/>
                <w:sz w:val="24"/>
                <w:szCs w:val="24"/>
                <w:shd w:val="clear" w:color="auto" w:fill="FFFFFF"/>
                <w:lang w:val="en-US" w:eastAsia="zh-CN"/>
              </w:rPr>
              <w:t>二</w:t>
            </w:r>
            <w:r>
              <w:rPr>
                <w:rFonts w:hint="eastAsia" w:ascii="宋体" w:hAnsi="宋体" w:cs="宋体"/>
                <w:color w:val="auto"/>
                <w:kern w:val="0"/>
                <w:sz w:val="24"/>
                <w:szCs w:val="24"/>
                <w:shd w:val="clear" w:color="auto" w:fill="FFFFFF"/>
              </w:rPr>
              <w:t>项负偏离的扣1分，最多扣</w:t>
            </w:r>
            <w:r>
              <w:rPr>
                <w:rFonts w:hint="eastAsia" w:ascii="宋体" w:hAnsi="宋体" w:cs="宋体"/>
                <w:color w:val="auto"/>
                <w:kern w:val="0"/>
                <w:sz w:val="24"/>
                <w:szCs w:val="24"/>
                <w:shd w:val="clear" w:color="auto" w:fill="FFFFFF"/>
                <w:lang w:val="en-US" w:eastAsia="zh-CN"/>
              </w:rPr>
              <w:t>10</w:t>
            </w:r>
            <w:r>
              <w:rPr>
                <w:rFonts w:hint="eastAsia" w:ascii="宋体" w:hAnsi="宋体" w:cs="宋体"/>
                <w:color w:val="auto"/>
                <w:kern w:val="0"/>
                <w:sz w:val="24"/>
                <w:szCs w:val="24"/>
                <w:shd w:val="clear" w:color="auto" w:fill="FFFFFF"/>
              </w:rPr>
              <w:t>分。注：①针对“▲”条款的技术响应，投标人须提供证明材料，否则对应技术参数条款将视为不满足。②以</w:t>
            </w:r>
            <w:r>
              <w:rPr>
                <w:rFonts w:hint="eastAsia" w:ascii="宋体" w:hAnsi="宋体" w:cs="宋体"/>
                <w:color w:val="auto"/>
                <w:kern w:val="0"/>
                <w:sz w:val="24"/>
                <w:szCs w:val="24"/>
                <w:shd w:val="clear" w:color="auto" w:fill="FFFFFF"/>
                <w:lang w:val="en-US" w:eastAsia="zh-CN"/>
              </w:rPr>
              <w:t>二</w:t>
            </w:r>
            <w:r>
              <w:rPr>
                <w:rFonts w:hint="eastAsia" w:ascii="宋体" w:hAnsi="宋体" w:cs="宋体"/>
                <w:color w:val="auto"/>
                <w:kern w:val="0"/>
                <w:sz w:val="24"/>
                <w:szCs w:val="24"/>
                <w:shd w:val="clear" w:color="auto" w:fill="FFFFFF"/>
              </w:rPr>
              <w:t>级序号数字（如“1.”“2.”“3.”…）为一条（标题除外）；数字序号下有多级序号的，以最小级数字序号为一条</w:t>
            </w:r>
            <w:r>
              <w:rPr>
                <w:rFonts w:hint="eastAsia" w:ascii="宋体" w:hAnsi="宋体" w:cs="宋体"/>
                <w:color w:val="auto"/>
                <w:kern w:val="0"/>
                <w:sz w:val="24"/>
                <w:szCs w:val="24"/>
                <w:shd w:val="clear" w:color="auto" w:fill="FFFFFF"/>
                <w:lang w:eastAsia="zh-CN"/>
              </w:rPr>
              <w:t>。</w:t>
            </w:r>
          </w:p>
          <w:p w14:paraId="4CDA5EF2">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color w:val="auto"/>
                <w:kern w:val="0"/>
                <w:sz w:val="24"/>
                <w:szCs w:val="24"/>
                <w:lang w:val="en-US" w:eastAsia="zh-CN"/>
              </w:rPr>
            </w:pPr>
            <w:r>
              <w:rPr>
                <w:rFonts w:hint="eastAsia" w:ascii="宋体" w:hAnsi="宋体" w:cs="宋体"/>
                <w:b w:val="0"/>
                <w:bCs w:val="0"/>
                <w:color w:val="auto"/>
                <w:kern w:val="0"/>
                <w:sz w:val="24"/>
                <w:szCs w:val="24"/>
                <w:shd w:val="clear" w:color="auto" w:fill="FFFFFF"/>
              </w:rPr>
              <w:t>（</w:t>
            </w:r>
            <w:r>
              <w:rPr>
                <w:rFonts w:hint="eastAsia" w:ascii="宋体" w:hAnsi="宋体" w:eastAsia="宋体" w:cs="宋体"/>
                <w:b w:val="0"/>
                <w:bCs w:val="0"/>
                <w:color w:val="auto"/>
                <w:kern w:val="0"/>
                <w:sz w:val="24"/>
                <w:szCs w:val="24"/>
              </w:rPr>
              <w:t>注：1、应提供技术响应偏离表，并对每项技术要求说明是否响应</w:t>
            </w:r>
            <w:r>
              <w:rPr>
                <w:rFonts w:hint="eastAsia" w:ascii="宋体" w:hAnsi="宋体" w:cs="宋体"/>
                <w:b w:val="0"/>
                <w:bCs w:val="0"/>
                <w:color w:val="auto"/>
                <w:kern w:val="0"/>
                <w:sz w:val="24"/>
                <w:szCs w:val="24"/>
                <w:lang w:val="en-US" w:eastAsia="zh-CN"/>
              </w:rPr>
              <w:t>;</w:t>
            </w:r>
          </w:p>
          <w:p w14:paraId="212C1AA3">
            <w:pPr>
              <w:keepNext w:val="0"/>
              <w:keepLines w:val="0"/>
              <w:pageBreakBefore w:val="0"/>
              <w:widowControl/>
              <w:kinsoku/>
              <w:wordWrap/>
              <w:overflowPunct/>
              <w:topLinePunct w:val="0"/>
              <w:autoSpaceDE/>
              <w:autoSpaceDN/>
              <w:bidi w:val="0"/>
              <w:ind w:firstLine="0" w:firstLineChars="0"/>
              <w:jc w:val="left"/>
              <w:textAlignment w:val="auto"/>
              <w:rPr>
                <w:rFonts w:hint="eastAsia" w:ascii="宋体" w:hAnsi="宋体" w:cs="宋体"/>
                <w:color w:val="auto"/>
                <w:kern w:val="0"/>
                <w:sz w:val="24"/>
                <w:szCs w:val="24"/>
                <w:shd w:val="clear" w:color="auto" w:fill="FFFFFF"/>
              </w:rPr>
            </w:pPr>
            <w:r>
              <w:rPr>
                <w:rFonts w:hint="eastAsia" w:ascii="宋体" w:hAnsi="宋体" w:eastAsia="宋体" w:cs="宋体"/>
                <w:b w:val="0"/>
                <w:bCs w:val="0"/>
                <w:color w:val="auto"/>
                <w:kern w:val="0"/>
                <w:sz w:val="24"/>
                <w:szCs w:val="24"/>
              </w:rPr>
              <w:t>2、所有▲项指标项须提供证明材料，未提供证明材料视为不满足。</w:t>
            </w:r>
            <w:r>
              <w:rPr>
                <w:rFonts w:hint="eastAsia" w:ascii="宋体" w:hAnsi="宋体" w:cs="宋体"/>
                <w:b w:val="0"/>
                <w:bCs w:val="0"/>
                <w:color w:val="auto"/>
                <w:kern w:val="0"/>
                <w:sz w:val="24"/>
                <w:szCs w:val="24"/>
                <w:shd w:val="clear" w:color="auto" w:fill="FFFFFF"/>
              </w:rPr>
              <w:t>）</w:t>
            </w:r>
          </w:p>
        </w:tc>
        <w:tc>
          <w:tcPr>
            <w:tcW w:w="1063" w:type="dxa"/>
            <w:noWrap w:val="0"/>
            <w:vAlign w:val="center"/>
          </w:tcPr>
          <w:p w14:paraId="0E26A28D">
            <w:pPr>
              <w:keepNext w:val="0"/>
              <w:keepLines w:val="0"/>
              <w:pageBreakBefore w:val="0"/>
              <w:widowControl/>
              <w:kinsoku/>
              <w:wordWrap/>
              <w:overflowPunct/>
              <w:topLinePunct w:val="0"/>
              <w:autoSpaceDE/>
              <w:autoSpaceDN/>
              <w:bidi w:val="0"/>
              <w:spacing w:line="360" w:lineRule="auto"/>
              <w:ind w:firstLine="0" w:firstLineChars="0"/>
              <w:jc w:val="center"/>
              <w:textAlignment w:val="auto"/>
              <w:rPr>
                <w:rFonts w:ascii="宋体" w:hAnsi="宋体" w:cs="宋体"/>
                <w:color w:val="auto"/>
                <w:kern w:val="0"/>
                <w:sz w:val="24"/>
                <w:szCs w:val="24"/>
              </w:rPr>
            </w:pPr>
            <w:r>
              <w:rPr>
                <w:rFonts w:hint="eastAsia" w:ascii="宋体" w:hAnsi="宋体" w:cs="宋体"/>
                <w:color w:val="auto"/>
                <w:kern w:val="0"/>
                <w:sz w:val="24"/>
                <w:szCs w:val="24"/>
                <w:lang w:val="en-US" w:eastAsia="zh-CN"/>
              </w:rPr>
              <w:t>3</w:t>
            </w:r>
            <w:r>
              <w:rPr>
                <w:rFonts w:hint="eastAsia" w:ascii="宋体" w:hAnsi="宋体" w:cs="宋体"/>
                <w:color w:val="auto"/>
                <w:kern w:val="0"/>
                <w:sz w:val="24"/>
                <w:szCs w:val="24"/>
              </w:rPr>
              <w:t>6</w:t>
            </w:r>
          </w:p>
        </w:tc>
      </w:tr>
      <w:tr w14:paraId="369A4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8" w:hRule="atLeast"/>
          <w:jc w:val="center"/>
        </w:trPr>
        <w:tc>
          <w:tcPr>
            <w:tcW w:w="1512" w:type="dxa"/>
            <w:vMerge w:val="continue"/>
            <w:noWrap w:val="0"/>
            <w:vAlign w:val="center"/>
          </w:tcPr>
          <w:p w14:paraId="2AAD3712">
            <w:pPr>
              <w:keepNext w:val="0"/>
              <w:keepLines w:val="0"/>
              <w:pageBreakBefore w:val="0"/>
              <w:widowControl/>
              <w:kinsoku/>
              <w:wordWrap/>
              <w:overflowPunct/>
              <w:topLinePunct w:val="0"/>
              <w:autoSpaceDE/>
              <w:autoSpaceDN/>
              <w:bidi w:val="0"/>
              <w:spacing w:line="360" w:lineRule="auto"/>
              <w:ind w:firstLine="0" w:firstLineChars="0"/>
              <w:jc w:val="left"/>
              <w:textAlignment w:val="auto"/>
              <w:rPr>
                <w:rFonts w:hint="eastAsia" w:ascii="宋体" w:hAnsi="宋体" w:cs="宋体"/>
                <w:color w:val="auto"/>
                <w:kern w:val="0"/>
                <w:sz w:val="24"/>
                <w:szCs w:val="24"/>
              </w:rPr>
            </w:pPr>
          </w:p>
        </w:tc>
        <w:tc>
          <w:tcPr>
            <w:tcW w:w="1288" w:type="dxa"/>
            <w:noWrap w:val="0"/>
            <w:vAlign w:val="center"/>
          </w:tcPr>
          <w:p w14:paraId="0CD367C3">
            <w:pPr>
              <w:pStyle w:val="57"/>
              <w:keepNext w:val="0"/>
              <w:keepLines w:val="0"/>
              <w:pageBreakBefore w:val="0"/>
              <w:widowControl/>
              <w:kinsoku/>
              <w:wordWrap/>
              <w:overflowPunct/>
              <w:topLinePunct w:val="0"/>
              <w:autoSpaceDE/>
              <w:autoSpaceDN/>
              <w:bidi w:val="0"/>
              <w:spacing w:line="360" w:lineRule="auto"/>
              <w:ind w:firstLine="0" w:firstLineChars="0"/>
              <w:jc w:val="center"/>
              <w:textAlignment w:val="auto"/>
              <w:rPr>
                <w:rFonts w:hint="default" w:ascii="宋体" w:hAnsi="宋体" w:cs="宋体"/>
                <w:color w:val="auto"/>
                <w:sz w:val="24"/>
                <w:szCs w:val="24"/>
                <w:lang w:eastAsia="zh-CN"/>
              </w:rPr>
            </w:pPr>
            <w:r>
              <w:rPr>
                <w:rFonts w:ascii="宋体" w:hAnsi="宋体" w:cs="宋体"/>
                <w:color w:val="auto"/>
                <w:sz w:val="24"/>
                <w:szCs w:val="24"/>
              </w:rPr>
              <w:t>项目实施方案</w:t>
            </w:r>
          </w:p>
        </w:tc>
        <w:tc>
          <w:tcPr>
            <w:tcW w:w="5958" w:type="dxa"/>
            <w:noWrap w:val="0"/>
            <w:vAlign w:val="top"/>
          </w:tcPr>
          <w:p w14:paraId="3AB2AF27">
            <w:pPr>
              <w:keepNext w:val="0"/>
              <w:keepLines w:val="0"/>
              <w:pageBreakBefore w:val="0"/>
              <w:widowControl/>
              <w:kinsoku/>
              <w:wordWrap/>
              <w:overflowPunct/>
              <w:topLinePunct w:val="0"/>
              <w:autoSpaceDE/>
              <w:autoSpaceDN/>
              <w:bidi w:val="0"/>
              <w:ind w:firstLine="0" w:firstLineChars="0"/>
              <w:jc w:val="left"/>
              <w:textAlignment w:val="auto"/>
              <w:rPr>
                <w:color w:val="auto"/>
              </w:rPr>
            </w:pPr>
            <w:r>
              <w:rPr>
                <w:rFonts w:hint="eastAsia" w:ascii="宋体" w:hAnsi="宋体" w:cs="宋体"/>
                <w:color w:val="auto"/>
                <w:kern w:val="0"/>
                <w:sz w:val="24"/>
                <w:szCs w:val="24"/>
                <w:shd w:val="clear" w:color="auto" w:fill="FFFFFF"/>
              </w:rPr>
              <w:t>根据</w:t>
            </w:r>
            <w:r>
              <w:rPr>
                <w:rFonts w:hint="eastAsia" w:ascii="宋体" w:hAnsi="宋体" w:cs="宋体"/>
                <w:color w:val="auto"/>
                <w:kern w:val="0"/>
                <w:sz w:val="24"/>
                <w:szCs w:val="24"/>
                <w:shd w:val="clear" w:color="auto" w:fill="FFFFFF"/>
                <w:lang w:val="en-US" w:eastAsia="zh-CN"/>
              </w:rPr>
              <w:t>投标人</w:t>
            </w:r>
            <w:r>
              <w:rPr>
                <w:rFonts w:hint="eastAsia" w:ascii="宋体" w:hAnsi="宋体" w:cs="宋体"/>
                <w:color w:val="auto"/>
                <w:kern w:val="0"/>
                <w:sz w:val="24"/>
                <w:szCs w:val="24"/>
                <w:shd w:val="clear" w:color="auto" w:fill="FFFFFF"/>
              </w:rPr>
              <w:t>针对本项目提供的实施方案进行评审，包括但不限于以下内容：</w:t>
            </w:r>
          </w:p>
          <w:p w14:paraId="70148BD9">
            <w:pPr>
              <w:keepNext w:val="0"/>
              <w:keepLines w:val="0"/>
              <w:pageBreakBefore w:val="0"/>
              <w:widowControl/>
              <w:kinsoku/>
              <w:wordWrap/>
              <w:overflowPunct/>
              <w:topLinePunct w:val="0"/>
              <w:autoSpaceDE/>
              <w:autoSpaceDN/>
              <w:bidi w:val="0"/>
              <w:ind w:firstLine="0" w:firstLineChars="0"/>
              <w:jc w:val="left"/>
              <w:textAlignment w:val="auto"/>
              <w:rPr>
                <w:rFonts w:hint="default" w:eastAsia="宋体"/>
                <w:color w:val="auto"/>
                <w:sz w:val="24"/>
                <w:szCs w:val="24"/>
                <w:lang w:val="en-US" w:eastAsia="zh-CN"/>
              </w:rPr>
            </w:pPr>
            <w:r>
              <w:rPr>
                <w:rFonts w:hint="eastAsia"/>
                <w:color w:val="auto"/>
                <w:sz w:val="24"/>
                <w:szCs w:val="24"/>
                <w:lang w:val="en-US" w:eastAsia="zh-CN"/>
              </w:rPr>
              <w:t>一、评审内容</w:t>
            </w:r>
          </w:p>
          <w:p w14:paraId="5E839CAE">
            <w:pPr>
              <w:keepNext w:val="0"/>
              <w:keepLines w:val="0"/>
              <w:pageBreakBefore w:val="0"/>
              <w:widowControl/>
              <w:kinsoku/>
              <w:wordWrap/>
              <w:overflowPunct/>
              <w:topLinePunct w:val="0"/>
              <w:autoSpaceDE/>
              <w:autoSpaceDN/>
              <w:bidi w:val="0"/>
              <w:ind w:firstLine="0" w:firstLineChars="0"/>
              <w:jc w:val="left"/>
              <w:textAlignment w:val="auto"/>
              <w:rPr>
                <w:rFonts w:hint="eastAsia" w:ascii="宋体" w:hAnsi="宋体" w:cs="宋体"/>
                <w:color w:val="auto"/>
                <w:kern w:val="0"/>
                <w:sz w:val="24"/>
                <w:szCs w:val="24"/>
                <w:shd w:val="clear" w:color="auto" w:fill="FFFFFF"/>
              </w:rPr>
            </w:pPr>
            <w:r>
              <w:rPr>
                <w:rFonts w:hint="eastAsia" w:ascii="宋体" w:hAnsi="宋体" w:cs="宋体"/>
                <w:color w:val="auto"/>
                <w:kern w:val="0"/>
                <w:sz w:val="24"/>
                <w:szCs w:val="24"/>
                <w:shd w:val="clear" w:color="auto" w:fill="FFFFFF"/>
                <w:lang w:eastAsia="zh-CN"/>
              </w:rPr>
              <w:t>（</w:t>
            </w:r>
            <w:r>
              <w:rPr>
                <w:rFonts w:hint="eastAsia" w:ascii="宋体" w:hAnsi="宋体" w:cs="宋体"/>
                <w:color w:val="auto"/>
                <w:kern w:val="0"/>
                <w:sz w:val="24"/>
                <w:szCs w:val="24"/>
                <w:shd w:val="clear" w:color="auto" w:fill="FFFFFF"/>
                <w:lang w:val="en-US" w:eastAsia="zh-CN"/>
              </w:rPr>
              <w:t>1）供货进度保证措施及质量保证计划</w:t>
            </w:r>
            <w:r>
              <w:rPr>
                <w:rFonts w:hint="eastAsia" w:ascii="宋体" w:hAnsi="宋体" w:cs="宋体"/>
                <w:color w:val="auto"/>
                <w:kern w:val="0"/>
                <w:sz w:val="24"/>
                <w:szCs w:val="24"/>
                <w:shd w:val="clear" w:color="auto" w:fill="FFFFFF"/>
              </w:rPr>
              <w:t>；</w:t>
            </w:r>
          </w:p>
          <w:p w14:paraId="37CB7AD5">
            <w:pPr>
              <w:keepNext w:val="0"/>
              <w:keepLines w:val="0"/>
              <w:pageBreakBefore w:val="0"/>
              <w:widowControl/>
              <w:kinsoku/>
              <w:wordWrap/>
              <w:overflowPunct/>
              <w:topLinePunct w:val="0"/>
              <w:autoSpaceDE/>
              <w:autoSpaceDN/>
              <w:bidi w:val="0"/>
              <w:ind w:firstLine="0" w:firstLineChars="0"/>
              <w:jc w:val="left"/>
              <w:textAlignment w:val="auto"/>
              <w:rPr>
                <w:rFonts w:hint="eastAsia" w:ascii="宋体" w:hAnsi="宋体" w:cs="宋体"/>
                <w:color w:val="auto"/>
                <w:kern w:val="0"/>
                <w:sz w:val="24"/>
                <w:szCs w:val="24"/>
                <w:shd w:val="clear" w:color="auto" w:fill="FFFFFF"/>
              </w:rPr>
            </w:pPr>
            <w:r>
              <w:rPr>
                <w:rFonts w:hint="eastAsia" w:ascii="宋体" w:hAnsi="宋体" w:cs="宋体"/>
                <w:color w:val="auto"/>
                <w:kern w:val="0"/>
                <w:sz w:val="24"/>
                <w:szCs w:val="24"/>
                <w:shd w:val="clear" w:color="auto" w:fill="FFFFFF"/>
                <w:lang w:eastAsia="zh-CN"/>
              </w:rPr>
              <w:t>（</w:t>
            </w:r>
            <w:r>
              <w:rPr>
                <w:rFonts w:hint="eastAsia" w:ascii="宋体" w:hAnsi="宋体" w:cs="宋体"/>
                <w:color w:val="auto"/>
                <w:kern w:val="0"/>
                <w:sz w:val="24"/>
                <w:szCs w:val="24"/>
                <w:shd w:val="clear" w:color="auto" w:fill="FFFFFF"/>
                <w:lang w:val="en-US" w:eastAsia="zh-CN"/>
              </w:rPr>
              <w:t>2）安装技术</w:t>
            </w:r>
            <w:r>
              <w:rPr>
                <w:rFonts w:hint="eastAsia" w:ascii="宋体" w:hAnsi="宋体" w:cs="宋体"/>
                <w:color w:val="auto"/>
                <w:kern w:val="0"/>
                <w:sz w:val="24"/>
                <w:szCs w:val="24"/>
                <w:shd w:val="clear" w:color="auto" w:fill="FFFFFF"/>
              </w:rPr>
              <w:t>方案；</w:t>
            </w:r>
          </w:p>
          <w:p w14:paraId="6F296237">
            <w:pPr>
              <w:keepNext w:val="0"/>
              <w:keepLines w:val="0"/>
              <w:pageBreakBefore w:val="0"/>
              <w:widowControl/>
              <w:kinsoku/>
              <w:wordWrap/>
              <w:overflowPunct/>
              <w:topLinePunct w:val="0"/>
              <w:autoSpaceDE/>
              <w:autoSpaceDN/>
              <w:bidi w:val="0"/>
              <w:ind w:firstLine="0" w:firstLineChars="0"/>
              <w:jc w:val="left"/>
              <w:textAlignment w:val="auto"/>
              <w:rPr>
                <w:rFonts w:hint="eastAsia" w:ascii="宋体" w:hAnsi="宋体" w:cs="宋体"/>
                <w:color w:val="auto"/>
                <w:kern w:val="0"/>
                <w:sz w:val="24"/>
                <w:szCs w:val="24"/>
                <w:shd w:val="clear" w:color="auto" w:fill="FFFFFF"/>
              </w:rPr>
            </w:pPr>
            <w:r>
              <w:rPr>
                <w:rFonts w:hint="eastAsia" w:ascii="宋体" w:hAnsi="宋体" w:cs="宋体"/>
                <w:color w:val="auto"/>
                <w:kern w:val="0"/>
                <w:sz w:val="24"/>
                <w:szCs w:val="24"/>
                <w:shd w:val="clear" w:color="auto" w:fill="FFFFFF"/>
                <w:lang w:eastAsia="zh-CN"/>
              </w:rPr>
              <w:t>（</w:t>
            </w:r>
            <w:r>
              <w:rPr>
                <w:rFonts w:hint="eastAsia" w:ascii="宋体" w:hAnsi="宋体" w:cs="宋体"/>
                <w:color w:val="auto"/>
                <w:kern w:val="0"/>
                <w:sz w:val="24"/>
                <w:szCs w:val="24"/>
                <w:shd w:val="clear" w:color="auto" w:fill="FFFFFF"/>
                <w:lang w:val="en-US" w:eastAsia="zh-CN"/>
              </w:rPr>
              <w:t>3）</w:t>
            </w:r>
            <w:r>
              <w:rPr>
                <w:rFonts w:hint="eastAsia" w:ascii="宋体" w:hAnsi="宋体" w:cs="宋体"/>
                <w:color w:val="auto"/>
                <w:kern w:val="0"/>
                <w:sz w:val="24"/>
                <w:szCs w:val="24"/>
                <w:shd w:val="clear" w:color="auto" w:fill="FFFFFF"/>
              </w:rPr>
              <w:t>检验、调试</w:t>
            </w:r>
            <w:r>
              <w:rPr>
                <w:rFonts w:hint="eastAsia" w:ascii="宋体" w:hAnsi="宋体" w:cs="宋体"/>
                <w:color w:val="auto"/>
                <w:kern w:val="0"/>
                <w:sz w:val="24"/>
                <w:szCs w:val="24"/>
                <w:shd w:val="clear" w:color="auto" w:fill="FFFFFF"/>
                <w:lang w:val="en-US" w:eastAsia="zh-CN"/>
              </w:rPr>
              <w:t>及验收</w:t>
            </w:r>
            <w:r>
              <w:rPr>
                <w:rFonts w:hint="eastAsia" w:ascii="宋体" w:hAnsi="宋体" w:cs="宋体"/>
                <w:color w:val="auto"/>
                <w:kern w:val="0"/>
                <w:sz w:val="24"/>
                <w:szCs w:val="24"/>
                <w:shd w:val="clear" w:color="auto" w:fill="FFFFFF"/>
              </w:rPr>
              <w:t>方案；</w:t>
            </w:r>
          </w:p>
          <w:p w14:paraId="0697AECC">
            <w:pPr>
              <w:keepNext w:val="0"/>
              <w:keepLines w:val="0"/>
              <w:pageBreakBefore w:val="0"/>
              <w:widowControl/>
              <w:kinsoku/>
              <w:wordWrap/>
              <w:overflowPunct/>
              <w:topLinePunct w:val="0"/>
              <w:autoSpaceDE/>
              <w:autoSpaceDN/>
              <w:bidi w:val="0"/>
              <w:ind w:firstLine="0" w:firstLineChars="0"/>
              <w:jc w:val="left"/>
              <w:textAlignment w:val="auto"/>
              <w:rPr>
                <w:rFonts w:hint="eastAsia" w:ascii="宋体" w:hAnsi="宋体" w:cs="宋体"/>
                <w:color w:val="auto"/>
                <w:kern w:val="0"/>
                <w:sz w:val="24"/>
                <w:szCs w:val="24"/>
                <w:shd w:val="clear" w:color="auto" w:fill="FFFFFF"/>
                <w:lang w:eastAsia="zh-CN"/>
              </w:rPr>
            </w:pPr>
            <w:r>
              <w:rPr>
                <w:rFonts w:hint="eastAsia" w:ascii="宋体" w:hAnsi="宋体" w:cs="宋体"/>
                <w:color w:val="auto"/>
                <w:kern w:val="0"/>
                <w:sz w:val="24"/>
                <w:szCs w:val="24"/>
                <w:shd w:val="clear" w:color="auto" w:fill="FFFFFF"/>
                <w:lang w:eastAsia="zh-CN"/>
              </w:rPr>
              <w:t>（</w:t>
            </w:r>
            <w:r>
              <w:rPr>
                <w:rFonts w:hint="eastAsia" w:ascii="宋体" w:hAnsi="宋体" w:cs="宋体"/>
                <w:color w:val="auto"/>
                <w:kern w:val="0"/>
                <w:sz w:val="24"/>
                <w:szCs w:val="24"/>
                <w:shd w:val="clear" w:color="auto" w:fill="FFFFFF"/>
                <w:lang w:val="en-US" w:eastAsia="zh-CN"/>
              </w:rPr>
              <w:t>4）</w:t>
            </w:r>
            <w:r>
              <w:rPr>
                <w:rFonts w:hint="eastAsia" w:ascii="宋体" w:hAnsi="宋体" w:cs="宋体"/>
                <w:color w:val="auto"/>
                <w:kern w:val="0"/>
                <w:sz w:val="24"/>
                <w:szCs w:val="24"/>
                <w:shd w:val="clear" w:color="auto" w:fill="FFFFFF"/>
              </w:rPr>
              <w:t>应急方案</w:t>
            </w:r>
            <w:r>
              <w:rPr>
                <w:rFonts w:hint="eastAsia" w:ascii="宋体" w:hAnsi="宋体" w:cs="宋体"/>
                <w:color w:val="auto"/>
                <w:kern w:val="0"/>
                <w:sz w:val="24"/>
                <w:szCs w:val="24"/>
                <w:shd w:val="clear" w:color="auto" w:fill="FFFFFF"/>
                <w:lang w:eastAsia="zh-CN"/>
              </w:rPr>
              <w:t>。</w:t>
            </w:r>
          </w:p>
          <w:p w14:paraId="456733A0">
            <w:pPr>
              <w:keepNext w:val="0"/>
              <w:keepLines w:val="0"/>
              <w:pageBreakBefore w:val="0"/>
              <w:widowControl/>
              <w:kinsoku/>
              <w:wordWrap/>
              <w:overflowPunct/>
              <w:topLinePunct w:val="0"/>
              <w:autoSpaceDE/>
              <w:autoSpaceDN/>
              <w:bidi w:val="0"/>
              <w:ind w:firstLine="0" w:firstLineChars="0"/>
              <w:jc w:val="left"/>
              <w:textAlignment w:val="auto"/>
              <w:rPr>
                <w:rFonts w:hint="eastAsia" w:ascii="宋体" w:hAnsi="宋体" w:cs="宋体"/>
                <w:color w:val="auto"/>
                <w:kern w:val="0"/>
                <w:sz w:val="24"/>
                <w:szCs w:val="24"/>
                <w:shd w:val="clear" w:color="auto" w:fill="FFFFFF"/>
                <w:lang w:val="en-US" w:eastAsia="zh-CN"/>
              </w:rPr>
            </w:pPr>
            <w:r>
              <w:rPr>
                <w:rFonts w:hint="eastAsia" w:ascii="宋体" w:hAnsi="宋体" w:cs="宋体"/>
                <w:color w:val="auto"/>
                <w:kern w:val="0"/>
                <w:sz w:val="24"/>
                <w:szCs w:val="24"/>
                <w:shd w:val="clear" w:color="auto" w:fill="FFFFFF"/>
                <w:lang w:val="en-US" w:eastAsia="zh-CN"/>
              </w:rPr>
              <w:t>二、评审标准</w:t>
            </w:r>
          </w:p>
          <w:p w14:paraId="3D73D58E">
            <w:pPr>
              <w:numPr>
                <w:ilvl w:val="0"/>
                <w:numId w:val="0"/>
              </w:numPr>
              <w:rPr>
                <w:rFonts w:hint="eastAsia" w:ascii="宋体" w:hAnsi="宋体" w:cs="宋体"/>
                <w:color w:val="auto"/>
                <w:kern w:val="0"/>
                <w:sz w:val="24"/>
                <w:szCs w:val="24"/>
                <w:shd w:val="clear" w:color="auto" w:fill="FFFFFF"/>
                <w:lang w:val="en-US" w:eastAsia="zh-CN"/>
              </w:rPr>
            </w:pPr>
            <w:r>
              <w:rPr>
                <w:rFonts w:hint="eastAsia" w:ascii="宋体" w:hAnsi="宋体" w:cs="宋体" w:eastAsiaTheme="minorEastAsia"/>
                <w:color w:val="auto"/>
                <w:kern w:val="0"/>
                <w:sz w:val="24"/>
                <w:szCs w:val="24"/>
                <w:shd w:val="clear" w:fill="FFFFFF"/>
                <w:lang w:val="en-US" w:eastAsia="zh-CN" w:bidi="ar-SA"/>
              </w:rPr>
              <w:t>1.</w:t>
            </w:r>
            <w:r>
              <w:rPr>
                <w:rFonts w:hint="eastAsia" w:ascii="宋体" w:hAnsi="宋体" w:cs="宋体"/>
                <w:color w:val="auto"/>
                <w:kern w:val="0"/>
                <w:sz w:val="24"/>
                <w:szCs w:val="24"/>
                <w:shd w:val="clear" w:color="auto" w:fill="FFFFFF"/>
                <w:lang w:val="en-US" w:eastAsia="zh-CN"/>
              </w:rPr>
              <w:t>完整性：方案内容表述完整，不存在</w:t>
            </w:r>
            <w:r>
              <w:rPr>
                <w:rFonts w:hint="eastAsia" w:ascii="宋体" w:hAnsi="宋体" w:cs="宋体"/>
                <w:color w:val="auto"/>
                <w:kern w:val="0"/>
                <w:sz w:val="24"/>
                <w:szCs w:val="24"/>
                <w:shd w:val="clear" w:color="auto" w:fill="FFFFFF"/>
              </w:rPr>
              <w:t>与项目明显无关的文字内容</w:t>
            </w:r>
            <w:r>
              <w:rPr>
                <w:rFonts w:hint="eastAsia" w:ascii="宋体" w:hAnsi="宋体" w:cs="宋体"/>
                <w:color w:val="auto"/>
                <w:kern w:val="0"/>
                <w:sz w:val="24"/>
                <w:szCs w:val="24"/>
                <w:shd w:val="clear" w:color="auto" w:fill="FFFFFF"/>
                <w:lang w:eastAsia="zh-CN"/>
              </w:rPr>
              <w:t>，</w:t>
            </w:r>
            <w:r>
              <w:rPr>
                <w:rFonts w:hint="eastAsia" w:ascii="宋体" w:hAnsi="宋体" w:cs="宋体"/>
                <w:color w:val="auto"/>
                <w:kern w:val="0"/>
                <w:sz w:val="24"/>
                <w:szCs w:val="24"/>
                <w:shd w:val="clear" w:color="auto" w:fill="FFFFFF"/>
                <w:lang w:val="en-US" w:eastAsia="zh-CN"/>
              </w:rPr>
              <w:t>且内容原理正确，对采购需求无理解缺位混乱；</w:t>
            </w:r>
          </w:p>
          <w:p w14:paraId="3F90F9DA">
            <w:pPr>
              <w:numPr>
                <w:ilvl w:val="0"/>
                <w:numId w:val="0"/>
              </w:numPr>
              <w:rPr>
                <w:rFonts w:hint="default" w:ascii="宋体" w:hAnsi="宋体" w:cs="宋体"/>
                <w:color w:val="auto"/>
                <w:kern w:val="0"/>
                <w:sz w:val="24"/>
                <w:szCs w:val="24"/>
                <w:shd w:val="clear" w:color="auto" w:fill="FFFFFF"/>
                <w:lang w:val="en-US" w:eastAsia="zh-CN"/>
              </w:rPr>
            </w:pPr>
            <w:r>
              <w:rPr>
                <w:rFonts w:hint="default" w:ascii="宋体" w:hAnsi="宋体" w:cs="宋体" w:eastAsiaTheme="minorEastAsia"/>
                <w:color w:val="auto"/>
                <w:kern w:val="0"/>
                <w:sz w:val="24"/>
                <w:szCs w:val="24"/>
                <w:shd w:val="clear" w:fill="FFFFFF"/>
                <w:lang w:val="en-US" w:eastAsia="zh-CN" w:bidi="ar-SA"/>
              </w:rPr>
              <w:t>2.</w:t>
            </w:r>
            <w:r>
              <w:rPr>
                <w:rFonts w:hint="eastAsia" w:ascii="宋体" w:hAnsi="宋体" w:cs="宋体"/>
                <w:color w:val="auto"/>
                <w:kern w:val="0"/>
                <w:sz w:val="24"/>
                <w:szCs w:val="24"/>
                <w:shd w:val="clear" w:color="auto" w:fill="FFFFFF"/>
                <w:lang w:val="en-US" w:eastAsia="zh-CN"/>
              </w:rPr>
              <w:t>符合性：方案</w:t>
            </w:r>
            <w:r>
              <w:rPr>
                <w:rFonts w:hint="eastAsia" w:ascii="宋体" w:hAnsi="宋体" w:cs="宋体"/>
                <w:color w:val="auto"/>
                <w:kern w:val="0"/>
                <w:sz w:val="24"/>
                <w:szCs w:val="24"/>
                <w:shd w:val="clear" w:color="auto" w:fill="FFFFFF"/>
              </w:rPr>
              <w:t>完全符合项目实际需求</w:t>
            </w:r>
            <w:r>
              <w:rPr>
                <w:rFonts w:hint="eastAsia" w:ascii="宋体" w:hAnsi="宋体" w:cs="宋体"/>
                <w:color w:val="auto"/>
                <w:kern w:val="0"/>
                <w:sz w:val="24"/>
                <w:szCs w:val="24"/>
                <w:shd w:val="clear" w:color="auto" w:fill="FFFFFF"/>
                <w:lang w:eastAsia="zh-CN"/>
              </w:rPr>
              <w:t>、</w:t>
            </w:r>
            <w:r>
              <w:rPr>
                <w:rFonts w:hint="eastAsia" w:ascii="宋体" w:hAnsi="宋体" w:cs="宋体"/>
                <w:color w:val="auto"/>
                <w:kern w:val="0"/>
                <w:sz w:val="24"/>
                <w:szCs w:val="24"/>
                <w:shd w:val="clear" w:color="auto" w:fill="FFFFFF"/>
                <w:lang w:val="en-US" w:eastAsia="zh-CN"/>
              </w:rPr>
              <w:t>行业政策</w:t>
            </w:r>
            <w:r>
              <w:rPr>
                <w:rFonts w:hint="eastAsia" w:ascii="宋体" w:hAnsi="宋体" w:cs="宋体"/>
                <w:color w:val="auto"/>
                <w:kern w:val="0"/>
                <w:sz w:val="24"/>
                <w:szCs w:val="24"/>
                <w:shd w:val="clear" w:color="auto" w:fill="FFFFFF"/>
              </w:rPr>
              <w:t>及项目情况</w:t>
            </w:r>
            <w:r>
              <w:rPr>
                <w:rFonts w:hint="eastAsia" w:ascii="宋体" w:hAnsi="宋体" w:cs="宋体"/>
                <w:color w:val="auto"/>
                <w:kern w:val="0"/>
                <w:sz w:val="24"/>
                <w:szCs w:val="24"/>
                <w:shd w:val="clear" w:color="auto" w:fill="FFFFFF"/>
                <w:lang w:eastAsia="zh-CN"/>
              </w:rPr>
              <w:t>，</w:t>
            </w:r>
            <w:r>
              <w:rPr>
                <w:rFonts w:hint="eastAsia" w:ascii="宋体" w:hAnsi="宋体" w:cs="宋体"/>
                <w:color w:val="auto"/>
                <w:kern w:val="0"/>
                <w:sz w:val="24"/>
                <w:szCs w:val="24"/>
                <w:shd w:val="clear" w:color="auto" w:fill="FFFFFF"/>
              </w:rPr>
              <w:t>包含但不限于</w:t>
            </w:r>
            <w:r>
              <w:rPr>
                <w:rFonts w:hint="eastAsia" w:ascii="宋体" w:hAnsi="宋体" w:cs="宋体"/>
                <w:color w:val="auto"/>
                <w:kern w:val="0"/>
                <w:sz w:val="24"/>
                <w:szCs w:val="24"/>
                <w:shd w:val="clear" w:color="auto" w:fill="FFFFFF"/>
                <w:lang w:val="en-US" w:eastAsia="zh-CN"/>
              </w:rPr>
              <w:t>以</w:t>
            </w:r>
            <w:r>
              <w:rPr>
                <w:rFonts w:ascii="宋体" w:hAnsi="宋体" w:eastAsia="宋体" w:cs="宋体"/>
                <w:color w:val="auto"/>
                <w:sz w:val="24"/>
                <w:szCs w:val="24"/>
              </w:rPr>
              <w:t>文字、图案、表格等形式详细呈现方案内容</w:t>
            </w:r>
            <w:r>
              <w:rPr>
                <w:rFonts w:hint="eastAsia" w:ascii="宋体" w:hAnsi="宋体" w:eastAsia="宋体" w:cs="宋体"/>
                <w:color w:val="auto"/>
                <w:sz w:val="24"/>
                <w:szCs w:val="24"/>
                <w:lang w:eastAsia="zh-CN"/>
              </w:rPr>
              <w:t>。</w:t>
            </w:r>
          </w:p>
          <w:p w14:paraId="7D81C519">
            <w:pPr>
              <w:keepNext w:val="0"/>
              <w:keepLines w:val="0"/>
              <w:pageBreakBefore w:val="0"/>
              <w:widowControl/>
              <w:kinsoku/>
              <w:wordWrap/>
              <w:overflowPunct/>
              <w:topLinePunct w:val="0"/>
              <w:autoSpaceDE/>
              <w:autoSpaceDN/>
              <w:bidi w:val="0"/>
              <w:ind w:firstLine="0" w:firstLineChars="0"/>
              <w:jc w:val="left"/>
              <w:textAlignment w:val="auto"/>
              <w:rPr>
                <w:rFonts w:hint="eastAsia" w:ascii="宋体" w:hAnsi="宋体" w:cs="宋体"/>
                <w:color w:val="auto"/>
                <w:kern w:val="0"/>
                <w:sz w:val="24"/>
                <w:szCs w:val="24"/>
                <w:shd w:val="clear" w:color="auto" w:fill="FFFFFF"/>
              </w:rPr>
            </w:pPr>
            <w:r>
              <w:rPr>
                <w:rFonts w:hint="eastAsia" w:ascii="宋体" w:hAnsi="宋体" w:cs="宋体"/>
                <w:color w:val="auto"/>
                <w:kern w:val="0"/>
                <w:sz w:val="24"/>
                <w:szCs w:val="24"/>
                <w:shd w:val="clear" w:color="auto" w:fill="FFFFFF"/>
              </w:rPr>
              <w:t>对上述</w:t>
            </w:r>
            <w:r>
              <w:rPr>
                <w:rFonts w:hint="eastAsia" w:ascii="宋体" w:hAnsi="宋体" w:cs="宋体"/>
                <w:color w:val="auto"/>
                <w:kern w:val="0"/>
                <w:sz w:val="24"/>
                <w:szCs w:val="24"/>
                <w:shd w:val="clear" w:color="auto" w:fill="FFFFFF"/>
                <w:lang w:val="en-US" w:eastAsia="zh-CN"/>
              </w:rPr>
              <w:t>4项</w:t>
            </w:r>
            <w:r>
              <w:rPr>
                <w:rFonts w:hint="eastAsia" w:ascii="宋体" w:hAnsi="宋体" w:cs="宋体"/>
                <w:color w:val="auto"/>
                <w:kern w:val="0"/>
                <w:sz w:val="24"/>
                <w:szCs w:val="24"/>
                <w:shd w:val="clear" w:color="auto" w:fill="FFFFFF"/>
              </w:rPr>
              <w:t>评审内容进行打分，</w:t>
            </w:r>
            <w:r>
              <w:rPr>
                <w:rFonts w:hint="eastAsia" w:ascii="宋体" w:hAnsi="宋体" w:cs="宋体"/>
                <w:color w:val="auto"/>
                <w:kern w:val="0"/>
                <w:sz w:val="24"/>
                <w:szCs w:val="24"/>
                <w:shd w:val="clear" w:color="auto" w:fill="FFFFFF"/>
                <w:lang w:val="en-US" w:eastAsia="zh-CN"/>
              </w:rPr>
              <w:t>每项</w:t>
            </w:r>
            <w:r>
              <w:rPr>
                <w:rFonts w:hint="eastAsia" w:ascii="宋体" w:hAnsi="宋体" w:cs="宋体"/>
                <w:color w:val="auto"/>
                <w:kern w:val="0"/>
                <w:sz w:val="24"/>
                <w:szCs w:val="24"/>
                <w:shd w:val="clear" w:color="auto" w:fill="FFFFFF"/>
              </w:rPr>
              <w:t>评审内容</w:t>
            </w:r>
            <w:r>
              <w:rPr>
                <w:rFonts w:hint="eastAsia" w:ascii="宋体" w:hAnsi="宋体" w:cs="宋体"/>
                <w:color w:val="auto"/>
                <w:kern w:val="0"/>
                <w:sz w:val="24"/>
                <w:szCs w:val="24"/>
                <w:shd w:val="clear" w:color="auto" w:fill="FFFFFF"/>
                <w:lang w:val="en-US" w:eastAsia="zh-CN"/>
              </w:rPr>
              <w:t>完全满足2项</w:t>
            </w:r>
            <w:r>
              <w:rPr>
                <w:rFonts w:hint="eastAsia" w:ascii="宋体" w:hAnsi="宋体" w:cs="宋体"/>
                <w:color w:val="auto"/>
                <w:kern w:val="0"/>
                <w:sz w:val="24"/>
                <w:szCs w:val="24"/>
                <w:shd w:val="clear" w:color="auto" w:fill="FFFFFF"/>
              </w:rPr>
              <w:t>评审标准的得1分</w:t>
            </w:r>
            <w:r>
              <w:rPr>
                <w:rFonts w:hint="eastAsia" w:ascii="宋体" w:hAnsi="宋体" w:cs="宋体"/>
                <w:color w:val="auto"/>
                <w:kern w:val="0"/>
                <w:sz w:val="24"/>
                <w:szCs w:val="24"/>
                <w:shd w:val="clear" w:color="auto" w:fill="FFFFFF"/>
                <w:lang w:eastAsia="zh-CN"/>
              </w:rPr>
              <w:t>；</w:t>
            </w:r>
            <w:r>
              <w:rPr>
                <w:rFonts w:hint="eastAsia" w:ascii="宋体" w:hAnsi="宋体" w:cs="宋体"/>
                <w:color w:val="auto"/>
                <w:kern w:val="0"/>
                <w:sz w:val="24"/>
                <w:szCs w:val="24"/>
                <w:shd w:val="clear" w:color="auto" w:fill="FFFFFF"/>
                <w:lang w:val="en-US" w:eastAsia="zh-CN"/>
              </w:rPr>
              <w:t>满足1项评审标准的，得0.5分，其他情况不得分，满分4</w:t>
            </w:r>
            <w:r>
              <w:rPr>
                <w:rFonts w:hint="eastAsia" w:ascii="宋体" w:hAnsi="宋体" w:cs="宋体"/>
                <w:color w:val="auto"/>
                <w:kern w:val="0"/>
                <w:sz w:val="24"/>
                <w:szCs w:val="24"/>
                <w:shd w:val="clear" w:color="auto" w:fill="FFFFFF"/>
              </w:rPr>
              <w:t>分。</w:t>
            </w:r>
          </w:p>
        </w:tc>
        <w:tc>
          <w:tcPr>
            <w:tcW w:w="1063" w:type="dxa"/>
            <w:noWrap w:val="0"/>
            <w:vAlign w:val="center"/>
          </w:tcPr>
          <w:p w14:paraId="301B00C8">
            <w:pPr>
              <w:keepNext w:val="0"/>
              <w:keepLines w:val="0"/>
              <w:pageBreakBefore w:val="0"/>
              <w:widowControl/>
              <w:kinsoku/>
              <w:wordWrap/>
              <w:overflowPunct/>
              <w:topLinePunct w:val="0"/>
              <w:autoSpaceDE/>
              <w:autoSpaceDN/>
              <w:bidi w:val="0"/>
              <w:spacing w:line="360" w:lineRule="auto"/>
              <w:ind w:firstLine="0" w:firstLineChars="0"/>
              <w:jc w:val="center"/>
              <w:textAlignment w:val="auto"/>
              <w:rPr>
                <w:rFonts w:ascii="宋体" w:hAnsi="宋体" w:cs="宋体"/>
                <w:color w:val="auto"/>
                <w:kern w:val="0"/>
                <w:sz w:val="24"/>
                <w:szCs w:val="24"/>
              </w:rPr>
            </w:pPr>
            <w:r>
              <w:rPr>
                <w:rFonts w:hint="eastAsia" w:ascii="宋体" w:hAnsi="宋体" w:cs="宋体"/>
                <w:color w:val="auto"/>
                <w:kern w:val="0"/>
                <w:sz w:val="24"/>
                <w:szCs w:val="24"/>
              </w:rPr>
              <w:t>4</w:t>
            </w:r>
          </w:p>
        </w:tc>
      </w:tr>
      <w:tr w14:paraId="02F42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512" w:type="dxa"/>
            <w:vMerge w:val="continue"/>
            <w:noWrap w:val="0"/>
            <w:vAlign w:val="center"/>
          </w:tcPr>
          <w:p w14:paraId="4DA770AD">
            <w:pPr>
              <w:keepNext w:val="0"/>
              <w:keepLines w:val="0"/>
              <w:pageBreakBefore w:val="0"/>
              <w:widowControl/>
              <w:kinsoku/>
              <w:wordWrap/>
              <w:overflowPunct/>
              <w:topLinePunct w:val="0"/>
              <w:autoSpaceDE/>
              <w:autoSpaceDN/>
              <w:bidi w:val="0"/>
              <w:spacing w:line="360" w:lineRule="auto"/>
              <w:ind w:firstLine="0" w:firstLineChars="0"/>
              <w:jc w:val="left"/>
              <w:textAlignment w:val="auto"/>
              <w:rPr>
                <w:rFonts w:hint="eastAsia" w:ascii="宋体" w:hAnsi="宋体" w:cs="宋体"/>
                <w:color w:val="auto"/>
                <w:kern w:val="0"/>
                <w:sz w:val="24"/>
                <w:szCs w:val="24"/>
              </w:rPr>
            </w:pPr>
          </w:p>
        </w:tc>
        <w:tc>
          <w:tcPr>
            <w:tcW w:w="1288" w:type="dxa"/>
            <w:noWrap w:val="0"/>
            <w:vAlign w:val="center"/>
          </w:tcPr>
          <w:p w14:paraId="0ADB204F">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cs="宋体"/>
                <w:color w:val="auto"/>
                <w:kern w:val="0"/>
                <w:sz w:val="24"/>
                <w:szCs w:val="24"/>
                <w:shd w:val="clear" w:color="auto" w:fill="FFFFFF"/>
              </w:rPr>
            </w:pPr>
            <w:r>
              <w:rPr>
                <w:rFonts w:hint="eastAsia" w:ascii="宋体" w:hAnsi="宋体" w:cs="宋体"/>
                <w:color w:val="auto"/>
                <w:kern w:val="0"/>
                <w:sz w:val="24"/>
                <w:szCs w:val="24"/>
                <w:lang w:eastAsia="en-US"/>
              </w:rPr>
              <w:t>培训方案</w:t>
            </w:r>
          </w:p>
        </w:tc>
        <w:tc>
          <w:tcPr>
            <w:tcW w:w="5958" w:type="dxa"/>
            <w:noWrap w:val="0"/>
            <w:vAlign w:val="top"/>
          </w:tcPr>
          <w:p w14:paraId="42BD4A77">
            <w:pPr>
              <w:keepNext w:val="0"/>
              <w:keepLines w:val="0"/>
              <w:pageBreakBefore w:val="0"/>
              <w:widowControl/>
              <w:kinsoku/>
              <w:wordWrap/>
              <w:overflowPunct/>
              <w:topLinePunct w:val="0"/>
              <w:autoSpaceDE/>
              <w:autoSpaceDN/>
              <w:bidi w:val="0"/>
              <w:ind w:firstLine="0" w:firstLineChars="0"/>
              <w:jc w:val="left"/>
              <w:textAlignment w:val="auto"/>
              <w:rPr>
                <w:rFonts w:hint="default" w:ascii="宋体" w:hAnsi="宋体" w:eastAsia="宋体" w:cs="宋体"/>
                <w:color w:val="auto"/>
                <w:kern w:val="0"/>
                <w:sz w:val="24"/>
                <w:szCs w:val="24"/>
                <w:shd w:val="clear" w:color="auto" w:fill="FFFFFF"/>
                <w:lang w:val="en-US" w:eastAsia="zh-CN"/>
              </w:rPr>
            </w:pPr>
            <w:r>
              <w:rPr>
                <w:rFonts w:hint="eastAsia" w:ascii="宋体" w:hAnsi="宋体" w:cs="宋体"/>
                <w:color w:val="auto"/>
                <w:kern w:val="0"/>
                <w:sz w:val="24"/>
                <w:szCs w:val="24"/>
                <w:shd w:val="clear" w:color="auto" w:fill="FFFFFF"/>
              </w:rPr>
              <w:t>根据投标人提供的培训方案进行评审，</w:t>
            </w:r>
            <w:r>
              <w:rPr>
                <w:rFonts w:hint="eastAsia" w:ascii="宋体" w:hAnsi="宋体" w:cs="宋体"/>
                <w:color w:val="auto"/>
                <w:kern w:val="0"/>
                <w:sz w:val="24"/>
                <w:szCs w:val="24"/>
                <w:shd w:val="clear" w:color="auto" w:fill="FFFFFF"/>
                <w:lang w:val="en-US" w:eastAsia="zh-CN"/>
              </w:rPr>
              <w:t>包括但不限于以下内容：</w:t>
            </w:r>
          </w:p>
          <w:p w14:paraId="2F100B21">
            <w:pPr>
              <w:keepNext w:val="0"/>
              <w:keepLines w:val="0"/>
              <w:pageBreakBefore w:val="0"/>
              <w:widowControl/>
              <w:kinsoku/>
              <w:wordWrap/>
              <w:overflowPunct/>
              <w:topLinePunct w:val="0"/>
              <w:autoSpaceDE/>
              <w:autoSpaceDN/>
              <w:bidi w:val="0"/>
              <w:ind w:firstLine="0" w:firstLineChars="0"/>
              <w:jc w:val="left"/>
              <w:textAlignment w:val="auto"/>
              <w:rPr>
                <w:rFonts w:hint="eastAsia" w:ascii="宋体" w:hAnsi="宋体" w:cs="宋体"/>
                <w:color w:val="auto"/>
                <w:kern w:val="0"/>
                <w:sz w:val="24"/>
                <w:szCs w:val="24"/>
                <w:shd w:val="clear" w:color="auto" w:fill="FFFFFF"/>
              </w:rPr>
            </w:pPr>
            <w:r>
              <w:rPr>
                <w:rFonts w:hint="eastAsia" w:ascii="宋体" w:hAnsi="宋体" w:cs="宋体"/>
                <w:color w:val="auto"/>
                <w:kern w:val="0"/>
                <w:sz w:val="24"/>
                <w:szCs w:val="24"/>
                <w:shd w:val="clear" w:color="auto" w:fill="FFFFFF"/>
              </w:rPr>
              <w:t>一、评审内容</w:t>
            </w:r>
          </w:p>
          <w:p w14:paraId="73110331">
            <w:pPr>
              <w:keepNext w:val="0"/>
              <w:keepLines w:val="0"/>
              <w:pageBreakBefore w:val="0"/>
              <w:widowControl/>
              <w:kinsoku/>
              <w:wordWrap/>
              <w:overflowPunct/>
              <w:topLinePunct w:val="0"/>
              <w:autoSpaceDE/>
              <w:autoSpaceDN/>
              <w:bidi w:val="0"/>
              <w:ind w:firstLine="0" w:firstLineChars="0"/>
              <w:jc w:val="left"/>
              <w:textAlignment w:val="auto"/>
              <w:rPr>
                <w:rFonts w:hint="eastAsia" w:ascii="宋体" w:hAnsi="宋体" w:cs="宋体"/>
                <w:color w:val="auto"/>
                <w:kern w:val="0"/>
                <w:sz w:val="24"/>
                <w:szCs w:val="24"/>
                <w:shd w:val="clear" w:color="auto" w:fill="FFFFFF"/>
              </w:rPr>
            </w:pPr>
            <w:r>
              <w:rPr>
                <w:rFonts w:hint="eastAsia" w:ascii="宋体" w:hAnsi="宋体" w:cs="宋体"/>
                <w:color w:val="auto"/>
                <w:kern w:val="0"/>
                <w:sz w:val="24"/>
                <w:szCs w:val="24"/>
                <w:shd w:val="clear" w:color="auto" w:fill="FFFFFF"/>
              </w:rPr>
              <w:t>（1）培训计划；</w:t>
            </w:r>
          </w:p>
          <w:p w14:paraId="1CB4199B">
            <w:pPr>
              <w:keepNext w:val="0"/>
              <w:keepLines w:val="0"/>
              <w:pageBreakBefore w:val="0"/>
              <w:widowControl/>
              <w:kinsoku/>
              <w:wordWrap/>
              <w:overflowPunct/>
              <w:topLinePunct w:val="0"/>
              <w:autoSpaceDE/>
              <w:autoSpaceDN/>
              <w:bidi w:val="0"/>
              <w:ind w:firstLine="0" w:firstLineChars="0"/>
              <w:jc w:val="left"/>
              <w:textAlignment w:val="auto"/>
              <w:rPr>
                <w:rFonts w:hint="eastAsia" w:ascii="宋体" w:hAnsi="宋体" w:cs="宋体"/>
                <w:color w:val="auto"/>
                <w:kern w:val="0"/>
                <w:sz w:val="24"/>
                <w:szCs w:val="24"/>
                <w:shd w:val="clear" w:color="auto" w:fill="FFFFFF"/>
              </w:rPr>
            </w:pPr>
            <w:r>
              <w:rPr>
                <w:rFonts w:hint="eastAsia" w:ascii="宋体" w:hAnsi="宋体" w:cs="宋体"/>
                <w:color w:val="auto"/>
                <w:kern w:val="0"/>
                <w:sz w:val="24"/>
                <w:szCs w:val="24"/>
                <w:shd w:val="clear" w:color="auto" w:fill="FFFFFF"/>
              </w:rPr>
              <w:t>（2）培训方式；</w:t>
            </w:r>
          </w:p>
          <w:p w14:paraId="2B19A8ED">
            <w:pPr>
              <w:keepNext w:val="0"/>
              <w:keepLines w:val="0"/>
              <w:pageBreakBefore w:val="0"/>
              <w:widowControl/>
              <w:kinsoku/>
              <w:wordWrap/>
              <w:overflowPunct/>
              <w:topLinePunct w:val="0"/>
              <w:autoSpaceDE/>
              <w:autoSpaceDN/>
              <w:bidi w:val="0"/>
              <w:ind w:firstLine="0" w:firstLineChars="0"/>
              <w:jc w:val="left"/>
              <w:textAlignment w:val="auto"/>
              <w:rPr>
                <w:rFonts w:hint="eastAsia" w:ascii="宋体" w:hAnsi="宋体" w:cs="宋体"/>
                <w:color w:val="auto"/>
                <w:kern w:val="0"/>
                <w:sz w:val="24"/>
                <w:szCs w:val="24"/>
                <w:shd w:val="clear" w:color="auto" w:fill="FFFFFF"/>
              </w:rPr>
            </w:pPr>
            <w:r>
              <w:rPr>
                <w:rFonts w:hint="eastAsia" w:ascii="宋体" w:hAnsi="宋体" w:cs="宋体"/>
                <w:color w:val="auto"/>
                <w:kern w:val="0"/>
                <w:sz w:val="24"/>
                <w:szCs w:val="24"/>
                <w:shd w:val="clear" w:color="auto" w:fill="FFFFFF"/>
              </w:rPr>
              <w:t>二、评审标准</w:t>
            </w:r>
          </w:p>
          <w:p w14:paraId="7E7CFD34">
            <w:pPr>
              <w:keepNext w:val="0"/>
              <w:keepLines w:val="0"/>
              <w:pageBreakBefore w:val="0"/>
              <w:widowControl/>
              <w:kinsoku/>
              <w:wordWrap/>
              <w:overflowPunct/>
              <w:topLinePunct w:val="0"/>
              <w:autoSpaceDE/>
              <w:autoSpaceDN/>
              <w:bidi w:val="0"/>
              <w:ind w:firstLine="0" w:firstLineChars="0"/>
              <w:jc w:val="left"/>
              <w:textAlignment w:val="auto"/>
              <w:rPr>
                <w:rFonts w:hint="eastAsia" w:ascii="宋体" w:hAnsi="宋体" w:cs="宋体"/>
                <w:color w:val="auto"/>
                <w:kern w:val="0"/>
                <w:sz w:val="24"/>
                <w:szCs w:val="24"/>
                <w:shd w:val="clear" w:color="auto" w:fill="FFFFFF"/>
              </w:rPr>
            </w:pPr>
            <w:r>
              <w:rPr>
                <w:rFonts w:hint="eastAsia" w:ascii="宋体" w:hAnsi="宋体" w:cs="宋体"/>
                <w:color w:val="auto"/>
                <w:kern w:val="0"/>
                <w:sz w:val="24"/>
                <w:szCs w:val="24"/>
                <w:shd w:val="clear" w:color="auto" w:fill="FFFFFF"/>
              </w:rPr>
              <w:t>（1）合理性：方案必须完整，设想合理、恰当；</w:t>
            </w:r>
          </w:p>
          <w:p w14:paraId="555C2EEF">
            <w:pPr>
              <w:keepNext w:val="0"/>
              <w:keepLines w:val="0"/>
              <w:pageBreakBefore w:val="0"/>
              <w:widowControl/>
              <w:kinsoku/>
              <w:wordWrap/>
              <w:overflowPunct/>
              <w:topLinePunct w:val="0"/>
              <w:autoSpaceDE/>
              <w:autoSpaceDN/>
              <w:bidi w:val="0"/>
              <w:ind w:firstLine="0" w:firstLineChars="0"/>
              <w:jc w:val="left"/>
              <w:textAlignment w:val="auto"/>
              <w:rPr>
                <w:rFonts w:hint="eastAsia" w:ascii="宋体" w:hAnsi="宋体" w:cs="宋体"/>
                <w:color w:val="auto"/>
                <w:kern w:val="0"/>
                <w:sz w:val="24"/>
                <w:szCs w:val="24"/>
                <w:shd w:val="clear" w:color="auto" w:fill="FFFFFF"/>
              </w:rPr>
            </w:pPr>
            <w:r>
              <w:rPr>
                <w:rFonts w:hint="eastAsia" w:ascii="宋体" w:hAnsi="宋体" w:cs="宋体"/>
                <w:color w:val="auto"/>
                <w:kern w:val="0"/>
                <w:sz w:val="24"/>
                <w:szCs w:val="24"/>
                <w:shd w:val="clear" w:color="auto" w:fill="FFFFFF"/>
              </w:rPr>
              <w:t>（2）可行性：方案必须切合本项目实际情况，根据采购文件要求提出便于实施的方案。</w:t>
            </w:r>
          </w:p>
          <w:p w14:paraId="4B99D2C0">
            <w:pPr>
              <w:keepNext w:val="0"/>
              <w:keepLines w:val="0"/>
              <w:pageBreakBefore w:val="0"/>
              <w:widowControl/>
              <w:kinsoku/>
              <w:wordWrap/>
              <w:overflowPunct/>
              <w:topLinePunct w:val="0"/>
              <w:autoSpaceDE/>
              <w:autoSpaceDN/>
              <w:bidi w:val="0"/>
              <w:ind w:firstLine="0" w:firstLineChars="0"/>
              <w:jc w:val="left"/>
              <w:textAlignment w:val="auto"/>
              <w:rPr>
                <w:rFonts w:hint="eastAsia" w:ascii="宋体" w:hAnsi="宋体" w:cs="宋体"/>
                <w:color w:val="auto"/>
                <w:kern w:val="0"/>
                <w:sz w:val="24"/>
                <w:szCs w:val="24"/>
                <w:shd w:val="clear" w:color="auto" w:fill="FFFFFF"/>
              </w:rPr>
            </w:pPr>
            <w:r>
              <w:rPr>
                <w:rFonts w:hint="eastAsia" w:ascii="宋体" w:hAnsi="宋体" w:cs="宋体"/>
                <w:color w:val="auto"/>
                <w:kern w:val="0"/>
                <w:sz w:val="24"/>
                <w:szCs w:val="24"/>
                <w:shd w:val="clear" w:color="auto" w:fill="FFFFFF"/>
              </w:rPr>
              <w:t>对上述</w:t>
            </w:r>
            <w:r>
              <w:rPr>
                <w:rFonts w:hint="eastAsia" w:ascii="宋体" w:hAnsi="宋体" w:cs="宋体"/>
                <w:color w:val="auto"/>
                <w:kern w:val="0"/>
                <w:sz w:val="24"/>
                <w:szCs w:val="24"/>
                <w:shd w:val="clear" w:color="auto" w:fill="FFFFFF"/>
                <w:lang w:val="en-US" w:eastAsia="zh-CN"/>
              </w:rPr>
              <w:t>2项</w:t>
            </w:r>
            <w:r>
              <w:rPr>
                <w:rFonts w:hint="eastAsia" w:ascii="宋体" w:hAnsi="宋体" w:cs="宋体"/>
                <w:color w:val="auto"/>
                <w:kern w:val="0"/>
                <w:sz w:val="24"/>
                <w:szCs w:val="24"/>
                <w:shd w:val="clear" w:color="auto" w:fill="FFFFFF"/>
              </w:rPr>
              <w:t>评审内容进行打分，</w:t>
            </w:r>
            <w:r>
              <w:rPr>
                <w:rFonts w:hint="eastAsia" w:ascii="宋体" w:hAnsi="宋体" w:cs="宋体"/>
                <w:color w:val="auto"/>
                <w:kern w:val="0"/>
                <w:sz w:val="24"/>
                <w:szCs w:val="24"/>
                <w:shd w:val="clear" w:color="auto" w:fill="FFFFFF"/>
                <w:lang w:val="en-US" w:eastAsia="zh-CN"/>
              </w:rPr>
              <w:t>每项</w:t>
            </w:r>
            <w:r>
              <w:rPr>
                <w:rFonts w:hint="eastAsia" w:ascii="宋体" w:hAnsi="宋体" w:cs="宋体"/>
                <w:color w:val="auto"/>
                <w:kern w:val="0"/>
                <w:sz w:val="24"/>
                <w:szCs w:val="24"/>
                <w:shd w:val="clear" w:color="auto" w:fill="FFFFFF"/>
              </w:rPr>
              <w:t>评审内容</w:t>
            </w:r>
            <w:r>
              <w:rPr>
                <w:rFonts w:hint="eastAsia" w:ascii="宋体" w:hAnsi="宋体" w:cs="宋体"/>
                <w:color w:val="auto"/>
                <w:kern w:val="0"/>
                <w:sz w:val="24"/>
                <w:szCs w:val="24"/>
                <w:shd w:val="clear" w:color="auto" w:fill="FFFFFF"/>
                <w:lang w:val="en-US" w:eastAsia="zh-CN"/>
              </w:rPr>
              <w:t>完全满足2项</w:t>
            </w:r>
            <w:r>
              <w:rPr>
                <w:rFonts w:hint="eastAsia" w:ascii="宋体" w:hAnsi="宋体" w:cs="宋体"/>
                <w:color w:val="auto"/>
                <w:kern w:val="0"/>
                <w:sz w:val="24"/>
                <w:szCs w:val="24"/>
                <w:shd w:val="clear" w:color="auto" w:fill="FFFFFF"/>
              </w:rPr>
              <w:t>评审标准的得1</w:t>
            </w:r>
            <w:r>
              <w:rPr>
                <w:rFonts w:hint="eastAsia" w:ascii="宋体" w:hAnsi="宋体" w:cs="宋体"/>
                <w:color w:val="auto"/>
                <w:kern w:val="0"/>
                <w:sz w:val="24"/>
                <w:szCs w:val="24"/>
                <w:shd w:val="clear" w:color="auto" w:fill="FFFFFF"/>
                <w:lang w:val="en-US" w:eastAsia="zh-CN"/>
              </w:rPr>
              <w:t>.5</w:t>
            </w:r>
            <w:r>
              <w:rPr>
                <w:rFonts w:hint="eastAsia" w:ascii="宋体" w:hAnsi="宋体" w:cs="宋体"/>
                <w:color w:val="auto"/>
                <w:kern w:val="0"/>
                <w:sz w:val="24"/>
                <w:szCs w:val="24"/>
                <w:shd w:val="clear" w:color="auto" w:fill="FFFFFF"/>
              </w:rPr>
              <w:t>分</w:t>
            </w:r>
            <w:r>
              <w:rPr>
                <w:rFonts w:hint="eastAsia" w:ascii="宋体" w:hAnsi="宋体" w:cs="宋体"/>
                <w:color w:val="auto"/>
                <w:kern w:val="0"/>
                <w:sz w:val="24"/>
                <w:szCs w:val="24"/>
                <w:shd w:val="clear" w:color="auto" w:fill="FFFFFF"/>
                <w:lang w:eastAsia="zh-CN"/>
              </w:rPr>
              <w:t>；</w:t>
            </w:r>
            <w:r>
              <w:rPr>
                <w:rFonts w:hint="eastAsia" w:ascii="宋体" w:hAnsi="宋体" w:cs="宋体"/>
                <w:color w:val="auto"/>
                <w:kern w:val="0"/>
                <w:sz w:val="24"/>
                <w:szCs w:val="24"/>
                <w:shd w:val="clear" w:color="auto" w:fill="FFFFFF"/>
                <w:lang w:val="en-US" w:eastAsia="zh-CN"/>
              </w:rPr>
              <w:t>满足1项评审标准的，得1分，其他情况不得分，满分</w:t>
            </w:r>
            <w:r>
              <w:rPr>
                <w:rFonts w:hint="eastAsia" w:ascii="宋体" w:hAnsi="宋体" w:cs="宋体"/>
                <w:color w:val="auto"/>
                <w:kern w:val="0"/>
                <w:sz w:val="24"/>
                <w:szCs w:val="24"/>
                <w:shd w:val="clear" w:color="auto" w:fill="FFFFFF"/>
              </w:rPr>
              <w:t>3分。</w:t>
            </w:r>
          </w:p>
        </w:tc>
        <w:tc>
          <w:tcPr>
            <w:tcW w:w="1063" w:type="dxa"/>
            <w:noWrap w:val="0"/>
            <w:vAlign w:val="center"/>
          </w:tcPr>
          <w:p w14:paraId="470F6869">
            <w:pPr>
              <w:keepNext w:val="0"/>
              <w:keepLines w:val="0"/>
              <w:pageBreakBefore w:val="0"/>
              <w:widowControl/>
              <w:kinsoku/>
              <w:wordWrap/>
              <w:overflowPunct/>
              <w:topLinePunct w:val="0"/>
              <w:autoSpaceDE/>
              <w:autoSpaceDN/>
              <w:bidi w:val="0"/>
              <w:spacing w:line="360" w:lineRule="auto"/>
              <w:ind w:firstLine="0" w:firstLineChars="0"/>
              <w:jc w:val="center"/>
              <w:textAlignment w:val="auto"/>
              <w:rPr>
                <w:rFonts w:hint="eastAsia" w:ascii="宋体" w:hAnsi="宋体" w:cs="宋体"/>
                <w:color w:val="auto"/>
                <w:kern w:val="0"/>
                <w:sz w:val="24"/>
                <w:szCs w:val="24"/>
                <w:shd w:val="clear" w:color="auto" w:fill="FFFFFF"/>
              </w:rPr>
            </w:pPr>
            <w:r>
              <w:rPr>
                <w:rFonts w:hint="eastAsia" w:ascii="宋体" w:hAnsi="宋体" w:cs="宋体"/>
                <w:color w:val="auto"/>
                <w:kern w:val="0"/>
                <w:sz w:val="24"/>
                <w:szCs w:val="24"/>
              </w:rPr>
              <w:t>3</w:t>
            </w:r>
          </w:p>
        </w:tc>
      </w:tr>
      <w:tr w14:paraId="2BA74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8" w:hRule="atLeast"/>
          <w:jc w:val="center"/>
        </w:trPr>
        <w:tc>
          <w:tcPr>
            <w:tcW w:w="1512" w:type="dxa"/>
            <w:vMerge w:val="continue"/>
            <w:noWrap w:val="0"/>
            <w:vAlign w:val="center"/>
          </w:tcPr>
          <w:p w14:paraId="5395F8C7">
            <w:pPr>
              <w:keepNext w:val="0"/>
              <w:keepLines w:val="0"/>
              <w:pageBreakBefore w:val="0"/>
              <w:widowControl/>
              <w:kinsoku/>
              <w:wordWrap/>
              <w:overflowPunct/>
              <w:topLinePunct w:val="0"/>
              <w:autoSpaceDE/>
              <w:autoSpaceDN/>
              <w:bidi w:val="0"/>
              <w:spacing w:line="360" w:lineRule="auto"/>
              <w:ind w:firstLine="0" w:firstLineChars="0"/>
              <w:jc w:val="left"/>
              <w:textAlignment w:val="auto"/>
              <w:rPr>
                <w:rFonts w:hint="eastAsia" w:ascii="宋体" w:hAnsi="宋体" w:cs="宋体"/>
                <w:color w:val="auto"/>
                <w:kern w:val="0"/>
                <w:sz w:val="24"/>
                <w:szCs w:val="24"/>
              </w:rPr>
            </w:pPr>
          </w:p>
        </w:tc>
        <w:tc>
          <w:tcPr>
            <w:tcW w:w="1288" w:type="dxa"/>
            <w:noWrap w:val="0"/>
            <w:vAlign w:val="center"/>
          </w:tcPr>
          <w:p w14:paraId="20305FFA">
            <w:pPr>
              <w:keepNext w:val="0"/>
              <w:keepLines w:val="0"/>
              <w:pageBreakBefore w:val="0"/>
              <w:widowControl/>
              <w:kinsoku/>
              <w:wordWrap/>
              <w:overflowPunct/>
              <w:topLinePunct w:val="0"/>
              <w:autoSpaceDE/>
              <w:autoSpaceDN/>
              <w:bidi w:val="0"/>
              <w:spacing w:line="360" w:lineRule="auto"/>
              <w:ind w:firstLine="0" w:firstLineChars="0"/>
              <w:jc w:val="center"/>
              <w:textAlignment w:val="auto"/>
              <w:rPr>
                <w:rFonts w:hint="eastAsia" w:ascii="宋体" w:hAnsi="宋体" w:cs="宋体"/>
                <w:color w:val="auto"/>
                <w:sz w:val="24"/>
                <w:szCs w:val="24"/>
              </w:rPr>
            </w:pPr>
            <w:r>
              <w:rPr>
                <w:rFonts w:hint="eastAsia" w:ascii="宋体" w:hAnsi="宋体" w:cs="宋体"/>
                <w:color w:val="auto"/>
                <w:sz w:val="24"/>
                <w:szCs w:val="24"/>
              </w:rPr>
              <w:t>售后服务方案</w:t>
            </w:r>
          </w:p>
        </w:tc>
        <w:tc>
          <w:tcPr>
            <w:tcW w:w="5958" w:type="dxa"/>
            <w:noWrap w:val="0"/>
            <w:vAlign w:val="center"/>
          </w:tcPr>
          <w:p w14:paraId="1F5B2BCF">
            <w:pPr>
              <w:keepNext w:val="0"/>
              <w:keepLines w:val="0"/>
              <w:pageBreakBefore w:val="0"/>
              <w:widowControl/>
              <w:kinsoku/>
              <w:wordWrap/>
              <w:overflowPunct/>
              <w:topLinePunct w:val="0"/>
              <w:autoSpaceDE/>
              <w:autoSpaceDN/>
              <w:bidi w:val="0"/>
              <w:ind w:firstLine="0" w:firstLineChars="0"/>
              <w:jc w:val="left"/>
              <w:textAlignment w:val="auto"/>
              <w:rPr>
                <w:rFonts w:hint="eastAsia" w:ascii="宋体" w:hAnsi="宋体" w:cs="宋体"/>
                <w:color w:val="auto"/>
                <w:kern w:val="0"/>
                <w:sz w:val="24"/>
                <w:szCs w:val="24"/>
                <w:shd w:val="clear" w:color="auto" w:fill="FFFFFF"/>
              </w:rPr>
            </w:pPr>
            <w:r>
              <w:rPr>
                <w:rFonts w:hint="eastAsia" w:ascii="宋体" w:hAnsi="宋体" w:cs="宋体"/>
                <w:color w:val="auto"/>
                <w:kern w:val="0"/>
                <w:sz w:val="24"/>
                <w:szCs w:val="24"/>
                <w:shd w:val="clear" w:color="auto" w:fill="FFFFFF"/>
                <w:lang w:val="en-US" w:eastAsia="zh-CN"/>
              </w:rPr>
              <w:t>根据</w:t>
            </w:r>
            <w:r>
              <w:rPr>
                <w:rFonts w:hint="eastAsia" w:ascii="宋体" w:hAnsi="宋体" w:cs="宋体"/>
                <w:color w:val="auto"/>
                <w:kern w:val="0"/>
                <w:sz w:val="24"/>
                <w:szCs w:val="24"/>
                <w:shd w:val="clear" w:color="auto" w:fill="FFFFFF"/>
              </w:rPr>
              <w:t>投标人提供的售后服务方案进行评审，包括但不限于</w:t>
            </w:r>
            <w:r>
              <w:rPr>
                <w:rFonts w:hint="eastAsia" w:ascii="宋体" w:hAnsi="宋体" w:cs="宋体"/>
                <w:color w:val="auto"/>
                <w:kern w:val="0"/>
                <w:sz w:val="24"/>
                <w:szCs w:val="24"/>
                <w:shd w:val="clear" w:color="auto" w:fill="FFFFFF"/>
                <w:lang w:val="en-US" w:eastAsia="zh-CN"/>
              </w:rPr>
              <w:t>以下内容</w:t>
            </w:r>
            <w:r>
              <w:rPr>
                <w:rFonts w:hint="eastAsia" w:ascii="宋体" w:hAnsi="宋体" w:cs="宋体"/>
                <w:color w:val="auto"/>
                <w:kern w:val="0"/>
                <w:sz w:val="24"/>
                <w:szCs w:val="24"/>
                <w:shd w:val="clear" w:color="auto" w:fill="FFFFFF"/>
              </w:rPr>
              <w:t>：</w:t>
            </w:r>
          </w:p>
          <w:p w14:paraId="13038A94">
            <w:pPr>
              <w:keepNext w:val="0"/>
              <w:keepLines w:val="0"/>
              <w:pageBreakBefore w:val="0"/>
              <w:widowControl/>
              <w:kinsoku/>
              <w:wordWrap/>
              <w:overflowPunct/>
              <w:topLinePunct w:val="0"/>
              <w:autoSpaceDE/>
              <w:autoSpaceDN/>
              <w:bidi w:val="0"/>
              <w:ind w:firstLine="0" w:firstLineChars="0"/>
              <w:jc w:val="left"/>
              <w:textAlignment w:val="auto"/>
              <w:rPr>
                <w:rFonts w:hint="eastAsia" w:ascii="宋体" w:hAnsi="宋体" w:cs="宋体"/>
                <w:color w:val="auto"/>
                <w:kern w:val="0"/>
                <w:sz w:val="24"/>
                <w:szCs w:val="24"/>
                <w:shd w:val="clear" w:color="auto" w:fill="FFFFFF"/>
              </w:rPr>
            </w:pPr>
            <w:r>
              <w:rPr>
                <w:rFonts w:hint="eastAsia" w:ascii="宋体" w:hAnsi="宋体" w:cs="宋体"/>
                <w:color w:val="auto"/>
                <w:kern w:val="0"/>
                <w:sz w:val="24"/>
                <w:szCs w:val="24"/>
                <w:shd w:val="clear" w:color="auto" w:fill="FFFFFF"/>
              </w:rPr>
              <w:t>一、评审内容</w:t>
            </w:r>
          </w:p>
          <w:p w14:paraId="3348546C">
            <w:pPr>
              <w:keepNext w:val="0"/>
              <w:keepLines w:val="0"/>
              <w:pageBreakBefore w:val="0"/>
              <w:widowControl/>
              <w:kinsoku/>
              <w:wordWrap/>
              <w:overflowPunct/>
              <w:topLinePunct w:val="0"/>
              <w:autoSpaceDE/>
              <w:autoSpaceDN/>
              <w:bidi w:val="0"/>
              <w:ind w:firstLine="0" w:firstLineChars="0"/>
              <w:jc w:val="left"/>
              <w:textAlignment w:val="auto"/>
              <w:rPr>
                <w:rFonts w:hint="eastAsia" w:ascii="宋体" w:hAnsi="宋体" w:cs="宋体"/>
                <w:color w:val="auto"/>
                <w:kern w:val="0"/>
                <w:sz w:val="24"/>
                <w:szCs w:val="24"/>
                <w:shd w:val="clear" w:color="auto" w:fill="FFFFFF"/>
              </w:rPr>
            </w:pPr>
            <w:r>
              <w:rPr>
                <w:rFonts w:hint="eastAsia" w:ascii="宋体" w:hAnsi="宋体" w:cs="宋体"/>
                <w:color w:val="auto"/>
                <w:kern w:val="0"/>
                <w:sz w:val="24"/>
                <w:szCs w:val="24"/>
                <w:shd w:val="clear" w:color="auto" w:fill="FFFFFF"/>
              </w:rPr>
              <w:t>（1）服务响应时间；</w:t>
            </w:r>
          </w:p>
          <w:p w14:paraId="43C9FAAE">
            <w:pPr>
              <w:keepNext w:val="0"/>
              <w:keepLines w:val="0"/>
              <w:pageBreakBefore w:val="0"/>
              <w:widowControl/>
              <w:kinsoku/>
              <w:wordWrap/>
              <w:overflowPunct/>
              <w:topLinePunct w:val="0"/>
              <w:autoSpaceDE/>
              <w:autoSpaceDN/>
              <w:bidi w:val="0"/>
              <w:ind w:firstLine="0" w:firstLineChars="0"/>
              <w:jc w:val="left"/>
              <w:textAlignment w:val="auto"/>
              <w:rPr>
                <w:rFonts w:hint="eastAsia" w:ascii="宋体" w:hAnsi="宋体" w:cs="宋体"/>
                <w:color w:val="auto"/>
                <w:kern w:val="0"/>
                <w:sz w:val="24"/>
                <w:szCs w:val="24"/>
                <w:shd w:val="clear" w:color="auto" w:fill="FFFFFF"/>
              </w:rPr>
            </w:pPr>
            <w:r>
              <w:rPr>
                <w:rFonts w:hint="eastAsia" w:ascii="宋体" w:hAnsi="宋体" w:cs="宋体"/>
                <w:color w:val="auto"/>
                <w:kern w:val="0"/>
                <w:sz w:val="24"/>
                <w:szCs w:val="24"/>
                <w:shd w:val="clear" w:color="auto" w:fill="FFFFFF"/>
              </w:rPr>
              <w:t>（2）售后服务技术人员情况；</w:t>
            </w:r>
          </w:p>
          <w:p w14:paraId="422D5BE6">
            <w:pPr>
              <w:keepNext w:val="0"/>
              <w:keepLines w:val="0"/>
              <w:pageBreakBefore w:val="0"/>
              <w:widowControl/>
              <w:kinsoku/>
              <w:wordWrap/>
              <w:overflowPunct/>
              <w:topLinePunct w:val="0"/>
              <w:autoSpaceDE/>
              <w:autoSpaceDN/>
              <w:bidi w:val="0"/>
              <w:ind w:firstLine="0" w:firstLineChars="0"/>
              <w:jc w:val="left"/>
              <w:textAlignment w:val="auto"/>
              <w:rPr>
                <w:rFonts w:hint="eastAsia" w:ascii="宋体" w:hAnsi="宋体" w:cs="宋体"/>
                <w:color w:val="auto"/>
                <w:kern w:val="0"/>
                <w:sz w:val="24"/>
                <w:szCs w:val="24"/>
                <w:shd w:val="clear" w:color="auto" w:fill="FFFFFF"/>
              </w:rPr>
            </w:pPr>
            <w:r>
              <w:rPr>
                <w:rFonts w:hint="eastAsia" w:ascii="宋体" w:hAnsi="宋体" w:cs="宋体"/>
                <w:color w:val="auto"/>
                <w:kern w:val="0"/>
                <w:sz w:val="24"/>
                <w:szCs w:val="24"/>
                <w:shd w:val="clear" w:color="auto" w:fill="FFFFFF"/>
              </w:rPr>
              <w:t>（</w:t>
            </w:r>
            <w:r>
              <w:rPr>
                <w:rFonts w:hint="eastAsia" w:ascii="宋体" w:hAnsi="宋体" w:cs="宋体"/>
                <w:color w:val="auto"/>
                <w:kern w:val="0"/>
                <w:sz w:val="24"/>
                <w:szCs w:val="24"/>
                <w:shd w:val="clear" w:color="auto" w:fill="FFFFFF"/>
                <w:lang w:val="en-US" w:eastAsia="zh-CN"/>
              </w:rPr>
              <w:t>3</w:t>
            </w:r>
            <w:r>
              <w:rPr>
                <w:rFonts w:hint="eastAsia" w:ascii="宋体" w:hAnsi="宋体" w:cs="宋体"/>
                <w:color w:val="auto"/>
                <w:kern w:val="0"/>
                <w:sz w:val="24"/>
                <w:szCs w:val="24"/>
                <w:shd w:val="clear" w:color="auto" w:fill="FFFFFF"/>
              </w:rPr>
              <w:t>）备品备件方案。</w:t>
            </w:r>
          </w:p>
          <w:p w14:paraId="63975A56">
            <w:pPr>
              <w:keepNext w:val="0"/>
              <w:keepLines w:val="0"/>
              <w:pageBreakBefore w:val="0"/>
              <w:widowControl/>
              <w:kinsoku/>
              <w:wordWrap/>
              <w:overflowPunct/>
              <w:topLinePunct w:val="0"/>
              <w:autoSpaceDE/>
              <w:autoSpaceDN/>
              <w:bidi w:val="0"/>
              <w:ind w:firstLine="0" w:firstLineChars="0"/>
              <w:jc w:val="left"/>
              <w:textAlignment w:val="auto"/>
              <w:rPr>
                <w:rFonts w:hint="eastAsia" w:ascii="宋体" w:hAnsi="宋体" w:cs="宋体"/>
                <w:color w:val="auto"/>
                <w:kern w:val="0"/>
                <w:sz w:val="24"/>
                <w:szCs w:val="24"/>
                <w:shd w:val="clear" w:color="auto" w:fill="FFFFFF"/>
              </w:rPr>
            </w:pPr>
            <w:r>
              <w:rPr>
                <w:rFonts w:hint="eastAsia" w:ascii="宋体" w:hAnsi="宋体" w:cs="宋体"/>
                <w:color w:val="auto"/>
                <w:kern w:val="0"/>
                <w:sz w:val="24"/>
                <w:szCs w:val="24"/>
                <w:shd w:val="clear" w:color="auto" w:fill="FFFFFF"/>
              </w:rPr>
              <w:t>二、评审标准</w:t>
            </w:r>
          </w:p>
          <w:p w14:paraId="451EC338">
            <w:pPr>
              <w:keepNext w:val="0"/>
              <w:keepLines w:val="0"/>
              <w:pageBreakBefore w:val="0"/>
              <w:widowControl/>
              <w:kinsoku/>
              <w:wordWrap/>
              <w:overflowPunct/>
              <w:topLinePunct w:val="0"/>
              <w:autoSpaceDE/>
              <w:autoSpaceDN/>
              <w:bidi w:val="0"/>
              <w:ind w:firstLine="0" w:firstLineChars="0"/>
              <w:jc w:val="left"/>
              <w:textAlignment w:val="auto"/>
              <w:rPr>
                <w:rFonts w:hint="eastAsia" w:ascii="宋体" w:hAnsi="宋体" w:cs="宋体"/>
                <w:color w:val="auto"/>
                <w:kern w:val="0"/>
                <w:sz w:val="24"/>
                <w:szCs w:val="24"/>
                <w:shd w:val="clear" w:color="auto" w:fill="FFFFFF"/>
              </w:rPr>
            </w:pPr>
            <w:r>
              <w:rPr>
                <w:rFonts w:hint="eastAsia" w:ascii="宋体" w:hAnsi="宋体" w:cs="宋体"/>
                <w:color w:val="auto"/>
                <w:kern w:val="0"/>
                <w:sz w:val="24"/>
                <w:szCs w:val="24"/>
                <w:shd w:val="clear" w:color="auto" w:fill="FFFFFF"/>
              </w:rPr>
              <w:t>（1）合理性：方案必须完整，设想合理、恰当；</w:t>
            </w:r>
          </w:p>
          <w:p w14:paraId="179978AE">
            <w:pPr>
              <w:keepNext w:val="0"/>
              <w:keepLines w:val="0"/>
              <w:pageBreakBefore w:val="0"/>
              <w:widowControl/>
              <w:kinsoku/>
              <w:wordWrap/>
              <w:overflowPunct/>
              <w:topLinePunct w:val="0"/>
              <w:autoSpaceDE/>
              <w:autoSpaceDN/>
              <w:bidi w:val="0"/>
              <w:ind w:firstLine="0" w:firstLineChars="0"/>
              <w:jc w:val="left"/>
              <w:textAlignment w:val="auto"/>
              <w:rPr>
                <w:rFonts w:hint="eastAsia" w:ascii="宋体" w:hAnsi="宋体" w:cs="宋体"/>
                <w:color w:val="auto"/>
                <w:kern w:val="0"/>
                <w:sz w:val="24"/>
                <w:szCs w:val="24"/>
                <w:shd w:val="clear" w:color="auto" w:fill="FFFFFF"/>
              </w:rPr>
            </w:pPr>
            <w:r>
              <w:rPr>
                <w:rFonts w:hint="eastAsia" w:ascii="宋体" w:hAnsi="宋体" w:cs="宋体"/>
                <w:color w:val="auto"/>
                <w:kern w:val="0"/>
                <w:sz w:val="24"/>
                <w:szCs w:val="24"/>
                <w:shd w:val="clear" w:color="auto" w:fill="FFFFFF"/>
              </w:rPr>
              <w:t>（2）可行性：方案必须切合本项目实际情况，根据采购文件要求提出便于实施的方案。</w:t>
            </w:r>
          </w:p>
          <w:p w14:paraId="25861FE9">
            <w:pPr>
              <w:keepNext w:val="0"/>
              <w:keepLines w:val="0"/>
              <w:pageBreakBefore w:val="0"/>
              <w:widowControl/>
              <w:kinsoku/>
              <w:wordWrap/>
              <w:overflowPunct/>
              <w:topLinePunct w:val="0"/>
              <w:autoSpaceDE/>
              <w:autoSpaceDN/>
              <w:bidi w:val="0"/>
              <w:ind w:firstLine="0" w:firstLineChars="0"/>
              <w:jc w:val="left"/>
              <w:textAlignment w:val="auto"/>
              <w:rPr>
                <w:rFonts w:hint="eastAsia" w:ascii="宋体" w:hAnsi="宋体" w:cs="宋体"/>
                <w:color w:val="auto"/>
                <w:kern w:val="0"/>
                <w:sz w:val="24"/>
                <w:szCs w:val="24"/>
                <w:shd w:val="clear" w:color="auto" w:fill="FFFFFF"/>
              </w:rPr>
            </w:pPr>
            <w:r>
              <w:rPr>
                <w:rFonts w:hint="eastAsia" w:ascii="宋体" w:hAnsi="宋体" w:cs="宋体"/>
                <w:color w:val="auto"/>
                <w:kern w:val="0"/>
                <w:sz w:val="24"/>
                <w:szCs w:val="24"/>
                <w:shd w:val="clear" w:color="auto" w:fill="FFFFFF"/>
              </w:rPr>
              <w:t>对上述</w:t>
            </w:r>
            <w:r>
              <w:rPr>
                <w:rFonts w:hint="eastAsia" w:ascii="宋体" w:hAnsi="宋体" w:cs="宋体"/>
                <w:color w:val="auto"/>
                <w:kern w:val="0"/>
                <w:sz w:val="24"/>
                <w:szCs w:val="24"/>
                <w:shd w:val="clear" w:color="auto" w:fill="FFFFFF"/>
                <w:lang w:val="en-US" w:eastAsia="zh-CN"/>
              </w:rPr>
              <w:t>3项</w:t>
            </w:r>
            <w:r>
              <w:rPr>
                <w:rFonts w:hint="eastAsia" w:ascii="宋体" w:hAnsi="宋体" w:cs="宋体"/>
                <w:color w:val="auto"/>
                <w:kern w:val="0"/>
                <w:sz w:val="24"/>
                <w:szCs w:val="24"/>
                <w:shd w:val="clear" w:color="auto" w:fill="FFFFFF"/>
              </w:rPr>
              <w:t>评审内容进行打分，</w:t>
            </w:r>
            <w:r>
              <w:rPr>
                <w:rFonts w:hint="eastAsia" w:ascii="宋体" w:hAnsi="宋体" w:cs="宋体"/>
                <w:color w:val="auto"/>
                <w:kern w:val="0"/>
                <w:sz w:val="24"/>
                <w:szCs w:val="24"/>
                <w:shd w:val="clear" w:color="auto" w:fill="FFFFFF"/>
                <w:lang w:val="en-US" w:eastAsia="zh-CN"/>
              </w:rPr>
              <w:t>每项</w:t>
            </w:r>
            <w:r>
              <w:rPr>
                <w:rFonts w:hint="eastAsia" w:ascii="宋体" w:hAnsi="宋体" w:cs="宋体"/>
                <w:color w:val="auto"/>
                <w:kern w:val="0"/>
                <w:sz w:val="24"/>
                <w:szCs w:val="24"/>
                <w:shd w:val="clear" w:color="auto" w:fill="FFFFFF"/>
              </w:rPr>
              <w:t>评审内容</w:t>
            </w:r>
            <w:r>
              <w:rPr>
                <w:rFonts w:hint="eastAsia" w:ascii="宋体" w:hAnsi="宋体" w:cs="宋体"/>
                <w:color w:val="auto"/>
                <w:kern w:val="0"/>
                <w:sz w:val="24"/>
                <w:szCs w:val="24"/>
                <w:shd w:val="clear" w:color="auto" w:fill="FFFFFF"/>
                <w:lang w:val="en-US" w:eastAsia="zh-CN"/>
              </w:rPr>
              <w:t>完全满足2项</w:t>
            </w:r>
            <w:r>
              <w:rPr>
                <w:rFonts w:hint="eastAsia" w:ascii="宋体" w:hAnsi="宋体" w:cs="宋体"/>
                <w:color w:val="auto"/>
                <w:kern w:val="0"/>
                <w:sz w:val="24"/>
                <w:szCs w:val="24"/>
                <w:shd w:val="clear" w:color="auto" w:fill="FFFFFF"/>
              </w:rPr>
              <w:t>评审标准的得1分</w:t>
            </w:r>
            <w:r>
              <w:rPr>
                <w:rFonts w:hint="eastAsia" w:ascii="宋体" w:hAnsi="宋体" w:cs="宋体"/>
                <w:color w:val="auto"/>
                <w:kern w:val="0"/>
                <w:sz w:val="24"/>
                <w:szCs w:val="24"/>
                <w:shd w:val="clear" w:color="auto" w:fill="FFFFFF"/>
                <w:lang w:eastAsia="zh-CN"/>
              </w:rPr>
              <w:t>；</w:t>
            </w:r>
            <w:r>
              <w:rPr>
                <w:rFonts w:hint="eastAsia" w:ascii="宋体" w:hAnsi="宋体" w:cs="宋体"/>
                <w:color w:val="auto"/>
                <w:kern w:val="0"/>
                <w:sz w:val="24"/>
                <w:szCs w:val="24"/>
                <w:shd w:val="clear" w:color="auto" w:fill="FFFFFF"/>
                <w:lang w:val="en-US" w:eastAsia="zh-CN"/>
              </w:rPr>
              <w:t>满足1项评审标准的，得0.5分，其他情况不得分，满分</w:t>
            </w:r>
            <w:r>
              <w:rPr>
                <w:rFonts w:hint="eastAsia" w:ascii="宋体" w:hAnsi="宋体" w:cs="宋体"/>
                <w:color w:val="auto"/>
                <w:kern w:val="0"/>
                <w:sz w:val="24"/>
                <w:szCs w:val="24"/>
                <w:shd w:val="clear" w:color="auto" w:fill="FFFFFF"/>
              </w:rPr>
              <w:t>3分。</w:t>
            </w:r>
            <w:bookmarkStart w:id="74" w:name="_GoBack"/>
            <w:bookmarkEnd w:id="74"/>
          </w:p>
        </w:tc>
        <w:tc>
          <w:tcPr>
            <w:tcW w:w="1063" w:type="dxa"/>
            <w:noWrap w:val="0"/>
            <w:vAlign w:val="center"/>
          </w:tcPr>
          <w:p w14:paraId="34B1A6DB">
            <w:pPr>
              <w:keepNext w:val="0"/>
              <w:keepLines w:val="0"/>
              <w:pageBreakBefore w:val="0"/>
              <w:widowControl/>
              <w:kinsoku/>
              <w:wordWrap/>
              <w:overflowPunct/>
              <w:topLinePunct w:val="0"/>
              <w:autoSpaceDE/>
              <w:autoSpaceDN/>
              <w:bidi w:val="0"/>
              <w:spacing w:line="360" w:lineRule="auto"/>
              <w:ind w:firstLine="0" w:firstLineChars="0"/>
              <w:jc w:val="center"/>
              <w:textAlignment w:val="auto"/>
              <w:rPr>
                <w:rFonts w:hint="eastAsia" w:ascii="宋体" w:hAnsi="宋体" w:cs="宋体"/>
                <w:color w:val="auto"/>
                <w:kern w:val="0"/>
                <w:sz w:val="24"/>
                <w:szCs w:val="24"/>
              </w:rPr>
            </w:pPr>
            <w:r>
              <w:rPr>
                <w:rFonts w:hint="eastAsia" w:ascii="宋体" w:hAnsi="宋体" w:cs="宋体"/>
                <w:color w:val="auto"/>
                <w:kern w:val="0"/>
                <w:sz w:val="24"/>
                <w:szCs w:val="24"/>
              </w:rPr>
              <w:t>3</w:t>
            </w:r>
          </w:p>
        </w:tc>
      </w:tr>
      <w:tr w14:paraId="60A86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8758" w:type="dxa"/>
            <w:gridSpan w:val="3"/>
            <w:noWrap w:val="0"/>
            <w:vAlign w:val="center"/>
          </w:tcPr>
          <w:p w14:paraId="6C2AEF98">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left"/>
              <w:textAlignment w:val="auto"/>
              <w:rPr>
                <w:rFonts w:hint="eastAsia" w:ascii="宋体" w:hAnsi="宋体" w:cs="宋体"/>
                <w:color w:val="auto"/>
                <w:kern w:val="0"/>
                <w:sz w:val="24"/>
                <w:szCs w:val="24"/>
              </w:rPr>
            </w:pPr>
            <w:r>
              <w:rPr>
                <w:rFonts w:hint="eastAsia" w:ascii="宋体" w:hAnsi="宋体" w:cs="宋体"/>
                <w:color w:val="auto"/>
                <w:kern w:val="0"/>
                <w:sz w:val="24"/>
                <w:szCs w:val="24"/>
                <w:shd w:val="clear" w:color="auto" w:fill="FFFFFF"/>
              </w:rPr>
              <w:t>合计</w:t>
            </w:r>
          </w:p>
        </w:tc>
        <w:tc>
          <w:tcPr>
            <w:tcW w:w="1063" w:type="dxa"/>
            <w:noWrap w:val="0"/>
            <w:vAlign w:val="center"/>
          </w:tcPr>
          <w:p w14:paraId="323F6B0C">
            <w:pPr>
              <w:keepNext w:val="0"/>
              <w:keepLines w:val="0"/>
              <w:pageBreakBefore w:val="0"/>
              <w:widowControl/>
              <w:kinsoku/>
              <w:wordWrap/>
              <w:overflowPunct/>
              <w:topLinePunct w:val="0"/>
              <w:autoSpaceDE/>
              <w:autoSpaceDN/>
              <w:bidi w:val="0"/>
              <w:spacing w:line="360" w:lineRule="auto"/>
              <w:ind w:firstLine="0" w:firstLineChars="0"/>
              <w:jc w:val="center"/>
              <w:textAlignment w:val="auto"/>
              <w:rPr>
                <w:rFonts w:ascii="宋体" w:hAnsi="宋体" w:cs="宋体"/>
                <w:color w:val="auto"/>
                <w:kern w:val="0"/>
                <w:sz w:val="24"/>
                <w:szCs w:val="24"/>
              </w:rPr>
            </w:pPr>
            <w:r>
              <w:rPr>
                <w:rFonts w:hint="eastAsia" w:ascii="宋体" w:hAnsi="宋体" w:cs="宋体"/>
                <w:color w:val="auto"/>
                <w:kern w:val="0"/>
                <w:sz w:val="24"/>
                <w:szCs w:val="24"/>
              </w:rPr>
              <w:t>100</w:t>
            </w:r>
          </w:p>
        </w:tc>
      </w:tr>
    </w:tbl>
    <w:p w14:paraId="2556E6D6">
      <w:pPr>
        <w:rPr>
          <w:rFonts w:hint="eastAsia"/>
          <w:color w:val="auto"/>
          <w:lang w:val="en-US" w:eastAsia="zh-CN"/>
        </w:rPr>
      </w:pPr>
    </w:p>
    <w:p w14:paraId="1062EE16">
      <w:pPr>
        <w:rPr>
          <w:rFonts w:hint="eastAsia"/>
          <w:color w:val="auto"/>
          <w:lang w:val="en-US" w:eastAsia="zh-CN"/>
        </w:rPr>
      </w:pPr>
    </w:p>
    <w:p w14:paraId="27F105F0">
      <w:pPr>
        <w:pStyle w:val="2"/>
        <w:keepNext/>
        <w:keepLines/>
        <w:pageBreakBefore/>
        <w:widowControl/>
        <w:kinsoku/>
        <w:wordWrap/>
        <w:overflowPunct/>
        <w:topLinePunct w:val="0"/>
        <w:autoSpaceDE/>
        <w:autoSpaceDN/>
        <w:bidi w:val="0"/>
        <w:adjustRightInd/>
        <w:snapToGrid/>
        <w:spacing w:line="579" w:lineRule="auto"/>
        <w:ind w:firstLine="0" w:firstLineChars="0"/>
        <w:jc w:val="center"/>
        <w:textAlignment w:val="auto"/>
        <w:rPr>
          <w:rFonts w:hint="default"/>
          <w:color w:val="auto"/>
          <w:lang w:val="en-US" w:eastAsia="zh-CN"/>
        </w:rPr>
      </w:pPr>
      <w:bookmarkStart w:id="17" w:name="_Toc4178"/>
      <w:r>
        <w:rPr>
          <w:rFonts w:hint="eastAsia"/>
          <w:color w:val="auto"/>
          <w:lang w:val="en-US" w:eastAsia="zh-CN"/>
        </w:rPr>
        <w:t>第四部分 政府采购合同模版</w:t>
      </w:r>
      <w:bookmarkEnd w:id="17"/>
    </w:p>
    <w:p w14:paraId="709D07A1">
      <w:pPr>
        <w:jc w:val="center"/>
        <w:rPr>
          <w:rFonts w:hint="eastAsia" w:ascii="黑体" w:hAnsi="黑体" w:eastAsia="黑体"/>
          <w:b/>
          <w:snapToGrid w:val="0"/>
          <w:color w:val="auto"/>
          <w:sz w:val="60"/>
          <w:szCs w:val="20"/>
          <w:lang w:eastAsia="zh-CN"/>
        </w:rPr>
      </w:pPr>
      <w:r>
        <w:rPr>
          <w:rFonts w:hint="eastAsia" w:ascii="黑体" w:hAnsi="黑体" w:eastAsia="黑体"/>
          <w:b/>
          <w:snapToGrid w:val="0"/>
          <w:color w:val="auto"/>
          <w:sz w:val="60"/>
          <w:szCs w:val="20"/>
          <w:lang w:eastAsia="zh-CN"/>
        </w:rPr>
        <w:t>武汉市东西湖区吴家山第一小学</w:t>
      </w:r>
    </w:p>
    <w:p w14:paraId="36D51B91">
      <w:pPr>
        <w:jc w:val="center"/>
        <w:rPr>
          <w:rFonts w:hint="eastAsia" w:ascii="黑体" w:hAnsi="黑体" w:eastAsia="黑体"/>
          <w:b/>
          <w:snapToGrid w:val="0"/>
          <w:color w:val="auto"/>
          <w:sz w:val="60"/>
          <w:szCs w:val="20"/>
        </w:rPr>
      </w:pPr>
      <w:r>
        <w:rPr>
          <w:rFonts w:hint="eastAsia" w:ascii="黑体" w:hAnsi="黑体" w:eastAsia="黑体"/>
          <w:b/>
          <w:snapToGrid w:val="0"/>
          <w:color w:val="auto"/>
          <w:sz w:val="60"/>
          <w:szCs w:val="20"/>
        </w:rPr>
        <w:t>货物类采购项目</w:t>
      </w:r>
    </w:p>
    <w:p w14:paraId="42507808">
      <w:pPr>
        <w:rPr>
          <w:rFonts w:hint="eastAsia" w:ascii="宋体" w:hAnsi="宋体"/>
          <w:b/>
          <w:snapToGrid w:val="0"/>
          <w:color w:val="auto"/>
          <w:sz w:val="30"/>
          <w:szCs w:val="30"/>
        </w:rPr>
      </w:pPr>
    </w:p>
    <w:p w14:paraId="4626D3BA">
      <w:pPr>
        <w:rPr>
          <w:rFonts w:hint="eastAsia" w:ascii="宋体" w:hAnsi="宋体"/>
          <w:b/>
          <w:snapToGrid w:val="0"/>
          <w:color w:val="auto"/>
          <w:sz w:val="30"/>
          <w:szCs w:val="30"/>
        </w:rPr>
      </w:pPr>
    </w:p>
    <w:p w14:paraId="728AC707">
      <w:pPr>
        <w:jc w:val="center"/>
        <w:rPr>
          <w:rFonts w:hint="eastAsia" w:ascii="宋体" w:hAnsi="宋体"/>
          <w:b/>
          <w:snapToGrid w:val="0"/>
          <w:color w:val="auto"/>
          <w:sz w:val="69"/>
          <w:szCs w:val="21"/>
        </w:rPr>
      </w:pPr>
      <w:r>
        <w:rPr>
          <w:rFonts w:hint="eastAsia" w:ascii="宋体" w:hAnsi="宋体"/>
          <w:b/>
          <w:snapToGrid w:val="0"/>
          <w:color w:val="auto"/>
          <w:sz w:val="69"/>
          <w:szCs w:val="21"/>
        </w:rPr>
        <w:t>合</w:t>
      </w:r>
    </w:p>
    <w:p w14:paraId="60BD567B">
      <w:pPr>
        <w:jc w:val="center"/>
        <w:rPr>
          <w:rFonts w:hint="eastAsia" w:ascii="宋体" w:hAnsi="宋体"/>
          <w:b/>
          <w:snapToGrid w:val="0"/>
          <w:color w:val="auto"/>
          <w:sz w:val="69"/>
          <w:szCs w:val="21"/>
        </w:rPr>
      </w:pPr>
      <w:r>
        <w:rPr>
          <w:rFonts w:hint="eastAsia" w:ascii="宋体" w:hAnsi="宋体"/>
          <w:b/>
          <w:snapToGrid w:val="0"/>
          <w:color w:val="auto"/>
          <w:sz w:val="69"/>
          <w:szCs w:val="21"/>
        </w:rPr>
        <w:t>同</w:t>
      </w:r>
    </w:p>
    <w:p w14:paraId="6CC74828">
      <w:pPr>
        <w:jc w:val="center"/>
        <w:rPr>
          <w:rFonts w:hint="eastAsia" w:ascii="宋体" w:hAnsi="宋体"/>
          <w:b/>
          <w:snapToGrid w:val="0"/>
          <w:color w:val="auto"/>
          <w:sz w:val="69"/>
          <w:szCs w:val="21"/>
        </w:rPr>
      </w:pPr>
      <w:r>
        <w:rPr>
          <w:rFonts w:hint="eastAsia" w:ascii="宋体" w:hAnsi="宋体"/>
          <w:b/>
          <w:snapToGrid w:val="0"/>
          <w:color w:val="auto"/>
          <w:sz w:val="69"/>
          <w:szCs w:val="21"/>
        </w:rPr>
        <w:t>书</w:t>
      </w:r>
    </w:p>
    <w:p w14:paraId="683B7D1B">
      <w:pPr>
        <w:jc w:val="center"/>
        <w:rPr>
          <w:rFonts w:hint="eastAsia" w:ascii="宋体" w:hAnsi="宋体"/>
          <w:snapToGrid w:val="0"/>
          <w:color w:val="auto"/>
          <w:sz w:val="69"/>
          <w:szCs w:val="21"/>
        </w:rPr>
      </w:pPr>
    </w:p>
    <w:p w14:paraId="0E65685E">
      <w:pPr>
        <w:tabs>
          <w:tab w:val="left" w:pos="1035"/>
        </w:tabs>
        <w:ind w:firstLine="1958" w:firstLineChars="576"/>
        <w:jc w:val="left"/>
        <w:rPr>
          <w:rFonts w:hint="eastAsia" w:ascii="宋体" w:hAnsi="宋体" w:eastAsia="宋体"/>
          <w:color w:val="auto"/>
          <w:sz w:val="34"/>
          <w:u w:val="single"/>
          <w:lang w:eastAsia="zh-CN"/>
        </w:rPr>
      </w:pPr>
      <w:r>
        <w:rPr>
          <w:rFonts w:hint="eastAsia" w:ascii="宋体" w:hAnsi="宋体"/>
          <w:color w:val="auto"/>
          <w:sz w:val="34"/>
        </w:rPr>
        <w:t>甲方：</w:t>
      </w:r>
      <w:r>
        <w:rPr>
          <w:rFonts w:hint="eastAsia" w:ascii="宋体" w:hAnsi="宋体"/>
          <w:color w:val="auto"/>
          <w:sz w:val="34"/>
          <w:u w:val="single"/>
          <w:lang w:eastAsia="zh-CN"/>
        </w:rPr>
        <w:t>武汉市东西湖区吴家山第一小学</w:t>
      </w:r>
    </w:p>
    <w:p w14:paraId="70593864">
      <w:pPr>
        <w:tabs>
          <w:tab w:val="left" w:pos="1035"/>
        </w:tabs>
        <w:ind w:firstLine="1958" w:firstLineChars="576"/>
        <w:jc w:val="left"/>
        <w:rPr>
          <w:rFonts w:ascii="宋体" w:hAnsi="宋体"/>
          <w:color w:val="auto"/>
          <w:sz w:val="34"/>
          <w:u w:val="single"/>
        </w:rPr>
      </w:pPr>
      <w:r>
        <w:rPr>
          <w:rFonts w:hint="eastAsia" w:ascii="宋体" w:hAnsi="宋体"/>
          <w:color w:val="auto"/>
          <w:sz w:val="34"/>
        </w:rPr>
        <w:t>乙方：</w:t>
      </w:r>
      <w:r>
        <w:rPr>
          <w:rFonts w:hint="eastAsia" w:ascii="宋体" w:hAnsi="宋体"/>
          <w:color w:val="auto"/>
          <w:sz w:val="34"/>
          <w:u w:val="single"/>
        </w:rPr>
        <w:t xml:space="preserve">                        </w:t>
      </w:r>
    </w:p>
    <w:p w14:paraId="1603D824">
      <w:pPr>
        <w:tabs>
          <w:tab w:val="left" w:pos="1035"/>
        </w:tabs>
        <w:jc w:val="center"/>
        <w:rPr>
          <w:rFonts w:hint="eastAsia" w:ascii="宋体" w:hAnsi="宋体"/>
          <w:color w:val="auto"/>
          <w:sz w:val="48"/>
        </w:rPr>
      </w:pPr>
    </w:p>
    <w:p w14:paraId="709EA057">
      <w:pPr>
        <w:tabs>
          <w:tab w:val="left" w:pos="1035"/>
        </w:tabs>
        <w:jc w:val="center"/>
        <w:rPr>
          <w:rFonts w:hint="eastAsia" w:ascii="宋体" w:hAnsi="宋体"/>
          <w:color w:val="auto"/>
          <w:sz w:val="36"/>
          <w:szCs w:val="36"/>
        </w:rPr>
      </w:pPr>
      <w:r>
        <w:rPr>
          <w:rFonts w:hint="eastAsia" w:ascii="宋体" w:hAnsi="宋体"/>
          <w:color w:val="auto"/>
          <w:sz w:val="36"/>
          <w:szCs w:val="36"/>
        </w:rPr>
        <w:t>2026 年   月</w:t>
      </w:r>
    </w:p>
    <w:p w14:paraId="7BAC0E15">
      <w:pPr>
        <w:spacing w:line="480" w:lineRule="auto"/>
        <w:rPr>
          <w:rFonts w:hint="eastAsia" w:ascii="黑体" w:hAnsi="黑体" w:eastAsia="黑体" w:cs="Arial"/>
          <w:b/>
          <w:bCs/>
          <w:color w:val="auto"/>
          <w:sz w:val="32"/>
          <w:szCs w:val="44"/>
          <w:u w:val="single"/>
        </w:rPr>
      </w:pPr>
    </w:p>
    <w:p w14:paraId="5ED99A78">
      <w:pPr>
        <w:spacing w:line="480" w:lineRule="auto"/>
        <w:jc w:val="center"/>
        <w:rPr>
          <w:rFonts w:hint="eastAsia" w:ascii="黑体" w:hAnsi="黑体" w:eastAsia="黑体" w:cs="Arial"/>
          <w:b/>
          <w:bCs/>
          <w:color w:val="auto"/>
          <w:sz w:val="32"/>
          <w:szCs w:val="44"/>
          <w:u w:val="single"/>
        </w:rPr>
        <w:sectPr>
          <w:footerReference r:id="rId8" w:type="default"/>
          <w:pgSz w:w="12070" w:h="16940"/>
          <w:pgMar w:top="1440" w:right="1080" w:bottom="1440" w:left="1080" w:header="0" w:footer="1468" w:gutter="0"/>
          <w:pgNumType w:start="1"/>
          <w:cols w:space="720" w:num="1"/>
          <w:docGrid w:linePitch="312" w:charSpace="0"/>
        </w:sectPr>
      </w:pPr>
    </w:p>
    <w:p w14:paraId="21B683B2">
      <w:pPr>
        <w:spacing w:line="480" w:lineRule="auto"/>
        <w:jc w:val="center"/>
        <w:rPr>
          <w:rFonts w:ascii="黑体" w:hAnsi="黑体" w:eastAsia="黑体" w:cs="Arial"/>
          <w:b/>
          <w:bCs/>
          <w:color w:val="auto"/>
          <w:sz w:val="44"/>
          <w:szCs w:val="44"/>
        </w:rPr>
      </w:pPr>
      <w:r>
        <w:rPr>
          <w:rFonts w:hint="eastAsia" w:ascii="黑体" w:hAnsi="黑体" w:eastAsia="黑体" w:cs="Arial"/>
          <w:b/>
          <w:bCs/>
          <w:color w:val="auto"/>
          <w:sz w:val="32"/>
          <w:szCs w:val="44"/>
          <w:u w:val="single"/>
          <w:lang w:eastAsia="zh-CN"/>
        </w:rPr>
        <w:t>武汉市东西湖区吴家山第一小学教学设备</w:t>
      </w:r>
      <w:r>
        <w:rPr>
          <w:rFonts w:hint="eastAsia" w:ascii="黑体" w:hAnsi="黑体" w:eastAsia="黑体" w:cs="Arial"/>
          <w:b/>
          <w:bCs/>
          <w:color w:val="auto"/>
          <w:sz w:val="32"/>
          <w:szCs w:val="44"/>
          <w:u w:val="single"/>
        </w:rPr>
        <w:t>采购</w:t>
      </w:r>
      <w:r>
        <w:rPr>
          <w:rFonts w:hint="eastAsia" w:ascii="黑体" w:hAnsi="黑体" w:eastAsia="黑体" w:cs="Arial"/>
          <w:b/>
          <w:bCs/>
          <w:color w:val="auto"/>
          <w:sz w:val="32"/>
          <w:szCs w:val="44"/>
        </w:rPr>
        <w:t>项目</w:t>
      </w:r>
    </w:p>
    <w:p w14:paraId="6894C69C">
      <w:pPr>
        <w:spacing w:line="480" w:lineRule="auto"/>
        <w:jc w:val="center"/>
        <w:rPr>
          <w:rFonts w:hint="eastAsia" w:ascii="黑体" w:hAnsi="黑体" w:eastAsia="黑体" w:cs="Arial"/>
          <w:b/>
          <w:bCs/>
          <w:color w:val="auto"/>
          <w:sz w:val="44"/>
          <w:szCs w:val="44"/>
        </w:rPr>
      </w:pPr>
      <w:r>
        <w:rPr>
          <w:rFonts w:hint="eastAsia" w:ascii="黑体" w:hAnsi="黑体" w:eastAsia="黑体" w:cs="Arial"/>
          <w:b/>
          <w:bCs/>
          <w:color w:val="auto"/>
          <w:sz w:val="44"/>
          <w:szCs w:val="44"/>
        </w:rPr>
        <w:t>采购合同</w:t>
      </w:r>
    </w:p>
    <w:p w14:paraId="56EE1E23">
      <w:pPr>
        <w:spacing w:line="480" w:lineRule="auto"/>
        <w:ind w:right="1037"/>
        <w:jc w:val="center"/>
        <w:rPr>
          <w:rFonts w:hint="eastAsia" w:eastAsia="仿宋"/>
          <w:color w:val="auto"/>
          <w:szCs w:val="28"/>
        </w:rPr>
      </w:pPr>
      <w:r>
        <w:rPr>
          <w:rFonts w:hint="eastAsia" w:eastAsia="仿宋"/>
          <w:color w:val="auto"/>
          <w:szCs w:val="28"/>
        </w:rPr>
        <w:t>合同编号：</w:t>
      </w:r>
      <w:r>
        <w:rPr>
          <w:rFonts w:hint="eastAsia" w:eastAsia="仿宋"/>
          <w:color w:val="auto"/>
          <w:szCs w:val="28"/>
          <w:lang w:val="en-US" w:eastAsia="zh-CN"/>
        </w:rPr>
        <w:t>WJSYX</w:t>
      </w:r>
      <w:r>
        <w:rPr>
          <w:rFonts w:hint="eastAsia" w:eastAsia="仿宋"/>
          <w:color w:val="auto"/>
          <w:szCs w:val="28"/>
        </w:rPr>
        <w:t xml:space="preserve"> - 2026 - 001  </w:t>
      </w:r>
    </w:p>
    <w:p w14:paraId="067F5591">
      <w:pPr>
        <w:spacing w:line="360" w:lineRule="auto"/>
        <w:ind w:firstLine="480" w:firstLineChars="200"/>
        <w:jc w:val="left"/>
        <w:rPr>
          <w:rFonts w:ascii="宋体" w:hAnsi="宋体"/>
          <w:color w:val="auto"/>
          <w:sz w:val="24"/>
        </w:rPr>
      </w:pPr>
      <w:r>
        <w:rPr>
          <w:rFonts w:hint="eastAsia" w:ascii="宋体" w:hAnsi="宋体"/>
          <w:color w:val="auto"/>
          <w:sz w:val="24"/>
        </w:rPr>
        <w:t>根据《中华人民共和国政府采购法》、《中华人民共和国民法典》之规定，经甲乙双方充分协商，本着公平、公正、公开的原则，特签订合同如下：</w:t>
      </w:r>
    </w:p>
    <w:p w14:paraId="775D884E">
      <w:pPr>
        <w:keepNext w:val="0"/>
        <w:keepLines w:val="0"/>
        <w:pageBreakBefore w:val="0"/>
        <w:widowControl/>
        <w:kinsoku/>
        <w:wordWrap/>
        <w:overflowPunct/>
        <w:topLinePunct w:val="0"/>
        <w:autoSpaceDE/>
        <w:autoSpaceDN/>
        <w:bidi w:val="0"/>
        <w:adjustRightInd/>
        <w:snapToGrid/>
        <w:spacing w:line="360" w:lineRule="auto"/>
        <w:ind w:left="315" w:leftChars="150" w:firstLine="0" w:firstLineChars="0"/>
        <w:textAlignment w:val="auto"/>
        <w:rPr>
          <w:rFonts w:eastAsia="仿宋"/>
          <w:b/>
          <w:bCs/>
          <w:color w:val="auto"/>
          <w:sz w:val="24"/>
        </w:rPr>
      </w:pPr>
      <w:r>
        <w:rPr>
          <w:rFonts w:hint="eastAsia" w:eastAsia="仿宋"/>
          <w:b/>
          <w:color w:val="auto"/>
          <w:sz w:val="24"/>
        </w:rPr>
        <w:t>甲方：</w:t>
      </w:r>
      <w:r>
        <w:rPr>
          <w:rFonts w:hint="eastAsia" w:eastAsia="仿宋"/>
          <w:b/>
          <w:color w:val="auto"/>
          <w:sz w:val="24"/>
          <w:lang w:eastAsia="zh-CN"/>
        </w:rPr>
        <w:t>武汉市东西湖区吴家山第一小学</w:t>
      </w:r>
      <w:r>
        <w:rPr>
          <w:rFonts w:eastAsia="仿宋"/>
          <w:color w:val="auto"/>
          <w:sz w:val="24"/>
        </w:rPr>
        <w:t xml:space="preserve">   </w:t>
      </w:r>
      <w:r>
        <w:rPr>
          <w:rFonts w:hint="eastAsia" w:eastAsia="仿宋"/>
          <w:b/>
          <w:bCs/>
          <w:color w:val="auto"/>
          <w:sz w:val="24"/>
        </w:rPr>
        <w:t>签订时间：2026年  月  日</w:t>
      </w:r>
    </w:p>
    <w:p w14:paraId="65C9329F">
      <w:pPr>
        <w:keepNext w:val="0"/>
        <w:keepLines w:val="0"/>
        <w:pageBreakBefore w:val="0"/>
        <w:widowControl/>
        <w:kinsoku/>
        <w:wordWrap/>
        <w:overflowPunct/>
        <w:topLinePunct w:val="0"/>
        <w:autoSpaceDE/>
        <w:autoSpaceDN/>
        <w:bidi w:val="0"/>
        <w:adjustRightInd/>
        <w:snapToGrid/>
        <w:spacing w:line="360" w:lineRule="auto"/>
        <w:ind w:left="315" w:leftChars="150" w:firstLine="0" w:firstLineChars="0"/>
        <w:textAlignment w:val="auto"/>
        <w:rPr>
          <w:rFonts w:hint="eastAsia" w:eastAsia="仿宋"/>
          <w:b/>
          <w:bCs/>
          <w:color w:val="auto"/>
          <w:sz w:val="24"/>
          <w:lang w:eastAsia="zh-CN"/>
        </w:rPr>
      </w:pPr>
      <w:r>
        <w:rPr>
          <w:rFonts w:hint="eastAsia" w:eastAsia="仿宋"/>
          <w:b/>
          <w:bCs/>
          <w:color w:val="auto"/>
          <w:sz w:val="24"/>
        </w:rPr>
        <w:t>乙方：</w:t>
      </w:r>
      <w:r>
        <w:rPr>
          <w:rFonts w:hint="eastAsia" w:eastAsia="仿宋"/>
          <w:b/>
          <w:bCs/>
          <w:color w:val="auto"/>
          <w:sz w:val="24"/>
          <w:u w:val="single"/>
        </w:rPr>
        <w:t xml:space="preserve">                            </w:t>
      </w:r>
      <w:r>
        <w:rPr>
          <w:rFonts w:hint="eastAsia" w:eastAsia="仿宋"/>
          <w:b/>
          <w:bCs/>
          <w:color w:val="auto"/>
          <w:sz w:val="24"/>
        </w:rPr>
        <w:t xml:space="preserve">  签订地点：</w:t>
      </w:r>
      <w:r>
        <w:rPr>
          <w:rFonts w:hint="eastAsia" w:eastAsia="仿宋"/>
          <w:b/>
          <w:bCs/>
          <w:color w:val="auto"/>
          <w:sz w:val="24"/>
          <w:lang w:eastAsia="zh-CN"/>
        </w:rPr>
        <w:t>武汉市东西湖区吴家山第一小学</w:t>
      </w:r>
    </w:p>
    <w:p w14:paraId="6B93177A">
      <w:pPr>
        <w:spacing w:line="360" w:lineRule="auto"/>
        <w:ind w:firstLine="360" w:firstLineChars="150"/>
        <w:rPr>
          <w:rFonts w:ascii="宋体" w:hAnsi="宋体"/>
          <w:color w:val="auto"/>
          <w:sz w:val="24"/>
        </w:rPr>
      </w:pPr>
      <w:r>
        <w:rPr>
          <w:rFonts w:hint="eastAsia" w:ascii="宋体" w:hAnsi="宋体"/>
          <w:color w:val="auto"/>
          <w:sz w:val="24"/>
        </w:rPr>
        <w:t>甲、乙双方根据</w:t>
      </w:r>
      <w:r>
        <w:rPr>
          <w:rFonts w:hint="eastAsia" w:ascii="宋体" w:hAnsi="宋体"/>
          <w:color w:val="auto"/>
          <w:sz w:val="24"/>
          <w:lang w:eastAsia="zh-CN"/>
        </w:rPr>
        <w:t>武汉市东西湖区吴家山第一小学</w:t>
      </w:r>
      <w:r>
        <w:rPr>
          <w:rFonts w:hint="eastAsia" w:ascii="宋体" w:hAnsi="宋体"/>
          <w:color w:val="auto"/>
          <w:sz w:val="24"/>
          <w:u w:val="single"/>
        </w:rPr>
        <w:t xml:space="preserve">           </w:t>
      </w:r>
      <w:r>
        <w:rPr>
          <w:rFonts w:hint="eastAsia" w:ascii="宋体" w:hAnsi="宋体"/>
          <w:color w:val="auto"/>
          <w:sz w:val="24"/>
        </w:rPr>
        <w:sym w:font="Wingdings 2" w:char="00A3"/>
      </w:r>
      <w:r>
        <w:rPr>
          <w:rFonts w:hint="eastAsia" w:ascii="宋体" w:hAnsi="宋体"/>
          <w:color w:val="auto"/>
          <w:sz w:val="24"/>
        </w:rPr>
        <w:t>公开招标</w:t>
      </w:r>
      <w:r>
        <w:rPr>
          <w:rFonts w:hint="eastAsia" w:ascii="宋体" w:hAnsi="宋体"/>
          <w:color w:val="auto"/>
          <w:sz w:val="24"/>
        </w:rPr>
        <w:sym w:font="Wingdings 2" w:char="00A3"/>
      </w:r>
      <w:r>
        <w:rPr>
          <w:rFonts w:hint="eastAsia" w:ascii="宋体" w:hAnsi="宋体"/>
          <w:color w:val="auto"/>
          <w:sz w:val="24"/>
        </w:rPr>
        <w:t>竞争性谈判</w:t>
      </w:r>
      <w:r>
        <w:rPr>
          <w:rFonts w:hint="eastAsia" w:ascii="宋体" w:hAnsi="宋体"/>
          <w:color w:val="auto"/>
          <w:sz w:val="24"/>
        </w:rPr>
        <w:sym w:font="Wingdings 2" w:char="00A3"/>
      </w:r>
      <w:r>
        <w:rPr>
          <w:rFonts w:hint="eastAsia" w:ascii="宋体" w:hAnsi="宋体"/>
          <w:color w:val="auto"/>
          <w:sz w:val="24"/>
        </w:rPr>
        <w:t>竞争性磋商</w:t>
      </w:r>
      <w:r>
        <w:rPr>
          <w:rFonts w:hint="eastAsia" w:ascii="宋体" w:hAnsi="宋体"/>
          <w:color w:val="auto"/>
          <w:sz w:val="24"/>
        </w:rPr>
        <w:sym w:font="Wingdings 2" w:char="00A3"/>
      </w:r>
      <w:r>
        <w:rPr>
          <w:rFonts w:hint="eastAsia" w:ascii="宋体" w:hAnsi="宋体"/>
          <w:color w:val="auto"/>
          <w:sz w:val="24"/>
        </w:rPr>
        <w:t>校内自主招标</w:t>
      </w:r>
      <w:r>
        <w:rPr>
          <w:rFonts w:hint="eastAsia" w:ascii="宋体" w:hAnsi="宋体"/>
          <w:color w:val="auto"/>
          <w:sz w:val="24"/>
        </w:rPr>
        <w:sym w:font="Wingdings 2" w:char="00A3"/>
      </w:r>
      <w:r>
        <w:rPr>
          <w:rFonts w:hint="eastAsia" w:ascii="宋体" w:hAnsi="宋体"/>
          <w:color w:val="auto"/>
          <w:sz w:val="24"/>
        </w:rPr>
        <w:t>校内询价采购项目【招标采购文件编号：</w:t>
      </w:r>
      <w:r>
        <w:rPr>
          <w:rFonts w:hint="eastAsia" w:ascii="宋体" w:hAnsi="宋体"/>
          <w:color w:val="auto"/>
          <w:sz w:val="24"/>
          <w:u w:val="single"/>
        </w:rPr>
        <w:t xml:space="preserve">            </w:t>
      </w:r>
      <w:r>
        <w:rPr>
          <w:rFonts w:hint="eastAsia" w:ascii="宋体" w:hAnsi="宋体"/>
          <w:color w:val="auto"/>
          <w:sz w:val="24"/>
          <w:lang w:eastAsia="zh-CN"/>
        </w:rPr>
        <w:t>，</w:t>
      </w:r>
      <w:r>
        <w:rPr>
          <w:rFonts w:hint="eastAsia" w:ascii="宋体" w:hAnsi="宋体"/>
          <w:color w:val="auto"/>
          <w:sz w:val="24"/>
        </w:rPr>
        <w:t>政府采购管理部门备案编号：</w:t>
      </w:r>
      <w:r>
        <w:rPr>
          <w:rFonts w:hint="eastAsia" w:ascii="宋体" w:hAnsi="宋体"/>
          <w:color w:val="auto"/>
          <w:sz w:val="24"/>
          <w:u w:val="single"/>
        </w:rPr>
        <w:t xml:space="preserve">              </w:t>
      </w:r>
      <w:r>
        <w:rPr>
          <w:rFonts w:hint="eastAsia" w:ascii="宋体" w:hAnsi="宋体"/>
          <w:color w:val="auto"/>
          <w:sz w:val="24"/>
        </w:rPr>
        <w:t>】招标结果，甲方同意接受乙方为本项目采购所做的投标文件，乙方必须完全按中标通知书和本合同条款履行义务。甲、乙双方同意签署本合同。</w:t>
      </w:r>
      <w:r>
        <w:rPr>
          <w:rFonts w:ascii="宋体" w:hAnsi="宋体"/>
          <w:color w:val="auto"/>
          <w:sz w:val="24"/>
        </w:rPr>
        <w:t xml:space="preserve"> </w:t>
      </w:r>
    </w:p>
    <w:p w14:paraId="76EBBF5D">
      <w:pPr>
        <w:spacing w:line="360" w:lineRule="auto"/>
        <w:ind w:firstLine="360" w:firstLineChars="150"/>
        <w:rPr>
          <w:rFonts w:ascii="宋体" w:hAnsi="宋体"/>
          <w:color w:val="auto"/>
          <w:sz w:val="24"/>
        </w:rPr>
      </w:pPr>
    </w:p>
    <w:p w14:paraId="01C59D15">
      <w:pPr>
        <w:spacing w:line="360" w:lineRule="auto"/>
        <w:rPr>
          <w:rFonts w:hint="eastAsia" w:ascii="黑体" w:hAnsi="黑体" w:eastAsia="黑体" w:cs="黑体"/>
          <w:b/>
          <w:color w:val="auto"/>
          <w:sz w:val="24"/>
          <w:szCs w:val="36"/>
        </w:rPr>
      </w:pPr>
      <w:r>
        <w:rPr>
          <w:rFonts w:hint="eastAsia" w:ascii="黑体" w:hAnsi="黑体" w:eastAsia="黑体" w:cs="黑体"/>
          <w:b/>
          <w:color w:val="auto"/>
          <w:sz w:val="24"/>
          <w:szCs w:val="36"/>
        </w:rPr>
        <w:t>第一条、货物名称、型号、规格、配置、技术参数、数量及合同价款</w:t>
      </w:r>
    </w:p>
    <w:tbl>
      <w:tblPr>
        <w:tblStyle w:val="23"/>
        <w:tblW w:w="93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75"/>
        <w:gridCol w:w="2109"/>
        <w:gridCol w:w="2045"/>
        <w:gridCol w:w="555"/>
        <w:gridCol w:w="688"/>
        <w:gridCol w:w="1082"/>
        <w:gridCol w:w="52"/>
        <w:gridCol w:w="1043"/>
        <w:gridCol w:w="1113"/>
      </w:tblGrid>
      <w:tr w14:paraId="03B2A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675" w:type="dxa"/>
            <w:shd w:val="clear" w:color="auto" w:fill="auto"/>
            <w:noWrap w:val="0"/>
            <w:vAlign w:val="center"/>
          </w:tcPr>
          <w:p w14:paraId="7BCF53C2">
            <w:pPr>
              <w:keepNext w:val="0"/>
              <w:keepLines w:val="0"/>
              <w:pageBreakBefore w:val="0"/>
              <w:widowControl/>
              <w:kinsoku/>
              <w:wordWrap/>
              <w:overflowPunct/>
              <w:topLinePunct w:val="0"/>
              <w:autoSpaceDE/>
              <w:autoSpaceDN/>
              <w:bidi w:val="0"/>
              <w:adjustRightInd/>
              <w:snapToGrid/>
              <w:spacing w:line="0" w:lineRule="atLeast"/>
              <w:ind w:left="-42" w:leftChars="-20" w:right="-42" w:rightChars="-20" w:firstLine="0" w:firstLineChars="0"/>
              <w:jc w:val="center"/>
              <w:textAlignment w:val="auto"/>
              <w:rPr>
                <w:rFonts w:ascii="宋体" w:hAnsi="宋体" w:cs="宋体"/>
                <w:b/>
                <w:bCs/>
                <w:color w:val="auto"/>
                <w:szCs w:val="20"/>
              </w:rPr>
            </w:pPr>
            <w:r>
              <w:rPr>
                <w:rFonts w:hint="eastAsia" w:ascii="宋体" w:hAnsi="宋体" w:cs="宋体"/>
                <w:b/>
                <w:bCs/>
                <w:color w:val="auto"/>
                <w:szCs w:val="20"/>
              </w:rPr>
              <w:t>序号</w:t>
            </w:r>
          </w:p>
        </w:tc>
        <w:tc>
          <w:tcPr>
            <w:tcW w:w="2109" w:type="dxa"/>
            <w:shd w:val="clear" w:color="auto" w:fill="auto"/>
            <w:noWrap w:val="0"/>
            <w:vAlign w:val="center"/>
          </w:tcPr>
          <w:p w14:paraId="0050E5E5">
            <w:pPr>
              <w:keepNext w:val="0"/>
              <w:keepLines w:val="0"/>
              <w:pageBreakBefore w:val="0"/>
              <w:widowControl/>
              <w:kinsoku/>
              <w:wordWrap/>
              <w:overflowPunct/>
              <w:topLinePunct w:val="0"/>
              <w:autoSpaceDE/>
              <w:autoSpaceDN/>
              <w:bidi w:val="0"/>
              <w:adjustRightInd/>
              <w:snapToGrid/>
              <w:spacing w:line="0" w:lineRule="atLeast"/>
              <w:ind w:left="-42" w:leftChars="-20" w:right="-42" w:rightChars="-20" w:firstLine="0" w:firstLineChars="0"/>
              <w:jc w:val="center"/>
              <w:textAlignment w:val="auto"/>
              <w:rPr>
                <w:rFonts w:ascii="宋体" w:hAnsi="宋体" w:cs="宋体"/>
                <w:b/>
                <w:bCs/>
                <w:color w:val="auto"/>
                <w:szCs w:val="20"/>
              </w:rPr>
            </w:pPr>
            <w:r>
              <w:rPr>
                <w:rFonts w:hint="eastAsia" w:ascii="宋体" w:hAnsi="宋体" w:cs="宋体"/>
                <w:b/>
                <w:bCs/>
                <w:color w:val="auto"/>
                <w:szCs w:val="20"/>
              </w:rPr>
              <w:t>品名</w:t>
            </w:r>
          </w:p>
        </w:tc>
        <w:tc>
          <w:tcPr>
            <w:tcW w:w="2045" w:type="dxa"/>
            <w:shd w:val="clear" w:color="auto" w:fill="auto"/>
            <w:noWrap w:val="0"/>
            <w:vAlign w:val="center"/>
          </w:tcPr>
          <w:p w14:paraId="1A5BCF53">
            <w:pPr>
              <w:keepNext w:val="0"/>
              <w:keepLines w:val="0"/>
              <w:pageBreakBefore w:val="0"/>
              <w:widowControl/>
              <w:kinsoku/>
              <w:wordWrap/>
              <w:overflowPunct/>
              <w:topLinePunct w:val="0"/>
              <w:autoSpaceDE/>
              <w:autoSpaceDN/>
              <w:bidi w:val="0"/>
              <w:adjustRightInd/>
              <w:snapToGrid/>
              <w:spacing w:line="0" w:lineRule="atLeast"/>
              <w:ind w:left="-42" w:leftChars="-20" w:right="-42" w:rightChars="-20" w:firstLine="0" w:firstLineChars="0"/>
              <w:jc w:val="center"/>
              <w:textAlignment w:val="auto"/>
              <w:rPr>
                <w:rFonts w:ascii="宋体" w:hAnsi="宋体" w:cs="宋体"/>
                <w:b/>
                <w:bCs/>
                <w:color w:val="auto"/>
                <w:szCs w:val="20"/>
              </w:rPr>
            </w:pPr>
            <w:r>
              <w:rPr>
                <w:rFonts w:hint="eastAsia" w:ascii="宋体" w:hAnsi="宋体" w:cs="宋体"/>
                <w:b/>
                <w:bCs/>
                <w:color w:val="auto"/>
                <w:szCs w:val="20"/>
              </w:rPr>
              <w:t>规格型号</w:t>
            </w:r>
          </w:p>
        </w:tc>
        <w:tc>
          <w:tcPr>
            <w:tcW w:w="555" w:type="dxa"/>
            <w:shd w:val="clear" w:color="auto" w:fill="auto"/>
            <w:noWrap w:val="0"/>
            <w:vAlign w:val="center"/>
          </w:tcPr>
          <w:p w14:paraId="1EDFE8EB">
            <w:pPr>
              <w:keepNext w:val="0"/>
              <w:keepLines w:val="0"/>
              <w:pageBreakBefore w:val="0"/>
              <w:widowControl/>
              <w:kinsoku/>
              <w:wordWrap/>
              <w:overflowPunct/>
              <w:topLinePunct w:val="0"/>
              <w:autoSpaceDE/>
              <w:autoSpaceDN/>
              <w:bidi w:val="0"/>
              <w:adjustRightInd/>
              <w:snapToGrid/>
              <w:spacing w:line="0" w:lineRule="atLeast"/>
              <w:ind w:left="-42" w:leftChars="-20" w:right="-42" w:rightChars="-20" w:firstLine="0" w:firstLineChars="0"/>
              <w:jc w:val="center"/>
              <w:textAlignment w:val="auto"/>
              <w:rPr>
                <w:rFonts w:ascii="宋体" w:hAnsi="宋体" w:cs="宋体"/>
                <w:b/>
                <w:bCs/>
                <w:color w:val="auto"/>
                <w:szCs w:val="20"/>
              </w:rPr>
            </w:pPr>
            <w:r>
              <w:rPr>
                <w:rFonts w:hint="eastAsia" w:ascii="宋体" w:hAnsi="宋体" w:cs="宋体"/>
                <w:b/>
                <w:bCs/>
                <w:color w:val="auto"/>
                <w:szCs w:val="20"/>
              </w:rPr>
              <w:t>单位</w:t>
            </w:r>
          </w:p>
        </w:tc>
        <w:tc>
          <w:tcPr>
            <w:tcW w:w="688" w:type="dxa"/>
            <w:shd w:val="clear" w:color="auto" w:fill="auto"/>
            <w:noWrap w:val="0"/>
            <w:vAlign w:val="center"/>
          </w:tcPr>
          <w:p w14:paraId="55C7C2E9">
            <w:pPr>
              <w:keepNext w:val="0"/>
              <w:keepLines w:val="0"/>
              <w:pageBreakBefore w:val="0"/>
              <w:widowControl/>
              <w:kinsoku/>
              <w:wordWrap/>
              <w:overflowPunct/>
              <w:topLinePunct w:val="0"/>
              <w:autoSpaceDE/>
              <w:autoSpaceDN/>
              <w:bidi w:val="0"/>
              <w:adjustRightInd/>
              <w:snapToGrid/>
              <w:spacing w:line="0" w:lineRule="atLeast"/>
              <w:ind w:left="-42" w:leftChars="-20" w:right="-42" w:rightChars="-20" w:firstLine="0" w:firstLineChars="0"/>
              <w:jc w:val="center"/>
              <w:textAlignment w:val="auto"/>
              <w:rPr>
                <w:rFonts w:ascii="宋体" w:hAnsi="宋体" w:cs="宋体"/>
                <w:b/>
                <w:bCs/>
                <w:color w:val="auto"/>
                <w:szCs w:val="20"/>
              </w:rPr>
            </w:pPr>
            <w:r>
              <w:rPr>
                <w:rFonts w:hint="eastAsia" w:ascii="宋体" w:hAnsi="宋体" w:cs="宋体"/>
                <w:b/>
                <w:bCs/>
                <w:color w:val="auto"/>
                <w:szCs w:val="20"/>
              </w:rPr>
              <w:t>数量</w:t>
            </w:r>
          </w:p>
        </w:tc>
        <w:tc>
          <w:tcPr>
            <w:tcW w:w="1134" w:type="dxa"/>
            <w:gridSpan w:val="2"/>
            <w:shd w:val="clear" w:color="auto" w:fill="auto"/>
            <w:noWrap w:val="0"/>
            <w:vAlign w:val="center"/>
          </w:tcPr>
          <w:p w14:paraId="4964B816">
            <w:pPr>
              <w:keepNext w:val="0"/>
              <w:keepLines w:val="0"/>
              <w:pageBreakBefore w:val="0"/>
              <w:widowControl/>
              <w:kinsoku/>
              <w:wordWrap/>
              <w:overflowPunct/>
              <w:topLinePunct w:val="0"/>
              <w:autoSpaceDE/>
              <w:autoSpaceDN/>
              <w:bidi w:val="0"/>
              <w:adjustRightInd/>
              <w:snapToGrid/>
              <w:spacing w:line="0" w:lineRule="atLeast"/>
              <w:ind w:left="-42" w:leftChars="-20" w:right="-42" w:rightChars="-20" w:firstLine="0" w:firstLineChars="0"/>
              <w:jc w:val="center"/>
              <w:textAlignment w:val="auto"/>
              <w:rPr>
                <w:rFonts w:ascii="宋体" w:hAnsi="宋体" w:cs="宋体"/>
                <w:b/>
                <w:bCs/>
                <w:color w:val="auto"/>
                <w:szCs w:val="20"/>
              </w:rPr>
            </w:pPr>
            <w:r>
              <w:rPr>
                <w:rFonts w:hint="eastAsia" w:ascii="宋体" w:hAnsi="宋体" w:cs="宋体"/>
                <w:b/>
                <w:bCs/>
                <w:color w:val="auto"/>
                <w:szCs w:val="20"/>
              </w:rPr>
              <w:t>单价（元）</w:t>
            </w:r>
          </w:p>
        </w:tc>
        <w:tc>
          <w:tcPr>
            <w:tcW w:w="1043" w:type="dxa"/>
            <w:shd w:val="clear" w:color="auto" w:fill="auto"/>
            <w:noWrap w:val="0"/>
            <w:vAlign w:val="center"/>
          </w:tcPr>
          <w:p w14:paraId="65485FEB">
            <w:pPr>
              <w:keepNext w:val="0"/>
              <w:keepLines w:val="0"/>
              <w:pageBreakBefore w:val="0"/>
              <w:widowControl/>
              <w:kinsoku/>
              <w:wordWrap/>
              <w:overflowPunct/>
              <w:topLinePunct w:val="0"/>
              <w:autoSpaceDE/>
              <w:autoSpaceDN/>
              <w:bidi w:val="0"/>
              <w:adjustRightInd/>
              <w:snapToGrid/>
              <w:spacing w:line="0" w:lineRule="atLeast"/>
              <w:ind w:left="-42" w:leftChars="-20" w:right="-42" w:rightChars="-20" w:firstLine="0" w:firstLineChars="0"/>
              <w:jc w:val="center"/>
              <w:textAlignment w:val="auto"/>
              <w:rPr>
                <w:rFonts w:ascii="宋体" w:hAnsi="宋体" w:cs="宋体"/>
                <w:b/>
                <w:bCs/>
                <w:color w:val="auto"/>
                <w:szCs w:val="20"/>
              </w:rPr>
            </w:pPr>
            <w:r>
              <w:rPr>
                <w:rFonts w:hint="eastAsia" w:ascii="宋体" w:hAnsi="宋体" w:cs="宋体"/>
                <w:b/>
                <w:bCs/>
                <w:color w:val="auto"/>
                <w:szCs w:val="20"/>
              </w:rPr>
              <w:t>金额（元）</w:t>
            </w:r>
          </w:p>
        </w:tc>
        <w:tc>
          <w:tcPr>
            <w:tcW w:w="1113" w:type="dxa"/>
            <w:shd w:val="clear" w:color="auto" w:fill="auto"/>
            <w:noWrap w:val="0"/>
            <w:vAlign w:val="center"/>
          </w:tcPr>
          <w:p w14:paraId="043D4E64">
            <w:pPr>
              <w:keepNext w:val="0"/>
              <w:keepLines w:val="0"/>
              <w:pageBreakBefore w:val="0"/>
              <w:widowControl/>
              <w:kinsoku/>
              <w:wordWrap/>
              <w:overflowPunct/>
              <w:topLinePunct w:val="0"/>
              <w:autoSpaceDE/>
              <w:autoSpaceDN/>
              <w:bidi w:val="0"/>
              <w:adjustRightInd/>
              <w:snapToGrid/>
              <w:spacing w:line="0" w:lineRule="atLeast"/>
              <w:ind w:left="-42" w:leftChars="-20" w:right="-42" w:rightChars="-20" w:firstLine="0" w:firstLineChars="0"/>
              <w:jc w:val="center"/>
              <w:textAlignment w:val="auto"/>
              <w:rPr>
                <w:rFonts w:ascii="宋体" w:hAnsi="宋体" w:cs="宋体"/>
                <w:b/>
                <w:bCs/>
                <w:color w:val="auto"/>
                <w:szCs w:val="20"/>
              </w:rPr>
            </w:pPr>
            <w:r>
              <w:rPr>
                <w:rFonts w:hint="eastAsia" w:ascii="宋体" w:hAnsi="宋体" w:cs="宋体"/>
                <w:b/>
                <w:bCs/>
                <w:color w:val="auto"/>
                <w:szCs w:val="20"/>
              </w:rPr>
              <w:t>备注</w:t>
            </w:r>
          </w:p>
        </w:tc>
      </w:tr>
      <w:tr w14:paraId="64081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75" w:type="dxa"/>
            <w:shd w:val="clear" w:color="auto" w:fill="auto"/>
            <w:noWrap w:val="0"/>
            <w:vAlign w:val="center"/>
          </w:tcPr>
          <w:p w14:paraId="787EE092">
            <w:pPr>
              <w:keepNext w:val="0"/>
              <w:keepLines w:val="0"/>
              <w:pageBreakBefore w:val="0"/>
              <w:widowControl/>
              <w:kinsoku/>
              <w:wordWrap/>
              <w:overflowPunct/>
              <w:topLinePunct w:val="0"/>
              <w:autoSpaceDE/>
              <w:autoSpaceDN/>
              <w:bidi w:val="0"/>
              <w:adjustRightInd/>
              <w:snapToGrid/>
              <w:spacing w:line="0" w:lineRule="atLeast"/>
              <w:ind w:left="-42" w:leftChars="-20" w:right="-42" w:rightChars="-20" w:firstLine="0" w:firstLineChars="0"/>
              <w:jc w:val="center"/>
              <w:textAlignment w:val="auto"/>
              <w:rPr>
                <w:rFonts w:hint="eastAsia" w:ascii="宋体" w:hAnsi="宋体" w:cs="宋体"/>
                <w:color w:val="auto"/>
                <w:szCs w:val="21"/>
              </w:rPr>
            </w:pPr>
            <w:r>
              <w:rPr>
                <w:rFonts w:hint="eastAsia" w:ascii="宋体" w:hAnsi="宋体" w:cs="宋体"/>
                <w:color w:val="auto"/>
                <w:szCs w:val="21"/>
              </w:rPr>
              <w:t>1</w:t>
            </w:r>
          </w:p>
        </w:tc>
        <w:tc>
          <w:tcPr>
            <w:tcW w:w="2109" w:type="dxa"/>
            <w:shd w:val="clear" w:color="auto" w:fill="auto"/>
            <w:noWrap w:val="0"/>
            <w:vAlign w:val="center"/>
          </w:tcPr>
          <w:p w14:paraId="492243A8">
            <w:pPr>
              <w:keepNext w:val="0"/>
              <w:keepLines w:val="0"/>
              <w:pageBreakBefore w:val="0"/>
              <w:widowControl/>
              <w:kinsoku/>
              <w:wordWrap/>
              <w:overflowPunct/>
              <w:topLinePunct w:val="0"/>
              <w:autoSpaceDE/>
              <w:autoSpaceDN/>
              <w:bidi w:val="0"/>
              <w:adjustRightInd/>
              <w:snapToGrid/>
              <w:spacing w:line="0" w:lineRule="atLeast"/>
              <w:ind w:right="-42" w:rightChars="-20" w:firstLine="0" w:firstLineChars="0"/>
              <w:jc w:val="center"/>
              <w:textAlignment w:val="auto"/>
              <w:rPr>
                <w:rFonts w:ascii="宋体" w:hAnsi="宋体" w:cs="宋体"/>
                <w:color w:val="auto"/>
                <w:szCs w:val="21"/>
              </w:rPr>
            </w:pPr>
          </w:p>
        </w:tc>
        <w:tc>
          <w:tcPr>
            <w:tcW w:w="2045" w:type="dxa"/>
            <w:shd w:val="clear" w:color="auto" w:fill="auto"/>
            <w:noWrap w:val="0"/>
            <w:vAlign w:val="center"/>
          </w:tcPr>
          <w:p w14:paraId="5A047372">
            <w:pPr>
              <w:keepNext w:val="0"/>
              <w:keepLines w:val="0"/>
              <w:pageBreakBefore w:val="0"/>
              <w:widowControl/>
              <w:kinsoku/>
              <w:wordWrap/>
              <w:overflowPunct/>
              <w:topLinePunct w:val="0"/>
              <w:autoSpaceDE/>
              <w:autoSpaceDN/>
              <w:bidi w:val="0"/>
              <w:adjustRightInd/>
              <w:snapToGrid/>
              <w:spacing w:line="0" w:lineRule="atLeast"/>
              <w:ind w:left="-42" w:leftChars="-20" w:right="-42" w:rightChars="-20" w:firstLine="0" w:firstLineChars="0"/>
              <w:jc w:val="center"/>
              <w:textAlignment w:val="auto"/>
              <w:rPr>
                <w:rFonts w:hint="eastAsia" w:ascii="宋体" w:hAnsi="宋体" w:cs="宋体"/>
                <w:color w:val="auto"/>
                <w:szCs w:val="21"/>
              </w:rPr>
            </w:pPr>
          </w:p>
        </w:tc>
        <w:tc>
          <w:tcPr>
            <w:tcW w:w="555" w:type="dxa"/>
            <w:shd w:val="clear" w:color="auto" w:fill="auto"/>
            <w:noWrap w:val="0"/>
            <w:vAlign w:val="center"/>
          </w:tcPr>
          <w:p w14:paraId="4181FC9D">
            <w:pPr>
              <w:keepNext w:val="0"/>
              <w:keepLines w:val="0"/>
              <w:pageBreakBefore w:val="0"/>
              <w:widowControl/>
              <w:kinsoku/>
              <w:wordWrap/>
              <w:overflowPunct/>
              <w:topLinePunct w:val="0"/>
              <w:autoSpaceDE/>
              <w:autoSpaceDN/>
              <w:bidi w:val="0"/>
              <w:adjustRightInd/>
              <w:snapToGrid/>
              <w:spacing w:line="0" w:lineRule="atLeast"/>
              <w:ind w:left="-42" w:leftChars="-20" w:right="-42" w:rightChars="-20" w:firstLine="0" w:firstLineChars="0"/>
              <w:jc w:val="center"/>
              <w:textAlignment w:val="auto"/>
              <w:rPr>
                <w:rFonts w:hint="eastAsia" w:ascii="宋体" w:hAnsi="宋体" w:cs="宋体"/>
                <w:color w:val="auto"/>
                <w:szCs w:val="21"/>
              </w:rPr>
            </w:pPr>
          </w:p>
        </w:tc>
        <w:tc>
          <w:tcPr>
            <w:tcW w:w="688" w:type="dxa"/>
            <w:shd w:val="clear" w:color="auto" w:fill="auto"/>
            <w:noWrap w:val="0"/>
            <w:vAlign w:val="center"/>
          </w:tcPr>
          <w:p w14:paraId="4AA38794">
            <w:pPr>
              <w:keepNext w:val="0"/>
              <w:keepLines w:val="0"/>
              <w:pageBreakBefore w:val="0"/>
              <w:widowControl/>
              <w:kinsoku/>
              <w:wordWrap/>
              <w:overflowPunct/>
              <w:topLinePunct w:val="0"/>
              <w:autoSpaceDE/>
              <w:autoSpaceDN/>
              <w:bidi w:val="0"/>
              <w:adjustRightInd/>
              <w:snapToGrid/>
              <w:spacing w:line="0" w:lineRule="atLeast"/>
              <w:ind w:left="-42" w:leftChars="-20" w:right="-42" w:rightChars="-20" w:firstLine="0" w:firstLineChars="0"/>
              <w:jc w:val="center"/>
              <w:textAlignment w:val="auto"/>
              <w:rPr>
                <w:rFonts w:ascii="宋体" w:hAnsi="宋体" w:cs="宋体"/>
                <w:color w:val="auto"/>
                <w:szCs w:val="21"/>
              </w:rPr>
            </w:pPr>
          </w:p>
        </w:tc>
        <w:tc>
          <w:tcPr>
            <w:tcW w:w="1082" w:type="dxa"/>
            <w:shd w:val="clear" w:color="auto" w:fill="auto"/>
            <w:noWrap w:val="0"/>
            <w:vAlign w:val="center"/>
          </w:tcPr>
          <w:p w14:paraId="7501FB1D">
            <w:pPr>
              <w:keepNext w:val="0"/>
              <w:keepLines w:val="0"/>
              <w:pageBreakBefore w:val="0"/>
              <w:widowControl/>
              <w:kinsoku/>
              <w:wordWrap/>
              <w:overflowPunct/>
              <w:topLinePunct w:val="0"/>
              <w:autoSpaceDE/>
              <w:autoSpaceDN/>
              <w:bidi w:val="0"/>
              <w:adjustRightInd/>
              <w:snapToGrid/>
              <w:spacing w:line="0" w:lineRule="atLeast"/>
              <w:ind w:left="-42" w:leftChars="-20" w:right="-42" w:rightChars="-20" w:firstLine="0" w:firstLineChars="0"/>
              <w:jc w:val="center"/>
              <w:textAlignment w:val="auto"/>
              <w:rPr>
                <w:rFonts w:ascii="宋体" w:hAnsi="宋体" w:cs="宋体"/>
                <w:color w:val="auto"/>
                <w:szCs w:val="21"/>
              </w:rPr>
            </w:pPr>
          </w:p>
        </w:tc>
        <w:tc>
          <w:tcPr>
            <w:tcW w:w="1095" w:type="dxa"/>
            <w:gridSpan w:val="2"/>
            <w:shd w:val="clear" w:color="auto" w:fill="auto"/>
            <w:noWrap w:val="0"/>
            <w:vAlign w:val="center"/>
          </w:tcPr>
          <w:p w14:paraId="64AF4821">
            <w:pPr>
              <w:keepNext w:val="0"/>
              <w:keepLines w:val="0"/>
              <w:pageBreakBefore w:val="0"/>
              <w:widowControl/>
              <w:kinsoku/>
              <w:wordWrap/>
              <w:overflowPunct/>
              <w:topLinePunct w:val="0"/>
              <w:autoSpaceDE/>
              <w:autoSpaceDN/>
              <w:bidi w:val="0"/>
              <w:adjustRightInd/>
              <w:snapToGrid/>
              <w:spacing w:line="0" w:lineRule="atLeast"/>
              <w:ind w:left="-42" w:leftChars="-20" w:right="-42" w:rightChars="-20" w:firstLine="0" w:firstLineChars="0"/>
              <w:jc w:val="center"/>
              <w:textAlignment w:val="auto"/>
              <w:rPr>
                <w:rFonts w:ascii="宋体" w:hAnsi="宋体" w:cs="宋体"/>
                <w:color w:val="auto"/>
                <w:szCs w:val="21"/>
              </w:rPr>
            </w:pPr>
          </w:p>
        </w:tc>
        <w:tc>
          <w:tcPr>
            <w:tcW w:w="1113" w:type="dxa"/>
            <w:shd w:val="clear" w:color="auto" w:fill="auto"/>
            <w:noWrap w:val="0"/>
            <w:vAlign w:val="center"/>
          </w:tcPr>
          <w:p w14:paraId="05C7901F">
            <w:pPr>
              <w:keepNext w:val="0"/>
              <w:keepLines w:val="0"/>
              <w:pageBreakBefore w:val="0"/>
              <w:widowControl/>
              <w:kinsoku/>
              <w:wordWrap/>
              <w:overflowPunct/>
              <w:topLinePunct w:val="0"/>
              <w:autoSpaceDE/>
              <w:autoSpaceDN/>
              <w:bidi w:val="0"/>
              <w:adjustRightInd/>
              <w:snapToGrid/>
              <w:spacing w:line="0" w:lineRule="atLeast"/>
              <w:ind w:left="-42" w:leftChars="-20" w:right="-42" w:rightChars="-20" w:firstLine="0" w:firstLineChars="0"/>
              <w:jc w:val="center"/>
              <w:textAlignment w:val="auto"/>
              <w:rPr>
                <w:rFonts w:hint="eastAsia" w:ascii="宋体" w:hAnsi="宋体" w:cs="宋体"/>
                <w:color w:val="auto"/>
                <w:szCs w:val="21"/>
              </w:rPr>
            </w:pPr>
          </w:p>
        </w:tc>
      </w:tr>
      <w:tr w14:paraId="1692A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75" w:type="dxa"/>
            <w:shd w:val="clear" w:color="auto" w:fill="auto"/>
            <w:noWrap w:val="0"/>
            <w:vAlign w:val="center"/>
          </w:tcPr>
          <w:p w14:paraId="3805B4C1">
            <w:pPr>
              <w:keepNext w:val="0"/>
              <w:keepLines w:val="0"/>
              <w:pageBreakBefore w:val="0"/>
              <w:widowControl/>
              <w:kinsoku/>
              <w:wordWrap/>
              <w:overflowPunct/>
              <w:topLinePunct w:val="0"/>
              <w:autoSpaceDE/>
              <w:autoSpaceDN/>
              <w:bidi w:val="0"/>
              <w:adjustRightInd/>
              <w:snapToGrid/>
              <w:spacing w:line="0" w:lineRule="atLeast"/>
              <w:ind w:left="-42" w:leftChars="-20" w:right="-42" w:rightChars="-20" w:firstLine="0" w:firstLineChars="0"/>
              <w:jc w:val="center"/>
              <w:textAlignment w:val="auto"/>
              <w:rPr>
                <w:rFonts w:hint="eastAsia" w:ascii="宋体" w:hAnsi="宋体" w:cs="宋体"/>
                <w:color w:val="auto"/>
                <w:szCs w:val="21"/>
              </w:rPr>
            </w:pPr>
            <w:r>
              <w:rPr>
                <w:rFonts w:hint="eastAsia" w:ascii="宋体" w:hAnsi="宋体" w:cs="宋体"/>
                <w:color w:val="auto"/>
                <w:szCs w:val="21"/>
              </w:rPr>
              <w:t>2</w:t>
            </w:r>
          </w:p>
        </w:tc>
        <w:tc>
          <w:tcPr>
            <w:tcW w:w="2109" w:type="dxa"/>
            <w:shd w:val="clear" w:color="auto" w:fill="auto"/>
            <w:noWrap w:val="0"/>
            <w:vAlign w:val="center"/>
          </w:tcPr>
          <w:p w14:paraId="0E2EAEE5">
            <w:pPr>
              <w:keepNext w:val="0"/>
              <w:keepLines w:val="0"/>
              <w:pageBreakBefore w:val="0"/>
              <w:widowControl/>
              <w:kinsoku/>
              <w:wordWrap/>
              <w:overflowPunct/>
              <w:topLinePunct w:val="0"/>
              <w:autoSpaceDE/>
              <w:autoSpaceDN/>
              <w:bidi w:val="0"/>
              <w:adjustRightInd/>
              <w:snapToGrid/>
              <w:spacing w:line="0" w:lineRule="atLeast"/>
              <w:ind w:right="-42" w:rightChars="-20" w:firstLine="0" w:firstLineChars="0"/>
              <w:jc w:val="center"/>
              <w:textAlignment w:val="auto"/>
              <w:rPr>
                <w:rFonts w:ascii="宋体" w:hAnsi="宋体" w:cs="宋体"/>
                <w:color w:val="auto"/>
                <w:szCs w:val="21"/>
              </w:rPr>
            </w:pPr>
          </w:p>
        </w:tc>
        <w:tc>
          <w:tcPr>
            <w:tcW w:w="2045" w:type="dxa"/>
            <w:shd w:val="clear" w:color="auto" w:fill="auto"/>
            <w:noWrap w:val="0"/>
            <w:vAlign w:val="center"/>
          </w:tcPr>
          <w:p w14:paraId="15670348">
            <w:pPr>
              <w:keepNext w:val="0"/>
              <w:keepLines w:val="0"/>
              <w:pageBreakBefore w:val="0"/>
              <w:widowControl/>
              <w:kinsoku/>
              <w:wordWrap/>
              <w:overflowPunct/>
              <w:topLinePunct w:val="0"/>
              <w:autoSpaceDE/>
              <w:autoSpaceDN/>
              <w:bidi w:val="0"/>
              <w:adjustRightInd/>
              <w:snapToGrid/>
              <w:spacing w:line="0" w:lineRule="atLeast"/>
              <w:ind w:left="-42" w:leftChars="-20" w:right="-42" w:rightChars="-20" w:firstLine="0" w:firstLineChars="0"/>
              <w:jc w:val="center"/>
              <w:textAlignment w:val="auto"/>
              <w:rPr>
                <w:rFonts w:hint="eastAsia" w:ascii="宋体" w:hAnsi="宋体" w:cs="宋体"/>
                <w:color w:val="auto"/>
                <w:szCs w:val="21"/>
              </w:rPr>
            </w:pPr>
          </w:p>
        </w:tc>
        <w:tc>
          <w:tcPr>
            <w:tcW w:w="555" w:type="dxa"/>
            <w:shd w:val="clear" w:color="auto" w:fill="auto"/>
            <w:noWrap w:val="0"/>
            <w:vAlign w:val="center"/>
          </w:tcPr>
          <w:p w14:paraId="0D4747DB">
            <w:pPr>
              <w:keepNext w:val="0"/>
              <w:keepLines w:val="0"/>
              <w:pageBreakBefore w:val="0"/>
              <w:widowControl/>
              <w:kinsoku/>
              <w:wordWrap/>
              <w:overflowPunct/>
              <w:topLinePunct w:val="0"/>
              <w:autoSpaceDE/>
              <w:autoSpaceDN/>
              <w:bidi w:val="0"/>
              <w:adjustRightInd/>
              <w:snapToGrid/>
              <w:spacing w:line="0" w:lineRule="atLeast"/>
              <w:ind w:left="-42" w:leftChars="-20" w:right="-42" w:rightChars="-20" w:firstLine="0" w:firstLineChars="0"/>
              <w:jc w:val="center"/>
              <w:textAlignment w:val="auto"/>
              <w:rPr>
                <w:rFonts w:hint="eastAsia" w:ascii="宋体" w:hAnsi="宋体" w:cs="宋体"/>
                <w:color w:val="auto"/>
                <w:szCs w:val="21"/>
              </w:rPr>
            </w:pPr>
          </w:p>
        </w:tc>
        <w:tc>
          <w:tcPr>
            <w:tcW w:w="688" w:type="dxa"/>
            <w:shd w:val="clear" w:color="auto" w:fill="auto"/>
            <w:noWrap w:val="0"/>
            <w:vAlign w:val="center"/>
          </w:tcPr>
          <w:p w14:paraId="062CBCFD">
            <w:pPr>
              <w:keepNext w:val="0"/>
              <w:keepLines w:val="0"/>
              <w:pageBreakBefore w:val="0"/>
              <w:widowControl/>
              <w:kinsoku/>
              <w:wordWrap/>
              <w:overflowPunct/>
              <w:topLinePunct w:val="0"/>
              <w:autoSpaceDE/>
              <w:autoSpaceDN/>
              <w:bidi w:val="0"/>
              <w:adjustRightInd/>
              <w:snapToGrid/>
              <w:spacing w:line="0" w:lineRule="atLeast"/>
              <w:ind w:left="-42" w:leftChars="-20" w:right="-42" w:rightChars="-20" w:firstLine="0" w:firstLineChars="0"/>
              <w:jc w:val="center"/>
              <w:textAlignment w:val="auto"/>
              <w:rPr>
                <w:rFonts w:ascii="宋体" w:hAnsi="宋体" w:cs="宋体"/>
                <w:color w:val="auto"/>
                <w:szCs w:val="21"/>
              </w:rPr>
            </w:pPr>
          </w:p>
        </w:tc>
        <w:tc>
          <w:tcPr>
            <w:tcW w:w="1082" w:type="dxa"/>
            <w:shd w:val="clear" w:color="auto" w:fill="auto"/>
            <w:noWrap w:val="0"/>
            <w:vAlign w:val="center"/>
          </w:tcPr>
          <w:p w14:paraId="1067174C">
            <w:pPr>
              <w:keepNext w:val="0"/>
              <w:keepLines w:val="0"/>
              <w:pageBreakBefore w:val="0"/>
              <w:widowControl/>
              <w:kinsoku/>
              <w:wordWrap/>
              <w:overflowPunct/>
              <w:topLinePunct w:val="0"/>
              <w:autoSpaceDE/>
              <w:autoSpaceDN/>
              <w:bidi w:val="0"/>
              <w:adjustRightInd/>
              <w:snapToGrid/>
              <w:spacing w:line="0" w:lineRule="atLeast"/>
              <w:ind w:left="-42" w:leftChars="-20" w:right="-42" w:rightChars="-20" w:firstLine="0" w:firstLineChars="0"/>
              <w:jc w:val="center"/>
              <w:textAlignment w:val="auto"/>
              <w:rPr>
                <w:rFonts w:ascii="宋体" w:hAnsi="宋体" w:cs="宋体"/>
                <w:color w:val="auto"/>
                <w:szCs w:val="21"/>
              </w:rPr>
            </w:pPr>
          </w:p>
        </w:tc>
        <w:tc>
          <w:tcPr>
            <w:tcW w:w="1095" w:type="dxa"/>
            <w:gridSpan w:val="2"/>
            <w:shd w:val="clear" w:color="auto" w:fill="auto"/>
            <w:noWrap w:val="0"/>
            <w:vAlign w:val="center"/>
          </w:tcPr>
          <w:p w14:paraId="0FD901B1">
            <w:pPr>
              <w:keepNext w:val="0"/>
              <w:keepLines w:val="0"/>
              <w:pageBreakBefore w:val="0"/>
              <w:widowControl/>
              <w:kinsoku/>
              <w:wordWrap/>
              <w:overflowPunct/>
              <w:topLinePunct w:val="0"/>
              <w:autoSpaceDE/>
              <w:autoSpaceDN/>
              <w:bidi w:val="0"/>
              <w:adjustRightInd/>
              <w:snapToGrid/>
              <w:spacing w:line="0" w:lineRule="atLeast"/>
              <w:ind w:left="-42" w:leftChars="-20" w:right="-42" w:rightChars="-20" w:firstLine="0" w:firstLineChars="0"/>
              <w:jc w:val="center"/>
              <w:textAlignment w:val="auto"/>
              <w:rPr>
                <w:rFonts w:ascii="宋体" w:hAnsi="宋体" w:cs="宋体"/>
                <w:color w:val="auto"/>
                <w:szCs w:val="21"/>
              </w:rPr>
            </w:pPr>
          </w:p>
        </w:tc>
        <w:tc>
          <w:tcPr>
            <w:tcW w:w="1113" w:type="dxa"/>
            <w:shd w:val="clear" w:color="auto" w:fill="auto"/>
            <w:noWrap w:val="0"/>
            <w:vAlign w:val="center"/>
          </w:tcPr>
          <w:p w14:paraId="23F73F89">
            <w:pPr>
              <w:keepNext w:val="0"/>
              <w:keepLines w:val="0"/>
              <w:pageBreakBefore w:val="0"/>
              <w:widowControl/>
              <w:kinsoku/>
              <w:wordWrap/>
              <w:overflowPunct/>
              <w:topLinePunct w:val="0"/>
              <w:autoSpaceDE/>
              <w:autoSpaceDN/>
              <w:bidi w:val="0"/>
              <w:adjustRightInd/>
              <w:snapToGrid/>
              <w:spacing w:line="0" w:lineRule="atLeast"/>
              <w:ind w:left="-42" w:leftChars="-20" w:right="-42" w:rightChars="-20" w:firstLine="0" w:firstLineChars="0"/>
              <w:jc w:val="center"/>
              <w:textAlignment w:val="auto"/>
              <w:rPr>
                <w:rFonts w:hint="eastAsia" w:ascii="宋体" w:hAnsi="宋体" w:cs="宋体"/>
                <w:color w:val="auto"/>
                <w:szCs w:val="21"/>
              </w:rPr>
            </w:pPr>
          </w:p>
        </w:tc>
      </w:tr>
      <w:tr w14:paraId="6A8BB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97" w:hRule="atLeast"/>
          <w:jc w:val="center"/>
        </w:trPr>
        <w:tc>
          <w:tcPr>
            <w:tcW w:w="9362" w:type="dxa"/>
            <w:gridSpan w:val="9"/>
            <w:shd w:val="clear" w:color="auto" w:fill="auto"/>
            <w:noWrap w:val="0"/>
            <w:vAlign w:val="center"/>
          </w:tcPr>
          <w:p w14:paraId="4EA6D15F">
            <w:pPr>
              <w:keepNext w:val="0"/>
              <w:keepLines w:val="0"/>
              <w:pageBreakBefore w:val="0"/>
              <w:widowControl/>
              <w:kinsoku/>
              <w:wordWrap/>
              <w:overflowPunct/>
              <w:topLinePunct w:val="0"/>
              <w:autoSpaceDE/>
              <w:autoSpaceDN/>
              <w:bidi w:val="0"/>
              <w:adjustRightInd/>
              <w:snapToGrid/>
              <w:spacing w:line="0" w:lineRule="atLeast"/>
              <w:ind w:left="-42" w:leftChars="-20" w:right="-42" w:rightChars="-20" w:firstLine="0" w:firstLineChars="0"/>
              <w:textAlignment w:val="auto"/>
              <w:rPr>
                <w:rFonts w:ascii="宋体" w:hAnsi="宋体" w:cs="宋体"/>
                <w:b/>
                <w:color w:val="auto"/>
                <w:szCs w:val="21"/>
              </w:rPr>
            </w:pPr>
            <w:r>
              <w:rPr>
                <w:rFonts w:hint="eastAsia" w:ascii="宋体" w:hAnsi="宋体" w:cs="宋体"/>
                <w:b/>
                <w:bCs/>
                <w:color w:val="auto"/>
                <w:sz w:val="24"/>
              </w:rPr>
              <w:t>合计：￥</w:t>
            </w:r>
            <w:r>
              <w:rPr>
                <w:rFonts w:hint="eastAsia" w:ascii="宋体" w:hAnsi="宋体" w:cs="宋体"/>
                <w:b/>
                <w:bCs/>
                <w:color w:val="auto"/>
                <w:sz w:val="24"/>
                <w:u w:val="single"/>
              </w:rPr>
              <w:t xml:space="preserve">             元   </w:t>
            </w:r>
            <w:r>
              <w:rPr>
                <w:rFonts w:hint="eastAsia" w:ascii="宋体" w:hAnsi="宋体" w:cs="宋体"/>
                <w:b/>
                <w:bCs/>
                <w:color w:val="auto"/>
                <w:sz w:val="24"/>
              </w:rPr>
              <w:t>，人民币大写：</w:t>
            </w:r>
            <w:r>
              <w:rPr>
                <w:rFonts w:hint="eastAsia" w:ascii="宋体" w:hAnsi="宋体" w:cs="宋体"/>
                <w:b/>
                <w:bCs/>
                <w:color w:val="auto"/>
                <w:sz w:val="24"/>
                <w:u w:val="single"/>
              </w:rPr>
              <w:t xml:space="preserve">                  </w:t>
            </w:r>
            <w:r>
              <w:rPr>
                <w:rFonts w:hint="eastAsia" w:ascii="宋体" w:hAnsi="宋体" w:cs="宋体"/>
                <w:b/>
                <w:bCs/>
                <w:color w:val="auto"/>
                <w:sz w:val="24"/>
              </w:rPr>
              <w:t>元整</w:t>
            </w:r>
          </w:p>
        </w:tc>
      </w:tr>
    </w:tbl>
    <w:p w14:paraId="3B17D64D">
      <w:pPr>
        <w:spacing w:line="360" w:lineRule="auto"/>
        <w:rPr>
          <w:rFonts w:hint="eastAsia" w:ascii="宋体" w:hAnsi="宋体"/>
          <w:color w:val="auto"/>
          <w:sz w:val="24"/>
        </w:rPr>
      </w:pPr>
      <w:r>
        <w:rPr>
          <w:rFonts w:hint="eastAsia" w:ascii="宋体" w:hAnsi="宋体"/>
          <w:color w:val="auto"/>
          <w:sz w:val="24"/>
        </w:rPr>
        <w:t>此价格为合同执行不变价，不因国家政策变化而变化，该价款包括了货物及与之配套的设计、制造、正版软件、检验、包装、运输、保险、税费以及安装、组织验收、培训、技术服务(包括技术资料、图纸提供等)、质保期服务等全部价款，除此之外，甲方不再向乙方支付其他任何费用。</w:t>
      </w:r>
    </w:p>
    <w:p w14:paraId="7F62F218">
      <w:pPr>
        <w:spacing w:line="360" w:lineRule="auto"/>
        <w:rPr>
          <w:rFonts w:hint="eastAsia" w:ascii="宋体" w:hAnsi="宋体"/>
          <w:color w:val="auto"/>
          <w:sz w:val="24"/>
        </w:rPr>
      </w:pPr>
    </w:p>
    <w:p w14:paraId="17FE5249">
      <w:pPr>
        <w:spacing w:line="360" w:lineRule="auto"/>
        <w:ind w:firstLine="480"/>
        <w:rPr>
          <w:rFonts w:hint="eastAsia" w:ascii="宋体" w:hAnsi="宋体"/>
          <w:color w:val="auto"/>
          <w:sz w:val="24"/>
        </w:rPr>
      </w:pPr>
      <w:r>
        <w:rPr>
          <w:rFonts w:hint="eastAsia" w:ascii="宋体" w:hAnsi="宋体"/>
          <w:color w:val="auto"/>
          <w:sz w:val="24"/>
        </w:rPr>
        <w:t>乙方所供货物的技术参数严格按照</w:t>
      </w:r>
      <w:r>
        <w:rPr>
          <w:rFonts w:hint="eastAsia" w:ascii="宋体" w:hAnsi="宋体"/>
          <w:color w:val="auto"/>
          <w:sz w:val="24"/>
          <w:lang w:eastAsia="zh-CN"/>
        </w:rPr>
        <w:t>武汉市东西湖区吴家山第一小学</w:t>
      </w:r>
      <w:r>
        <w:rPr>
          <w:rFonts w:hint="eastAsia" w:ascii="宋体" w:hAnsi="宋体"/>
          <w:color w:val="auto"/>
          <w:sz w:val="24"/>
          <w:u w:val="single"/>
        </w:rPr>
        <w:t xml:space="preserve">            </w:t>
      </w:r>
      <w:r>
        <w:rPr>
          <w:rFonts w:hint="eastAsia" w:ascii="宋体" w:hAnsi="宋体"/>
          <w:color w:val="auto"/>
          <w:sz w:val="24"/>
        </w:rPr>
        <w:sym w:font="Wingdings 2" w:char="00A3"/>
      </w:r>
      <w:r>
        <w:rPr>
          <w:rFonts w:hint="eastAsia" w:ascii="宋体" w:hAnsi="宋体"/>
          <w:color w:val="auto"/>
          <w:sz w:val="24"/>
        </w:rPr>
        <w:t>公开招标</w:t>
      </w:r>
      <w:r>
        <w:rPr>
          <w:rFonts w:hint="eastAsia" w:ascii="宋体" w:hAnsi="宋体"/>
          <w:color w:val="auto"/>
          <w:sz w:val="24"/>
        </w:rPr>
        <w:sym w:font="Wingdings 2" w:char="00A3"/>
      </w:r>
      <w:r>
        <w:rPr>
          <w:rFonts w:hint="eastAsia" w:ascii="宋体" w:hAnsi="宋体"/>
          <w:color w:val="auto"/>
          <w:sz w:val="24"/>
        </w:rPr>
        <w:t>竞争性谈判</w:t>
      </w:r>
      <w:r>
        <w:rPr>
          <w:rFonts w:hint="eastAsia" w:ascii="宋体" w:hAnsi="宋体"/>
          <w:color w:val="auto"/>
          <w:sz w:val="24"/>
        </w:rPr>
        <w:sym w:font="Wingdings 2" w:char="00A3"/>
      </w:r>
      <w:r>
        <w:rPr>
          <w:rFonts w:hint="eastAsia" w:ascii="宋体" w:hAnsi="宋体"/>
          <w:color w:val="auto"/>
          <w:sz w:val="24"/>
        </w:rPr>
        <w:t>竞争性磋商</w:t>
      </w:r>
      <w:r>
        <w:rPr>
          <w:rFonts w:hint="eastAsia" w:ascii="宋体" w:hAnsi="宋体"/>
          <w:color w:val="auto"/>
          <w:sz w:val="24"/>
        </w:rPr>
        <w:sym w:font="Wingdings 2" w:char="00A3"/>
      </w:r>
      <w:r>
        <w:rPr>
          <w:rFonts w:hint="eastAsia" w:ascii="宋体" w:hAnsi="宋体"/>
          <w:color w:val="auto"/>
          <w:sz w:val="24"/>
        </w:rPr>
        <w:t>校内自主招标</w:t>
      </w:r>
      <w:r>
        <w:rPr>
          <w:rFonts w:hint="eastAsia" w:ascii="宋体" w:hAnsi="宋体"/>
          <w:color w:val="auto"/>
          <w:sz w:val="24"/>
        </w:rPr>
        <w:sym w:font="Wingdings 2" w:char="00A3"/>
      </w:r>
      <w:r>
        <w:rPr>
          <w:rFonts w:hint="eastAsia" w:ascii="宋体" w:hAnsi="宋体"/>
          <w:color w:val="auto"/>
          <w:sz w:val="24"/>
        </w:rPr>
        <w:t>校内询价采购项目采购项目【招标采购文件编号：</w:t>
      </w:r>
      <w:r>
        <w:rPr>
          <w:rFonts w:hint="eastAsia" w:ascii="宋体" w:hAnsi="宋体"/>
          <w:color w:val="auto"/>
          <w:sz w:val="24"/>
          <w:u w:val="single"/>
        </w:rPr>
        <w:t xml:space="preserve">             </w:t>
      </w:r>
      <w:r>
        <w:rPr>
          <w:rFonts w:hint="eastAsia" w:ascii="宋体" w:hAnsi="宋体"/>
          <w:color w:val="auto"/>
          <w:sz w:val="24"/>
        </w:rPr>
        <w:t>，政府采购管理部门备案编号：</w:t>
      </w:r>
      <w:r>
        <w:rPr>
          <w:rFonts w:hint="eastAsia" w:ascii="宋体" w:hAnsi="宋体"/>
          <w:color w:val="auto"/>
          <w:sz w:val="24"/>
          <w:u w:val="single"/>
        </w:rPr>
        <w:t xml:space="preserve">          </w:t>
      </w:r>
      <w:r>
        <w:rPr>
          <w:rFonts w:hint="eastAsia" w:ascii="宋体" w:hAnsi="宋体"/>
          <w:color w:val="auto"/>
          <w:sz w:val="24"/>
        </w:rPr>
        <w:t>】招标结果执行。</w:t>
      </w:r>
    </w:p>
    <w:p w14:paraId="3FC2B483">
      <w:pPr>
        <w:spacing w:line="360" w:lineRule="auto"/>
        <w:ind w:firstLine="480"/>
        <w:rPr>
          <w:rFonts w:hint="eastAsia" w:ascii="宋体" w:hAnsi="宋体"/>
          <w:color w:val="auto"/>
          <w:sz w:val="24"/>
        </w:rPr>
      </w:pPr>
    </w:p>
    <w:p w14:paraId="4E068EBC">
      <w:pPr>
        <w:rPr>
          <w:rFonts w:hint="eastAsia" w:ascii="黑体" w:hAnsi="黑体" w:eastAsia="黑体" w:cs="黑体"/>
          <w:b/>
          <w:color w:val="auto"/>
          <w:sz w:val="24"/>
          <w:szCs w:val="36"/>
        </w:rPr>
      </w:pPr>
      <w:r>
        <w:rPr>
          <w:rFonts w:hint="eastAsia" w:ascii="黑体" w:hAnsi="黑体" w:eastAsia="黑体" w:cs="黑体"/>
          <w:b/>
          <w:color w:val="auto"/>
          <w:sz w:val="24"/>
          <w:szCs w:val="36"/>
        </w:rPr>
        <w:t>第二条、货物质量要求及供方对质量负责的条件：</w:t>
      </w:r>
    </w:p>
    <w:p w14:paraId="224C0636">
      <w:pPr>
        <w:topLinePunct/>
        <w:spacing w:line="312" w:lineRule="auto"/>
        <w:ind w:firstLine="480" w:firstLineChars="200"/>
        <w:rPr>
          <w:rFonts w:hint="eastAsia" w:ascii="宋体" w:hAnsi="宋体"/>
          <w:color w:val="auto"/>
          <w:sz w:val="24"/>
        </w:rPr>
      </w:pPr>
      <w:r>
        <w:rPr>
          <w:rFonts w:hint="eastAsia" w:ascii="宋体" w:hAnsi="宋体"/>
          <w:color w:val="auto"/>
          <w:sz w:val="24"/>
        </w:rPr>
        <w:t>1.乙方出售的货物必须符合中华人民共和国国家安全环保标准、产品质量标准以及该产品的出厂标准；还应符合国家和湖北省、武汉市、东西湖区的有关规定。如果甲方专门选择了相关质量标准，则应优先达到甲方要求的标准。</w:t>
      </w:r>
    </w:p>
    <w:p w14:paraId="74C30589">
      <w:pPr>
        <w:topLinePunct/>
        <w:spacing w:line="312" w:lineRule="auto"/>
        <w:ind w:firstLine="480" w:firstLineChars="200"/>
        <w:rPr>
          <w:rFonts w:hint="eastAsia" w:ascii="宋体" w:hAnsi="宋体"/>
          <w:color w:val="auto"/>
          <w:sz w:val="24"/>
        </w:rPr>
      </w:pPr>
      <w:r>
        <w:rPr>
          <w:rFonts w:hint="eastAsia" w:ascii="宋体" w:hAnsi="宋体"/>
          <w:color w:val="auto"/>
          <w:sz w:val="24"/>
        </w:rPr>
        <w:t>2.供方提供的货物必须是全新的原装货物，表面无划伤、无碰撞。合同范围内全部货物的包装与标志、质量应符合原厂家的标准规定。如发生货物错发、缺件等由乙方负责在7个工作日内按照合同规定的货物型号、规格、数量无偿解决；</w:t>
      </w:r>
    </w:p>
    <w:p w14:paraId="508F6E6B">
      <w:pPr>
        <w:topLinePunct/>
        <w:spacing w:line="312" w:lineRule="auto"/>
        <w:ind w:firstLine="480" w:firstLineChars="200"/>
        <w:rPr>
          <w:rFonts w:hint="eastAsia" w:ascii="宋体" w:hAnsi="宋体"/>
          <w:color w:val="auto"/>
          <w:sz w:val="24"/>
        </w:rPr>
      </w:pPr>
      <w:r>
        <w:rPr>
          <w:rFonts w:hint="eastAsia" w:ascii="宋体" w:hAnsi="宋体"/>
          <w:color w:val="auto"/>
          <w:sz w:val="24"/>
        </w:rPr>
        <w:t>3.以甲方签署的货物验收单的日期为货物交货日期；</w:t>
      </w:r>
    </w:p>
    <w:p w14:paraId="50ABF0E1">
      <w:pPr>
        <w:topLinePunct/>
        <w:spacing w:line="312" w:lineRule="auto"/>
        <w:ind w:firstLine="480" w:firstLineChars="200"/>
        <w:rPr>
          <w:rFonts w:hint="eastAsia" w:ascii="宋体" w:hAnsi="宋体"/>
          <w:color w:val="auto"/>
          <w:sz w:val="24"/>
        </w:rPr>
      </w:pPr>
      <w:r>
        <w:rPr>
          <w:rFonts w:hint="eastAsia" w:ascii="宋体" w:hAnsi="宋体"/>
          <w:color w:val="auto"/>
          <w:sz w:val="24"/>
        </w:rPr>
        <w:t>4.乙方根据甲方要求免费安装、调试完成所有施工内容，费用乙方承担；</w:t>
      </w:r>
    </w:p>
    <w:p w14:paraId="0AAA941C">
      <w:pPr>
        <w:spacing w:line="312" w:lineRule="auto"/>
        <w:ind w:firstLine="480" w:firstLineChars="200"/>
        <w:rPr>
          <w:color w:val="auto"/>
        </w:rPr>
      </w:pPr>
      <w:r>
        <w:rPr>
          <w:rFonts w:hint="eastAsia" w:hAnsi="宋体"/>
          <w:color w:val="auto"/>
          <w:sz w:val="24"/>
        </w:rPr>
        <w:t>5</w:t>
      </w:r>
      <w:r>
        <w:rPr>
          <w:rFonts w:hint="eastAsia" w:ascii="宋体" w:hAnsi="宋体"/>
          <w:color w:val="auto"/>
          <w:sz w:val="24"/>
        </w:rPr>
        <w:t>.</w:t>
      </w:r>
      <w:r>
        <w:rPr>
          <w:rFonts w:hint="eastAsia" w:hAnsi="宋体"/>
          <w:color w:val="auto"/>
          <w:sz w:val="24"/>
        </w:rPr>
        <w:t>乙方提供的全部设备及附带的软件、技术服务等不得侵犯他人的知识产权。</w:t>
      </w:r>
      <w:r>
        <w:rPr>
          <w:rFonts w:hint="eastAsia" w:ascii="宋体" w:hAnsi="宋体" w:cs="宋体"/>
          <w:color w:val="auto"/>
          <w:sz w:val="24"/>
        </w:rPr>
        <w:t>乙方保证，甲方在使用该货物或者货物的任何一部分时，免受第三方提出的侵犯其专利权、商标权或其他知识产权的起诉，</w:t>
      </w:r>
      <w:r>
        <w:rPr>
          <w:rFonts w:hint="eastAsia" w:hAnsi="宋体"/>
          <w:color w:val="auto"/>
          <w:sz w:val="24"/>
        </w:rPr>
        <w:t>因乙方侵权造成的法律责任全部由乙方自行承担。</w:t>
      </w:r>
    </w:p>
    <w:p w14:paraId="4AC288CA">
      <w:pPr>
        <w:topLinePunct/>
        <w:spacing w:line="312" w:lineRule="auto"/>
        <w:ind w:left="3" w:firstLine="516" w:firstLineChars="215"/>
        <w:rPr>
          <w:rFonts w:hint="eastAsia" w:ascii="宋体" w:hAnsi="宋体"/>
          <w:color w:val="auto"/>
          <w:sz w:val="24"/>
        </w:rPr>
      </w:pPr>
      <w:r>
        <w:rPr>
          <w:rFonts w:hint="eastAsia" w:ascii="宋体" w:hAnsi="宋体"/>
          <w:color w:val="auto"/>
          <w:sz w:val="24"/>
        </w:rPr>
        <w:t>6.乙所提供的货物，涉及定制开发的软件在交付时应包括源代码，且在质保期内甲方有相关平台对接需求时须无条件免费配合。</w:t>
      </w:r>
    </w:p>
    <w:p w14:paraId="695F51CA">
      <w:pPr>
        <w:topLinePunct/>
        <w:spacing w:line="312" w:lineRule="auto"/>
        <w:ind w:left="3" w:firstLine="516" w:firstLineChars="215"/>
        <w:rPr>
          <w:rFonts w:hint="eastAsia" w:ascii="宋体" w:hAnsi="宋体"/>
          <w:color w:val="auto"/>
          <w:sz w:val="24"/>
        </w:rPr>
      </w:pPr>
      <w:r>
        <w:rPr>
          <w:rFonts w:hint="eastAsia" w:ascii="宋体" w:hAnsi="宋体"/>
          <w:color w:val="auto"/>
          <w:sz w:val="24"/>
        </w:rPr>
        <w:t>7.乙所提供的货物涉及的软件部分，涉及安全问题时，无论是否在质保期内，乙方必须免费无条件修复。</w:t>
      </w:r>
    </w:p>
    <w:p w14:paraId="2DCFA3D0">
      <w:pPr>
        <w:spacing w:line="312" w:lineRule="auto"/>
        <w:rPr>
          <w:rFonts w:hint="eastAsia" w:ascii="黑体" w:hAnsi="黑体" w:eastAsia="黑体" w:cs="黑体"/>
          <w:b/>
          <w:color w:val="auto"/>
          <w:sz w:val="24"/>
          <w:szCs w:val="36"/>
        </w:rPr>
      </w:pPr>
      <w:r>
        <w:rPr>
          <w:rFonts w:hint="eastAsia" w:ascii="黑体" w:hAnsi="黑体" w:eastAsia="黑体" w:cs="黑体"/>
          <w:b/>
          <w:color w:val="auto"/>
          <w:sz w:val="24"/>
          <w:szCs w:val="36"/>
        </w:rPr>
        <w:t>第三条、合同的范围、交货时间、地点及方式，货物验收</w:t>
      </w:r>
    </w:p>
    <w:p w14:paraId="2CFC1151">
      <w:pPr>
        <w:spacing w:line="312" w:lineRule="auto"/>
        <w:ind w:firstLine="480" w:firstLineChars="200"/>
        <w:rPr>
          <w:rFonts w:hint="eastAsia" w:ascii="宋体" w:hAnsi="宋体"/>
          <w:color w:val="auto"/>
          <w:sz w:val="24"/>
        </w:rPr>
      </w:pPr>
      <w:r>
        <w:rPr>
          <w:rFonts w:hint="eastAsia" w:ascii="宋体" w:hAnsi="宋体"/>
          <w:color w:val="auto"/>
          <w:sz w:val="24"/>
        </w:rPr>
        <w:t>1.合同的范围：仅指</w:t>
      </w:r>
      <w:r>
        <w:rPr>
          <w:rFonts w:hint="eastAsia" w:ascii="宋体" w:hAnsi="宋体"/>
          <w:color w:val="auto"/>
          <w:sz w:val="24"/>
          <w:lang w:eastAsia="zh-CN"/>
        </w:rPr>
        <w:t>武汉市东西湖区吴家山第一小学</w:t>
      </w:r>
      <w:r>
        <w:rPr>
          <w:rFonts w:hint="eastAsia" w:ascii="宋体" w:hAnsi="宋体"/>
          <w:color w:val="auto"/>
          <w:sz w:val="24"/>
          <w:u w:val="single"/>
        </w:rPr>
        <w:t xml:space="preserve">       </w:t>
      </w:r>
      <w:r>
        <w:rPr>
          <w:rFonts w:hint="eastAsia" w:ascii="宋体" w:hAnsi="宋体"/>
          <w:color w:val="auto"/>
          <w:sz w:val="24"/>
        </w:rPr>
        <w:sym w:font="Wingdings 2" w:char="00A3"/>
      </w:r>
      <w:r>
        <w:rPr>
          <w:rFonts w:hint="eastAsia" w:ascii="宋体" w:hAnsi="宋体"/>
          <w:color w:val="auto"/>
          <w:sz w:val="24"/>
        </w:rPr>
        <w:t>公开招标</w:t>
      </w:r>
      <w:r>
        <w:rPr>
          <w:rFonts w:hint="eastAsia" w:ascii="宋体" w:hAnsi="宋体"/>
          <w:color w:val="auto"/>
          <w:sz w:val="24"/>
        </w:rPr>
        <w:sym w:font="Wingdings 2" w:char="00A3"/>
      </w:r>
      <w:r>
        <w:rPr>
          <w:rFonts w:hint="eastAsia" w:ascii="宋体" w:hAnsi="宋体"/>
          <w:color w:val="auto"/>
          <w:sz w:val="24"/>
        </w:rPr>
        <w:t>竞争性谈判</w:t>
      </w:r>
      <w:r>
        <w:rPr>
          <w:rFonts w:hint="eastAsia" w:ascii="宋体" w:hAnsi="宋体"/>
          <w:color w:val="auto"/>
          <w:sz w:val="24"/>
        </w:rPr>
        <w:sym w:font="Wingdings 2" w:char="00A3"/>
      </w:r>
      <w:r>
        <w:rPr>
          <w:rFonts w:hint="eastAsia" w:ascii="宋体" w:hAnsi="宋体"/>
          <w:color w:val="auto"/>
          <w:sz w:val="24"/>
        </w:rPr>
        <w:t>竞争性磋商</w:t>
      </w:r>
      <w:r>
        <w:rPr>
          <w:rFonts w:hint="eastAsia" w:ascii="宋体" w:hAnsi="宋体"/>
          <w:color w:val="auto"/>
          <w:sz w:val="24"/>
        </w:rPr>
        <w:sym w:font="Wingdings 2" w:char="00A3"/>
      </w:r>
      <w:r>
        <w:rPr>
          <w:rFonts w:hint="eastAsia" w:ascii="宋体" w:hAnsi="宋体"/>
          <w:color w:val="auto"/>
          <w:sz w:val="24"/>
        </w:rPr>
        <w:t>校内自主招标</w:t>
      </w:r>
      <w:r>
        <w:rPr>
          <w:rFonts w:hint="eastAsia" w:ascii="宋体" w:hAnsi="宋体"/>
          <w:color w:val="auto"/>
          <w:sz w:val="24"/>
        </w:rPr>
        <w:sym w:font="Wingdings 2" w:char="00A3"/>
      </w:r>
      <w:r>
        <w:rPr>
          <w:rFonts w:hint="eastAsia" w:ascii="宋体" w:hAnsi="宋体"/>
          <w:color w:val="auto"/>
          <w:sz w:val="24"/>
        </w:rPr>
        <w:t>校内询价采购项目【招标采购文件编号：</w:t>
      </w:r>
      <w:r>
        <w:rPr>
          <w:rFonts w:hint="eastAsia" w:ascii="宋体" w:hAnsi="宋体"/>
          <w:color w:val="auto"/>
          <w:sz w:val="24"/>
          <w:u w:val="single"/>
        </w:rPr>
        <w:t xml:space="preserve">         </w:t>
      </w:r>
      <w:r>
        <w:rPr>
          <w:rFonts w:hint="eastAsia" w:ascii="宋体" w:hAnsi="宋体"/>
          <w:color w:val="auto"/>
          <w:sz w:val="24"/>
        </w:rPr>
        <w:t>，政府采购管理部门备案编号：</w:t>
      </w:r>
      <w:r>
        <w:rPr>
          <w:rFonts w:hint="eastAsia" w:ascii="宋体" w:hAnsi="宋体"/>
          <w:color w:val="auto"/>
          <w:sz w:val="24"/>
          <w:u w:val="single"/>
        </w:rPr>
        <w:t xml:space="preserve">              </w:t>
      </w:r>
      <w:r>
        <w:rPr>
          <w:rFonts w:hint="eastAsia" w:ascii="宋体" w:hAnsi="宋体"/>
          <w:color w:val="auto"/>
          <w:sz w:val="24"/>
        </w:rPr>
        <w:t>】招标结果。</w:t>
      </w:r>
    </w:p>
    <w:p w14:paraId="222CD768">
      <w:pPr>
        <w:spacing w:line="312" w:lineRule="auto"/>
        <w:ind w:firstLine="480" w:firstLineChars="200"/>
        <w:rPr>
          <w:rFonts w:hint="eastAsia" w:ascii="宋体" w:hAnsi="宋体"/>
          <w:color w:val="auto"/>
          <w:sz w:val="24"/>
        </w:rPr>
      </w:pPr>
      <w:r>
        <w:rPr>
          <w:rFonts w:hint="eastAsia" w:ascii="宋体" w:hAnsi="宋体"/>
          <w:color w:val="auto"/>
          <w:sz w:val="24"/>
        </w:rPr>
        <w:t>2.交付时间：本合同生效后</w:t>
      </w:r>
      <w:r>
        <w:rPr>
          <w:rFonts w:hint="eastAsia" w:ascii="宋体" w:hAnsi="宋体"/>
          <w:color w:val="auto"/>
          <w:sz w:val="24"/>
          <w:u w:val="single"/>
        </w:rPr>
        <w:t xml:space="preserve">     </w:t>
      </w:r>
      <w:r>
        <w:rPr>
          <w:rFonts w:hint="eastAsia" w:ascii="宋体" w:hAnsi="宋体"/>
          <w:color w:val="auto"/>
          <w:sz w:val="24"/>
        </w:rPr>
        <w:t>个</w:t>
      </w:r>
      <w:r>
        <w:rPr>
          <w:rFonts w:hint="eastAsia" w:ascii="宋体" w:hAnsi="宋体"/>
          <w:color w:val="auto"/>
          <w:sz w:val="24"/>
        </w:rPr>
        <w:sym w:font="Wingdings 2" w:char="00A3"/>
      </w:r>
      <w:r>
        <w:rPr>
          <w:rFonts w:hint="eastAsia" w:ascii="宋体" w:hAnsi="宋体"/>
          <w:color w:val="auto"/>
          <w:sz w:val="24"/>
        </w:rPr>
        <w:t>日历日</w:t>
      </w:r>
      <w:r>
        <w:rPr>
          <w:rFonts w:hint="eastAsia" w:ascii="宋体" w:hAnsi="宋体"/>
          <w:color w:val="auto"/>
          <w:sz w:val="24"/>
        </w:rPr>
        <w:sym w:font="Wingdings 2" w:char="00A3"/>
      </w:r>
      <w:r>
        <w:rPr>
          <w:rFonts w:hint="eastAsia" w:ascii="宋体" w:hAnsi="宋体"/>
          <w:color w:val="auto"/>
          <w:sz w:val="24"/>
        </w:rPr>
        <w:t>工作日内交付全部货物。</w:t>
      </w:r>
    </w:p>
    <w:p w14:paraId="68238B4A">
      <w:pPr>
        <w:spacing w:line="312" w:lineRule="auto"/>
        <w:ind w:firstLine="480" w:firstLineChars="200"/>
        <w:rPr>
          <w:rFonts w:hint="eastAsia" w:ascii="宋体" w:hAnsi="宋体"/>
          <w:color w:val="auto"/>
          <w:sz w:val="24"/>
        </w:rPr>
      </w:pPr>
      <w:r>
        <w:rPr>
          <w:rFonts w:hint="eastAsia" w:ascii="宋体" w:hAnsi="宋体"/>
          <w:color w:val="auto"/>
          <w:sz w:val="24"/>
        </w:rPr>
        <w:t>3.交付地点：甲方指定地点。</w:t>
      </w:r>
    </w:p>
    <w:p w14:paraId="2FD7AA5D">
      <w:pPr>
        <w:spacing w:line="312" w:lineRule="auto"/>
        <w:ind w:firstLine="480" w:firstLineChars="200"/>
        <w:rPr>
          <w:rFonts w:hint="eastAsia" w:ascii="宋体" w:hAnsi="宋体"/>
          <w:color w:val="auto"/>
          <w:sz w:val="24"/>
        </w:rPr>
      </w:pPr>
      <w:r>
        <w:rPr>
          <w:rFonts w:hint="eastAsia" w:ascii="宋体" w:hAnsi="宋体"/>
          <w:color w:val="auto"/>
          <w:sz w:val="24"/>
        </w:rPr>
        <w:t>4.交付方式：乙方免费送至甲方指定地点并安装调试完成无误。</w:t>
      </w:r>
    </w:p>
    <w:p w14:paraId="3991AC26">
      <w:pPr>
        <w:spacing w:line="312" w:lineRule="auto"/>
        <w:ind w:firstLine="480" w:firstLineChars="200"/>
        <w:rPr>
          <w:rFonts w:hint="eastAsia" w:ascii="宋体" w:hAnsi="宋体"/>
          <w:color w:val="auto"/>
          <w:sz w:val="24"/>
        </w:rPr>
      </w:pPr>
      <w:r>
        <w:rPr>
          <w:rFonts w:hint="eastAsia" w:ascii="宋体" w:hAnsi="宋体"/>
          <w:color w:val="auto"/>
          <w:sz w:val="24"/>
        </w:rPr>
        <w:t>5.货物验收：</w:t>
      </w:r>
    </w:p>
    <w:p w14:paraId="4A9222E7">
      <w:pPr>
        <w:spacing w:line="312" w:lineRule="auto"/>
        <w:ind w:firstLine="480" w:firstLineChars="200"/>
        <w:rPr>
          <w:rFonts w:hint="eastAsia" w:ascii="宋体" w:hAnsi="宋体"/>
          <w:color w:val="auto"/>
          <w:sz w:val="24"/>
        </w:rPr>
      </w:pPr>
      <w:r>
        <w:rPr>
          <w:rFonts w:hint="eastAsia" w:ascii="宋体" w:hAnsi="宋体"/>
          <w:color w:val="auto"/>
          <w:sz w:val="24"/>
        </w:rPr>
        <w:t>（1）乙方交付前应对货物作出全面检查和产品资料的整理，作为甲方收货验收和使用的技术条件的依据之一。</w:t>
      </w:r>
    </w:p>
    <w:p w14:paraId="5930795C">
      <w:pPr>
        <w:spacing w:line="312" w:lineRule="auto"/>
        <w:ind w:firstLine="480" w:firstLineChars="200"/>
        <w:rPr>
          <w:rFonts w:hint="eastAsia" w:ascii="宋体" w:hAnsi="宋体"/>
          <w:color w:val="auto"/>
          <w:sz w:val="24"/>
        </w:rPr>
      </w:pPr>
      <w:r>
        <w:rPr>
          <w:rFonts w:hint="eastAsia" w:ascii="宋体" w:hAnsi="宋体"/>
          <w:color w:val="auto"/>
          <w:sz w:val="24"/>
        </w:rPr>
        <w:t>（2）甲方应认真组织验收，在验收时发现质量问题或是数量、相关技术规格与招标文件和投标文件不符的，应及时向乙方提出并要求乙方解决，同时向采购代理机构反映。</w:t>
      </w:r>
    </w:p>
    <w:p w14:paraId="10884047">
      <w:pPr>
        <w:spacing w:line="312" w:lineRule="auto"/>
        <w:ind w:firstLine="480" w:firstLineChars="200"/>
        <w:rPr>
          <w:rFonts w:hint="eastAsia" w:ascii="宋体" w:hAnsi="宋体"/>
          <w:color w:val="auto"/>
          <w:sz w:val="24"/>
        </w:rPr>
      </w:pPr>
      <w:r>
        <w:rPr>
          <w:rFonts w:hint="eastAsia" w:ascii="宋体" w:hAnsi="宋体"/>
          <w:color w:val="auto"/>
          <w:sz w:val="24"/>
        </w:rPr>
        <w:t>（3）验收：</w:t>
      </w:r>
    </w:p>
    <w:p w14:paraId="5AD30856">
      <w:pPr>
        <w:spacing w:line="312" w:lineRule="auto"/>
        <w:ind w:firstLine="480" w:firstLineChars="200"/>
        <w:rPr>
          <w:rFonts w:hint="eastAsia" w:ascii="宋体" w:hAnsi="宋体" w:cs="宋体"/>
          <w:color w:val="auto"/>
          <w:sz w:val="24"/>
        </w:rPr>
      </w:pPr>
      <w:r>
        <w:rPr>
          <w:rFonts w:hint="eastAsia" w:ascii="宋体" w:hAnsi="宋体" w:cs="宋体"/>
          <w:color w:val="auto"/>
          <w:sz w:val="24"/>
        </w:rPr>
        <w:t>①到场验收。验收中发生的费用由乙方承担。此费用包括聘请开标专家现场验收发生的费用。</w:t>
      </w:r>
    </w:p>
    <w:p w14:paraId="1155BFF8">
      <w:pPr>
        <w:tabs>
          <w:tab w:val="left" w:pos="360"/>
        </w:tabs>
        <w:spacing w:line="312" w:lineRule="auto"/>
        <w:ind w:firstLine="480" w:firstLineChars="200"/>
        <w:rPr>
          <w:rFonts w:hint="eastAsia" w:ascii="宋体" w:hAnsi="宋体"/>
          <w:color w:val="auto"/>
          <w:sz w:val="24"/>
        </w:rPr>
      </w:pPr>
      <w:r>
        <w:rPr>
          <w:rFonts w:hint="eastAsia" w:ascii="宋体" w:hAnsi="宋体"/>
          <w:color w:val="auto"/>
          <w:sz w:val="24"/>
        </w:rPr>
        <w:t>②甲方严格按照招标文件所规定的技术要求进行验收。货物交付后试运行期间，乙方都要指定专门技术人员全程跟踪服务，解决出现的所有问题，对提出问题的解决时间最长不得超过三个工作日。全部货物现场开封，货物在现场安装过程中，如发生与约定不符的货物，甲方提出异议，乙方应无条件更换或补发。货物到达甲方地点后完成安装调试，经甲方及聘请的专家签字认可后即为验收合格。</w:t>
      </w:r>
    </w:p>
    <w:p w14:paraId="64F0A20D">
      <w:pPr>
        <w:tabs>
          <w:tab w:val="left" w:pos="360"/>
        </w:tabs>
        <w:spacing w:line="312" w:lineRule="auto"/>
        <w:ind w:firstLine="480" w:firstLineChars="200"/>
        <w:rPr>
          <w:rFonts w:hint="eastAsia" w:ascii="宋体" w:hAnsi="宋体"/>
          <w:color w:val="auto"/>
          <w:sz w:val="24"/>
        </w:rPr>
      </w:pPr>
    </w:p>
    <w:p w14:paraId="267A95AA">
      <w:pPr>
        <w:spacing w:line="312" w:lineRule="auto"/>
        <w:rPr>
          <w:rFonts w:hint="eastAsia" w:ascii="黑体" w:hAnsi="黑体" w:eastAsia="黑体" w:cs="黑体"/>
          <w:b/>
          <w:color w:val="auto"/>
          <w:sz w:val="24"/>
          <w:szCs w:val="36"/>
        </w:rPr>
      </w:pPr>
      <w:r>
        <w:rPr>
          <w:rFonts w:hint="eastAsia" w:ascii="黑体" w:hAnsi="黑体" w:eastAsia="黑体" w:cs="黑体"/>
          <w:b/>
          <w:color w:val="auto"/>
          <w:sz w:val="24"/>
          <w:szCs w:val="36"/>
        </w:rPr>
        <w:t>第四条、技术支持与服务</w:t>
      </w:r>
    </w:p>
    <w:p w14:paraId="72CE8A10">
      <w:pPr>
        <w:spacing w:line="312" w:lineRule="auto"/>
        <w:ind w:firstLine="480" w:firstLineChars="200"/>
        <w:rPr>
          <w:rFonts w:hint="eastAsia" w:ascii="宋体" w:hAnsi="宋体" w:cs="宋体"/>
          <w:color w:val="auto"/>
          <w:sz w:val="24"/>
        </w:rPr>
      </w:pPr>
      <w:r>
        <w:rPr>
          <w:rFonts w:hint="eastAsia" w:ascii="宋体" w:hAnsi="宋体"/>
          <w:color w:val="auto"/>
          <w:sz w:val="24"/>
        </w:rPr>
        <w:t>1.乙方应安排</w:t>
      </w:r>
      <w:r>
        <w:rPr>
          <w:rFonts w:hint="eastAsia" w:ascii="宋体" w:hAnsi="宋体" w:cs="宋体"/>
          <w:color w:val="auto"/>
          <w:sz w:val="24"/>
        </w:rPr>
        <w:t>具备丰富经验的售后工程师根据甲方的具体使用情况，提供技术支持服务，包括：</w:t>
      </w:r>
      <w:r>
        <w:rPr>
          <w:rFonts w:hint="eastAsia" w:ascii="宋体" w:hAnsi="宋体"/>
          <w:color w:val="auto"/>
          <w:sz w:val="24"/>
        </w:rPr>
        <w:t>（1）</w:t>
      </w:r>
      <w:r>
        <w:rPr>
          <w:rFonts w:hint="eastAsia" w:ascii="宋体" w:hAnsi="宋体" w:cs="宋体"/>
          <w:color w:val="auto"/>
          <w:sz w:val="24"/>
        </w:rPr>
        <w:t>电话传真咨询顾问服务；</w:t>
      </w:r>
      <w:r>
        <w:rPr>
          <w:rFonts w:hint="eastAsia" w:ascii="宋体" w:hAnsi="宋体"/>
          <w:color w:val="auto"/>
          <w:sz w:val="24"/>
        </w:rPr>
        <w:t>（2）</w:t>
      </w:r>
      <w:r>
        <w:rPr>
          <w:rFonts w:hint="eastAsia" w:ascii="宋体" w:hAnsi="宋体" w:cs="宋体"/>
          <w:color w:val="auto"/>
          <w:sz w:val="24"/>
        </w:rPr>
        <w:t>电子邮件、咨询服务；</w:t>
      </w:r>
      <w:r>
        <w:rPr>
          <w:rFonts w:hint="eastAsia" w:ascii="宋体" w:hAnsi="宋体"/>
          <w:color w:val="auto"/>
          <w:sz w:val="24"/>
        </w:rPr>
        <w:t>（3）</w:t>
      </w:r>
      <w:r>
        <w:rPr>
          <w:rFonts w:hint="eastAsia" w:ascii="宋体" w:hAnsi="宋体" w:cs="宋体"/>
          <w:color w:val="auto"/>
          <w:sz w:val="24"/>
        </w:rPr>
        <w:t>远程支持服务；</w:t>
      </w:r>
      <w:r>
        <w:rPr>
          <w:rFonts w:hint="eastAsia" w:ascii="宋体" w:hAnsi="宋体"/>
          <w:color w:val="auto"/>
          <w:sz w:val="24"/>
        </w:rPr>
        <w:t>（4）</w:t>
      </w:r>
      <w:r>
        <w:rPr>
          <w:rFonts w:hint="eastAsia" w:ascii="宋体" w:hAnsi="宋体" w:cs="宋体"/>
          <w:color w:val="auto"/>
          <w:sz w:val="24"/>
        </w:rPr>
        <w:t>现场服务。乙方有完善的服务体系，有能力提供持续的、本地化售后服务。</w:t>
      </w:r>
    </w:p>
    <w:p w14:paraId="20EC3991">
      <w:pPr>
        <w:topLinePunct/>
        <w:spacing w:line="312" w:lineRule="auto"/>
        <w:ind w:right="248" w:rightChars="118" w:firstLine="435"/>
        <w:rPr>
          <w:rFonts w:hint="eastAsia" w:ascii="宋体" w:hAnsi="宋体" w:cs="宋体"/>
          <w:color w:val="auto"/>
          <w:sz w:val="24"/>
        </w:rPr>
      </w:pPr>
      <w:r>
        <w:rPr>
          <w:rFonts w:hint="eastAsia" w:ascii="宋体" w:hAnsi="宋体" w:cs="宋体"/>
          <w:color w:val="auto"/>
          <w:sz w:val="24"/>
        </w:rPr>
        <w:t>本合同所指的货物发生故障，乙方保证</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rPr>
        <w:t>小时内排除故障，恢复产品原有的功能。</w:t>
      </w:r>
    </w:p>
    <w:p w14:paraId="70BE3D13">
      <w:pPr>
        <w:spacing w:line="312" w:lineRule="auto"/>
        <w:ind w:firstLine="480" w:firstLineChars="200"/>
        <w:rPr>
          <w:rFonts w:hint="eastAsia" w:ascii="宋体" w:hAnsi="宋体" w:cs="宋体"/>
          <w:color w:val="auto"/>
          <w:sz w:val="24"/>
        </w:rPr>
      </w:pPr>
      <w:r>
        <w:rPr>
          <w:rFonts w:hint="eastAsia" w:ascii="宋体" w:hAnsi="宋体" w:cs="宋体"/>
          <w:color w:val="auto"/>
          <w:sz w:val="24"/>
        </w:rPr>
        <w:t>2.质量保证、售后服务及故障处理</w:t>
      </w:r>
    </w:p>
    <w:p w14:paraId="221E6471">
      <w:pPr>
        <w:spacing w:line="312" w:lineRule="auto"/>
        <w:ind w:firstLine="480" w:firstLineChars="200"/>
        <w:rPr>
          <w:rFonts w:hint="eastAsia" w:ascii="宋体" w:hAnsi="宋体" w:cs="宋体"/>
          <w:color w:val="auto"/>
          <w:sz w:val="24"/>
        </w:rPr>
      </w:pPr>
      <w:r>
        <w:rPr>
          <w:rFonts w:hint="eastAsia" w:ascii="宋体" w:hAnsi="宋体" w:cs="宋体"/>
          <w:color w:val="auto"/>
          <w:sz w:val="24"/>
        </w:rPr>
        <w:t>（1）乙方应按招标文件规定的货物性能、技术要求、质量标准向甲方提供未经使用的全新产品，按厂家承诺实行“三包”。</w:t>
      </w:r>
    </w:p>
    <w:p w14:paraId="61C454AA">
      <w:pPr>
        <w:spacing w:line="312" w:lineRule="auto"/>
        <w:ind w:firstLine="480" w:firstLineChars="200"/>
        <w:rPr>
          <w:rFonts w:hint="eastAsia" w:ascii="宋体" w:hAnsi="宋体" w:cs="宋体"/>
          <w:color w:val="auto"/>
          <w:sz w:val="24"/>
        </w:rPr>
      </w:pPr>
      <w:r>
        <w:rPr>
          <w:rFonts w:hint="eastAsia" w:ascii="宋体" w:hAnsi="宋体" w:cs="宋体"/>
          <w:color w:val="auto"/>
          <w:sz w:val="24"/>
        </w:rPr>
        <w:t>（2）乙方提供本货物的质量保证期为自验收合格之日起</w:t>
      </w:r>
      <w:r>
        <w:rPr>
          <w:rFonts w:hint="eastAsia" w:ascii="宋体" w:hAnsi="宋体" w:cs="宋体"/>
          <w:color w:val="auto"/>
          <w:sz w:val="24"/>
          <w:u w:val="single"/>
        </w:rPr>
        <w:t xml:space="preserve">      </w:t>
      </w:r>
      <w:r>
        <w:rPr>
          <w:rFonts w:hint="eastAsia" w:ascii="宋体" w:hAnsi="宋体" w:cs="宋体"/>
          <w:color w:val="auto"/>
          <w:sz w:val="24"/>
        </w:rPr>
        <w:t>年。在质保期内发现因货物本身的质量问题，乙方应负责免费更换或免费修理或更换零部件，并解决因软件或技术服务原因造成的各项问题。对达不到技术要求者，根据实际情况，甲方可选择按以下办法处理：</w:t>
      </w:r>
    </w:p>
    <w:p w14:paraId="13397AF8">
      <w:pPr>
        <w:spacing w:line="312" w:lineRule="auto"/>
        <w:ind w:firstLine="480" w:firstLineChars="200"/>
        <w:rPr>
          <w:rFonts w:hint="eastAsia" w:ascii="宋体" w:hAnsi="宋体" w:cs="宋体"/>
          <w:color w:val="auto"/>
          <w:sz w:val="24"/>
        </w:rPr>
      </w:pPr>
      <w:r>
        <w:rPr>
          <w:rFonts w:hint="eastAsia" w:ascii="宋体" w:hAnsi="宋体" w:cs="宋体"/>
          <w:color w:val="auto"/>
          <w:sz w:val="24"/>
        </w:rPr>
        <w:t>①更换：由乙方承担所发生的全部费用。</w:t>
      </w:r>
    </w:p>
    <w:p w14:paraId="2DE2923F">
      <w:pPr>
        <w:spacing w:line="312" w:lineRule="auto"/>
        <w:ind w:firstLine="480" w:firstLineChars="200"/>
        <w:rPr>
          <w:rFonts w:hint="eastAsia" w:ascii="宋体" w:hAnsi="宋体" w:cs="宋体"/>
          <w:color w:val="auto"/>
          <w:sz w:val="24"/>
        </w:rPr>
      </w:pPr>
      <w:r>
        <w:rPr>
          <w:rFonts w:hint="eastAsia" w:ascii="宋体" w:hAnsi="宋体" w:cs="宋体"/>
          <w:color w:val="auto"/>
          <w:sz w:val="24"/>
        </w:rPr>
        <w:t>②贬值处理：由甲方、乙方双方合议定价。</w:t>
      </w:r>
    </w:p>
    <w:p w14:paraId="56B0B7DE">
      <w:pPr>
        <w:spacing w:line="312" w:lineRule="auto"/>
        <w:ind w:firstLine="480" w:firstLineChars="200"/>
        <w:rPr>
          <w:rFonts w:hint="eastAsia" w:ascii="宋体" w:hAnsi="宋体" w:cs="宋体"/>
          <w:color w:val="auto"/>
          <w:sz w:val="24"/>
        </w:rPr>
      </w:pPr>
      <w:r>
        <w:rPr>
          <w:rFonts w:hint="eastAsia" w:ascii="宋体" w:hAnsi="宋体" w:cs="宋体"/>
          <w:color w:val="auto"/>
          <w:sz w:val="24"/>
        </w:rPr>
        <w:t>③退货处理：乙方应退还甲方支付的该退货部分的货款，同时应承担该货物的直接费用（运输、保险、检验、货款利息及银行手续费等）。</w:t>
      </w:r>
    </w:p>
    <w:p w14:paraId="4CD5F757">
      <w:pPr>
        <w:numPr>
          <w:ilvl w:val="0"/>
          <w:numId w:val="2"/>
        </w:numPr>
        <w:spacing w:line="312" w:lineRule="auto"/>
        <w:ind w:firstLine="480" w:firstLineChars="200"/>
        <w:rPr>
          <w:rFonts w:hint="eastAsia" w:ascii="宋体" w:hAnsi="宋体" w:cs="宋体"/>
          <w:color w:val="auto"/>
          <w:sz w:val="24"/>
        </w:rPr>
      </w:pPr>
      <w:r>
        <w:rPr>
          <w:rFonts w:hint="eastAsia" w:ascii="宋体" w:hAnsi="宋体" w:cs="宋体"/>
          <w:color w:val="auto"/>
          <w:sz w:val="24"/>
        </w:rPr>
        <w:t>质保期内，乙方应对货物出现的质量及安全问题负责处理解决并承担一切费用。</w:t>
      </w:r>
    </w:p>
    <w:p w14:paraId="3755747A">
      <w:pPr>
        <w:numPr>
          <w:ilvl w:val="0"/>
          <w:numId w:val="2"/>
        </w:numPr>
        <w:spacing w:line="312" w:lineRule="auto"/>
        <w:ind w:firstLine="480" w:firstLineChars="200"/>
        <w:rPr>
          <w:rFonts w:hint="eastAsia" w:ascii="宋体" w:hAnsi="宋体" w:cs="宋体"/>
          <w:color w:val="auto"/>
          <w:sz w:val="24"/>
        </w:rPr>
      </w:pPr>
      <w:r>
        <w:rPr>
          <w:rFonts w:hint="eastAsia" w:ascii="宋体" w:hAnsi="宋体" w:cs="宋体"/>
          <w:color w:val="auto"/>
          <w:sz w:val="24"/>
        </w:rPr>
        <w:t>乙方须在质保期内应提供全部货物的免费维护，因人为因素出现的故障（或不可抗力引起的故障）不在免费维护范围内，如需要维护乙方只收货物维修的材料费。</w:t>
      </w:r>
    </w:p>
    <w:p w14:paraId="77D5E65C">
      <w:pPr>
        <w:numPr>
          <w:ilvl w:val="0"/>
          <w:numId w:val="2"/>
        </w:numPr>
        <w:spacing w:line="312" w:lineRule="auto"/>
        <w:ind w:firstLine="480" w:firstLineChars="200"/>
        <w:rPr>
          <w:rFonts w:hint="eastAsia" w:ascii="宋体" w:hAnsi="宋体" w:cs="宋体"/>
          <w:color w:val="auto"/>
          <w:sz w:val="24"/>
        </w:rPr>
      </w:pPr>
      <w:r>
        <w:rPr>
          <w:rFonts w:hint="eastAsia" w:ascii="宋体" w:hAnsi="宋体" w:cs="宋体"/>
          <w:color w:val="auto"/>
          <w:sz w:val="24"/>
        </w:rPr>
        <w:t>乙方应提供产品保修卡按产品规定保修期限及内容以及服务厂家的其它承诺条款实行保修，并提供终身维修服务卡。</w:t>
      </w:r>
    </w:p>
    <w:p w14:paraId="1FF02737">
      <w:pPr>
        <w:numPr>
          <w:ilvl w:val="0"/>
          <w:numId w:val="2"/>
        </w:numPr>
        <w:topLinePunct/>
        <w:spacing w:line="312" w:lineRule="auto"/>
        <w:ind w:right="248" w:rightChars="118" w:firstLine="480"/>
        <w:rPr>
          <w:rFonts w:hint="eastAsia" w:ascii="宋体" w:hAnsi="宋体" w:cs="宋体"/>
          <w:color w:val="auto"/>
          <w:sz w:val="24"/>
        </w:rPr>
      </w:pPr>
      <w:r>
        <w:rPr>
          <w:rFonts w:hint="eastAsia" w:ascii="宋体" w:hAnsi="宋体" w:cs="宋体"/>
          <w:color w:val="auto"/>
          <w:sz w:val="24"/>
        </w:rPr>
        <w:t>本合同所指的货物自验收合格之日起，按照约定的保修期限进行保修；对于超过保修期的货物，甲方有权自主选择除乙方之外的维修单位，如选择乙方负责维修，维修时乙方只能收部件成本费，免收人工费,免收维修费。</w:t>
      </w:r>
    </w:p>
    <w:p w14:paraId="63E52EA9">
      <w:pPr>
        <w:spacing w:line="312" w:lineRule="auto"/>
        <w:ind w:firstLine="480" w:firstLineChars="200"/>
        <w:rPr>
          <w:rFonts w:hint="eastAsia" w:ascii="宋体" w:hAnsi="宋体" w:cs="宋体"/>
          <w:color w:val="auto"/>
          <w:sz w:val="24"/>
        </w:rPr>
      </w:pPr>
      <w:r>
        <w:rPr>
          <w:rFonts w:hint="eastAsia" w:ascii="宋体" w:hAnsi="宋体" w:cs="宋体"/>
          <w:color w:val="auto"/>
          <w:sz w:val="24"/>
        </w:rPr>
        <w:t>3.乙方按照甲方的需要进行技术培训</w:t>
      </w:r>
    </w:p>
    <w:p w14:paraId="5DE19742">
      <w:pPr>
        <w:spacing w:line="312" w:lineRule="auto"/>
        <w:ind w:firstLine="480" w:firstLineChars="200"/>
        <w:rPr>
          <w:rFonts w:hint="eastAsia" w:ascii="宋体" w:hAnsi="宋体" w:cs="宋体"/>
          <w:color w:val="auto"/>
          <w:sz w:val="24"/>
        </w:rPr>
      </w:pPr>
      <w:r>
        <w:rPr>
          <w:rFonts w:hint="eastAsia" w:ascii="宋体" w:hAnsi="宋体" w:cs="宋体"/>
          <w:color w:val="auto"/>
          <w:sz w:val="24"/>
        </w:rPr>
        <w:t>乙方按照甲方的要求免费对本项目培训不少于</w:t>
      </w:r>
      <w:r>
        <w:rPr>
          <w:rFonts w:hint="eastAsia" w:ascii="宋体" w:hAnsi="宋体" w:cs="宋体"/>
          <w:color w:val="auto"/>
          <w:sz w:val="24"/>
          <w:u w:val="single"/>
        </w:rPr>
        <w:t xml:space="preserve">   </w:t>
      </w:r>
      <w:r>
        <w:rPr>
          <w:rFonts w:hint="eastAsia" w:ascii="宋体" w:hAnsi="宋体" w:cs="宋体"/>
          <w:color w:val="auto"/>
          <w:sz w:val="24"/>
        </w:rPr>
        <w:t>名专业人员。</w:t>
      </w:r>
    </w:p>
    <w:p w14:paraId="03501F8A">
      <w:pPr>
        <w:spacing w:line="312" w:lineRule="auto"/>
        <w:ind w:firstLine="480" w:firstLineChars="200"/>
        <w:rPr>
          <w:rFonts w:hint="eastAsia" w:ascii="宋体" w:hAnsi="宋体" w:cs="宋体"/>
          <w:color w:val="auto"/>
          <w:sz w:val="24"/>
        </w:rPr>
      </w:pPr>
      <w:r>
        <w:rPr>
          <w:rFonts w:hint="eastAsia" w:ascii="宋体" w:hAnsi="宋体" w:cs="宋体"/>
          <w:color w:val="auto"/>
          <w:sz w:val="24"/>
        </w:rPr>
        <w:t>乙方负责系统安装和调试以及操作人员培训，并制定详细的培训计划，使操作人员能独立进行管理、操作、维护和故障处理等工作，做好相关记录及技术文档收集整理，待验收合格后移交给甲方。</w:t>
      </w:r>
    </w:p>
    <w:p w14:paraId="229681F2">
      <w:pPr>
        <w:spacing w:line="312" w:lineRule="auto"/>
        <w:ind w:firstLine="480" w:firstLineChars="200"/>
        <w:rPr>
          <w:rFonts w:hint="eastAsia" w:ascii="宋体" w:hAnsi="宋体" w:cs="宋体"/>
          <w:color w:val="auto"/>
          <w:sz w:val="24"/>
        </w:rPr>
      </w:pPr>
      <w:r>
        <w:rPr>
          <w:rFonts w:hint="eastAsia" w:ascii="宋体" w:hAnsi="宋体" w:cs="宋体"/>
          <w:color w:val="auto"/>
          <w:sz w:val="24"/>
        </w:rPr>
        <w:t>4.知识产权</w:t>
      </w:r>
    </w:p>
    <w:p w14:paraId="53CA47DF">
      <w:pPr>
        <w:spacing w:line="312" w:lineRule="auto"/>
        <w:ind w:firstLine="480" w:firstLineChars="200"/>
        <w:rPr>
          <w:rFonts w:hint="eastAsia"/>
          <w:color w:val="auto"/>
          <w:sz w:val="24"/>
          <w:szCs w:val="32"/>
        </w:rPr>
      </w:pPr>
      <w:r>
        <w:rPr>
          <w:rFonts w:hint="eastAsia"/>
          <w:color w:val="auto"/>
          <w:sz w:val="24"/>
          <w:szCs w:val="32"/>
        </w:rPr>
        <w:t>乙方为执行本合同而提供的技术资料或者其他相关资料、软件等由甲方永久免费使用。</w:t>
      </w:r>
    </w:p>
    <w:p w14:paraId="10918846">
      <w:pPr>
        <w:spacing w:line="312" w:lineRule="auto"/>
        <w:rPr>
          <w:rFonts w:hint="eastAsia" w:ascii="宋体" w:hAnsi="宋体" w:cs="宋体"/>
          <w:b/>
          <w:bCs/>
          <w:color w:val="auto"/>
          <w:sz w:val="24"/>
          <w:u w:val="single"/>
        </w:rPr>
      </w:pPr>
      <w:r>
        <w:rPr>
          <w:rFonts w:hint="eastAsia" w:ascii="宋体" w:hAnsi="宋体" w:cs="宋体"/>
          <w:b/>
          <w:bCs/>
          <w:color w:val="auto"/>
          <w:sz w:val="24"/>
          <w:u w:val="single"/>
        </w:rPr>
        <w:t>（以上条款以中标方投标文件约定为准，投标文件中未包含的以招标文件和双方约定为准）。</w:t>
      </w:r>
    </w:p>
    <w:p w14:paraId="71C6BE7E">
      <w:pPr>
        <w:spacing w:line="312" w:lineRule="auto"/>
        <w:rPr>
          <w:rFonts w:hint="eastAsia" w:ascii="黑体" w:hAnsi="黑体" w:eastAsia="黑体" w:cs="黑体"/>
          <w:b/>
          <w:color w:val="auto"/>
          <w:sz w:val="24"/>
          <w:szCs w:val="36"/>
        </w:rPr>
      </w:pPr>
      <w:r>
        <w:rPr>
          <w:rFonts w:hint="eastAsia" w:ascii="黑体" w:hAnsi="黑体" w:eastAsia="黑体" w:cs="黑体"/>
          <w:b/>
          <w:color w:val="auto"/>
          <w:sz w:val="24"/>
          <w:szCs w:val="36"/>
        </w:rPr>
        <w:t>第五条  违约行为及违约责任</w:t>
      </w:r>
    </w:p>
    <w:p w14:paraId="0F934A6E">
      <w:pPr>
        <w:spacing w:line="312" w:lineRule="auto"/>
        <w:ind w:firstLine="480" w:firstLineChars="200"/>
        <w:rPr>
          <w:rFonts w:hint="eastAsia" w:ascii="宋体" w:hAnsi="宋体" w:cs="宋体"/>
          <w:color w:val="auto"/>
          <w:sz w:val="24"/>
        </w:rPr>
      </w:pPr>
      <w:r>
        <w:rPr>
          <w:rFonts w:hint="eastAsia" w:ascii="宋体" w:hAnsi="宋体" w:cs="宋体"/>
          <w:color w:val="auto"/>
          <w:sz w:val="24"/>
        </w:rPr>
        <w:t>1.乙方有下列行为将作为违约并承担违约责任：</w:t>
      </w:r>
    </w:p>
    <w:p w14:paraId="53BCF9E2">
      <w:pPr>
        <w:spacing w:line="312" w:lineRule="auto"/>
        <w:ind w:firstLine="480" w:firstLineChars="200"/>
        <w:rPr>
          <w:rFonts w:ascii="宋体" w:hAnsi="宋体" w:cs="宋体"/>
          <w:color w:val="auto"/>
          <w:sz w:val="24"/>
        </w:rPr>
      </w:pPr>
      <w:r>
        <w:rPr>
          <w:rFonts w:hint="eastAsia" w:ascii="宋体" w:hAnsi="宋体" w:cs="宋体"/>
          <w:color w:val="auto"/>
          <w:sz w:val="24"/>
        </w:rPr>
        <w:t>（1）乙方逾期交付的，应每日按合同金额的万分之五向甲方支付违约金，直至交付为止。逾期超过约定日期30个</w:t>
      </w:r>
      <w:r>
        <w:rPr>
          <w:rFonts w:hint="eastAsia" w:ascii="宋体" w:hAnsi="宋体"/>
          <w:color w:val="auto"/>
          <w:sz w:val="24"/>
        </w:rPr>
        <w:sym w:font="Wingdings 2" w:char="00A3"/>
      </w:r>
      <w:r>
        <w:rPr>
          <w:rFonts w:hint="eastAsia" w:ascii="宋体" w:hAnsi="宋体"/>
          <w:color w:val="auto"/>
          <w:sz w:val="24"/>
        </w:rPr>
        <w:t>日历日</w:t>
      </w:r>
      <w:r>
        <w:rPr>
          <w:rFonts w:hint="eastAsia" w:ascii="宋体" w:hAnsi="宋体"/>
          <w:color w:val="auto"/>
          <w:sz w:val="24"/>
        </w:rPr>
        <w:sym w:font="Wingdings 2" w:char="00A3"/>
      </w:r>
      <w:r>
        <w:rPr>
          <w:rFonts w:hint="eastAsia" w:ascii="宋体" w:hAnsi="宋体"/>
          <w:color w:val="auto"/>
          <w:sz w:val="24"/>
        </w:rPr>
        <w:t>工作日</w:t>
      </w:r>
      <w:r>
        <w:rPr>
          <w:rFonts w:hint="eastAsia" w:ascii="宋体" w:hAnsi="宋体" w:cs="宋体"/>
          <w:color w:val="auto"/>
          <w:sz w:val="24"/>
        </w:rPr>
        <w:t>不能交付的，甲方可单方解除本合同并要求乙方承担合同金额20%的违约金（可与前述逾期交付违约金累加）。约定的违约金不能弥补甲方的实际经济损失的，由乙方另行赔偿。</w:t>
      </w:r>
    </w:p>
    <w:p w14:paraId="608425C6">
      <w:pPr>
        <w:spacing w:line="312" w:lineRule="auto"/>
        <w:ind w:firstLine="480" w:firstLineChars="200"/>
        <w:rPr>
          <w:rFonts w:hint="eastAsia" w:ascii="宋体" w:hAnsi="宋体" w:cs="宋体"/>
          <w:color w:val="auto"/>
          <w:sz w:val="24"/>
        </w:rPr>
      </w:pPr>
      <w:r>
        <w:rPr>
          <w:rFonts w:hint="eastAsia" w:ascii="宋体" w:hAnsi="宋体" w:cs="宋体"/>
          <w:color w:val="auto"/>
          <w:sz w:val="24"/>
        </w:rPr>
        <w:t>（2）交付货物（含附带的软件、技术服务等）的规格和技术参数、质量等跟乙方的投标文件中相关承诺存在着不符的， 由乙方负责更换、补发，因此造成逾期交付的由乙方承担违约责任。若乙方拒绝更换、补发，或乙方的行为已经严重影响合同履行而不能实现甲方的合同目的的，甲方有权解除合同并要求乙方承担合同金额20%的违约金，约定的违约金不能弥补甲方的实际经济损失的，由乙方另行赔偿。</w:t>
      </w:r>
    </w:p>
    <w:p w14:paraId="2C96C75C">
      <w:pPr>
        <w:spacing w:line="312" w:lineRule="auto"/>
        <w:ind w:firstLine="480" w:firstLineChars="200"/>
        <w:rPr>
          <w:rFonts w:hint="eastAsia" w:ascii="宋体" w:hAnsi="宋体" w:cs="宋体"/>
          <w:color w:val="auto"/>
          <w:sz w:val="24"/>
        </w:rPr>
      </w:pPr>
      <w:r>
        <w:rPr>
          <w:rFonts w:hint="eastAsia" w:ascii="宋体" w:hAnsi="宋体" w:cs="宋体"/>
          <w:color w:val="auto"/>
          <w:sz w:val="24"/>
        </w:rPr>
        <w:t>（3）本次招标货物及各种配件、易损件的价格高于市场平均价的。</w:t>
      </w:r>
    </w:p>
    <w:p w14:paraId="1F9B20BC">
      <w:pPr>
        <w:spacing w:line="312" w:lineRule="auto"/>
        <w:ind w:firstLine="480" w:firstLineChars="200"/>
        <w:rPr>
          <w:rFonts w:hint="eastAsia" w:ascii="宋体" w:hAnsi="宋体" w:cs="宋体"/>
          <w:color w:val="auto"/>
          <w:sz w:val="24"/>
        </w:rPr>
      </w:pPr>
      <w:r>
        <w:rPr>
          <w:rFonts w:hint="eastAsia" w:ascii="宋体" w:hAnsi="宋体" w:cs="宋体"/>
          <w:color w:val="auto"/>
          <w:sz w:val="24"/>
        </w:rPr>
        <w:t>（4）不履行合同条款或只履行部分合同条款，或拒绝履行合同义务。</w:t>
      </w:r>
    </w:p>
    <w:p w14:paraId="412EF793">
      <w:pPr>
        <w:spacing w:line="312" w:lineRule="auto"/>
        <w:ind w:firstLine="480" w:firstLineChars="200"/>
        <w:rPr>
          <w:rFonts w:hint="eastAsia" w:ascii="宋体" w:hAnsi="宋体" w:cs="宋体"/>
          <w:color w:val="auto"/>
          <w:sz w:val="24"/>
        </w:rPr>
      </w:pPr>
      <w:r>
        <w:rPr>
          <w:rFonts w:hint="eastAsia" w:ascii="宋体" w:hAnsi="宋体" w:cs="宋体"/>
          <w:color w:val="auto"/>
          <w:sz w:val="24"/>
        </w:rPr>
        <w:t>（5）不履行售后服务承诺及相关的附随服务。</w:t>
      </w:r>
    </w:p>
    <w:p w14:paraId="4657871F">
      <w:pPr>
        <w:spacing w:line="312" w:lineRule="auto"/>
        <w:ind w:firstLine="480" w:firstLineChars="200"/>
        <w:rPr>
          <w:rFonts w:hint="eastAsia" w:ascii="宋体" w:hAnsi="宋体" w:cs="宋体"/>
          <w:color w:val="auto"/>
          <w:sz w:val="24"/>
        </w:rPr>
      </w:pPr>
      <w:r>
        <w:rPr>
          <w:rFonts w:hint="eastAsia" w:ascii="宋体" w:hAnsi="宋体" w:cs="宋体"/>
          <w:color w:val="auto"/>
          <w:sz w:val="24"/>
        </w:rPr>
        <w:t>（6）没有按本合同的约定提供质量保证期服务的。</w:t>
      </w:r>
    </w:p>
    <w:p w14:paraId="655B0E8E">
      <w:pPr>
        <w:spacing w:line="312" w:lineRule="auto"/>
        <w:ind w:firstLine="480" w:firstLineChars="200"/>
        <w:rPr>
          <w:rFonts w:hint="eastAsia" w:ascii="宋体" w:hAnsi="宋体" w:cs="宋体"/>
          <w:color w:val="auto"/>
          <w:sz w:val="24"/>
        </w:rPr>
      </w:pPr>
      <w:r>
        <w:rPr>
          <w:rFonts w:hint="eastAsia" w:ascii="宋体" w:hAnsi="宋体" w:cs="宋体"/>
          <w:color w:val="auto"/>
          <w:sz w:val="24"/>
        </w:rPr>
        <w:t>（7）提供的货物侵犯了第三方合法权益。</w:t>
      </w:r>
    </w:p>
    <w:p w14:paraId="61E40F05">
      <w:pPr>
        <w:spacing w:line="312" w:lineRule="auto"/>
        <w:ind w:firstLine="480" w:firstLineChars="200"/>
        <w:rPr>
          <w:rFonts w:hint="eastAsia" w:ascii="宋体" w:hAnsi="宋体" w:cs="宋体"/>
          <w:color w:val="auto"/>
          <w:sz w:val="24"/>
        </w:rPr>
      </w:pPr>
      <w:r>
        <w:rPr>
          <w:rFonts w:hint="eastAsia" w:ascii="宋体" w:hAnsi="宋体" w:cs="宋体"/>
          <w:color w:val="auto"/>
          <w:sz w:val="24"/>
        </w:rPr>
        <w:t>（8）违反政府采购法和国家其他的相关法律法规。</w:t>
      </w:r>
    </w:p>
    <w:p w14:paraId="2DB6E13B">
      <w:pPr>
        <w:spacing w:line="312" w:lineRule="auto"/>
        <w:ind w:firstLine="482" w:firstLineChars="200"/>
        <w:rPr>
          <w:rFonts w:hint="eastAsia" w:ascii="宋体" w:hAnsi="宋体" w:cs="宋体"/>
          <w:b/>
          <w:bCs/>
          <w:color w:val="auto"/>
          <w:sz w:val="24"/>
        </w:rPr>
      </w:pPr>
      <w:r>
        <w:rPr>
          <w:rFonts w:hint="eastAsia" w:ascii="宋体" w:hAnsi="宋体" w:cs="宋体"/>
          <w:b/>
          <w:bCs/>
          <w:color w:val="auto"/>
          <w:sz w:val="24"/>
        </w:rPr>
        <w:t>违反本条款第（3）至（8）项时，甲方有权单方终止合同并要求乙方承担合同金额20%的违约金。</w:t>
      </w:r>
      <w:r>
        <w:rPr>
          <w:rFonts w:hint="eastAsia" w:ascii="宋体" w:hAnsi="宋体" w:cs="宋体"/>
          <w:color w:val="auto"/>
          <w:sz w:val="24"/>
        </w:rPr>
        <w:t>约定的违约金不能弥补甲方的实际经济损失的，由乙方另行赔偿。</w:t>
      </w:r>
    </w:p>
    <w:p w14:paraId="20098191">
      <w:pPr>
        <w:spacing w:line="312" w:lineRule="auto"/>
        <w:ind w:firstLine="480" w:firstLineChars="200"/>
        <w:rPr>
          <w:rFonts w:hint="eastAsia" w:ascii="宋体" w:hAnsi="宋体" w:cs="宋体"/>
          <w:color w:val="auto"/>
          <w:sz w:val="24"/>
        </w:rPr>
      </w:pPr>
      <w:r>
        <w:rPr>
          <w:rFonts w:hint="eastAsia" w:ascii="宋体" w:hAnsi="宋体" w:cs="宋体"/>
          <w:color w:val="auto"/>
          <w:sz w:val="24"/>
        </w:rPr>
        <w:t>2.甲方有下列行为将作为违约并承担违约责任：</w:t>
      </w:r>
    </w:p>
    <w:p w14:paraId="00FE0498">
      <w:pPr>
        <w:spacing w:line="312" w:lineRule="auto"/>
        <w:ind w:firstLine="480" w:firstLineChars="200"/>
        <w:rPr>
          <w:rFonts w:hint="eastAsia" w:ascii="宋体" w:hAnsi="宋体" w:cs="宋体"/>
          <w:color w:val="auto"/>
          <w:sz w:val="24"/>
        </w:rPr>
      </w:pPr>
      <w:r>
        <w:rPr>
          <w:rFonts w:hint="eastAsia" w:ascii="宋体" w:hAnsi="宋体" w:cs="宋体"/>
          <w:color w:val="auto"/>
          <w:sz w:val="24"/>
        </w:rPr>
        <w:t>（1）无正当理由拒绝接受乙方交付的货物或拖延验收。违反本条款时，甲方应按应付金额的每日万分之五向乙方支付违约金，但违约金的最高不超过货款的百分之五。</w:t>
      </w:r>
    </w:p>
    <w:p w14:paraId="1F5ED272">
      <w:pPr>
        <w:spacing w:line="312" w:lineRule="auto"/>
        <w:ind w:firstLine="480" w:firstLineChars="200"/>
        <w:rPr>
          <w:rFonts w:hint="eastAsia" w:ascii="宋体" w:hAnsi="宋体" w:cs="宋体"/>
          <w:color w:val="auto"/>
          <w:sz w:val="24"/>
        </w:rPr>
      </w:pPr>
      <w:r>
        <w:rPr>
          <w:rFonts w:hint="eastAsia" w:ascii="宋体" w:hAnsi="宋体" w:cs="宋体"/>
          <w:color w:val="auto"/>
          <w:sz w:val="24"/>
        </w:rPr>
        <w:t>（2）违反政府采购法和国家其他的相关法律法规。违反本条款时，乙方可有权单方面解除本合同，并要求甲方承担因此造成的损失和相关法律责任。</w:t>
      </w:r>
    </w:p>
    <w:p w14:paraId="001B32C6">
      <w:pPr>
        <w:spacing w:line="312" w:lineRule="auto"/>
        <w:rPr>
          <w:rFonts w:hint="eastAsia" w:ascii="黑体" w:hAnsi="黑体" w:eastAsia="黑体" w:cs="黑体"/>
          <w:b/>
          <w:bCs/>
          <w:color w:val="auto"/>
          <w:sz w:val="24"/>
          <w:szCs w:val="36"/>
        </w:rPr>
      </w:pPr>
      <w:r>
        <w:rPr>
          <w:rFonts w:hint="eastAsia" w:ascii="黑体" w:hAnsi="黑体" w:eastAsia="黑体" w:cs="黑体"/>
          <w:b/>
          <w:bCs/>
          <w:color w:val="auto"/>
          <w:sz w:val="24"/>
          <w:szCs w:val="36"/>
        </w:rPr>
        <w:t>第六条  付款方式</w:t>
      </w:r>
    </w:p>
    <w:p w14:paraId="441CF71C">
      <w:pPr>
        <w:spacing w:line="360" w:lineRule="auto"/>
        <w:ind w:firstLine="480" w:firstLineChars="200"/>
        <w:jc w:val="left"/>
        <w:rPr>
          <w:rFonts w:ascii="宋体" w:hAnsi="宋体"/>
          <w:color w:val="auto"/>
          <w:sz w:val="24"/>
        </w:rPr>
      </w:pPr>
      <w:r>
        <w:rPr>
          <w:rFonts w:hint="eastAsia" w:ascii="宋体" w:hAnsi="宋体"/>
          <w:color w:val="auto"/>
          <w:sz w:val="24"/>
        </w:rPr>
        <w:t>甲方收到货物且安装调试验收合格，乙方按照甲方的需要完成技术培训后，</w:t>
      </w:r>
      <w:r>
        <w:rPr>
          <w:rFonts w:hint="eastAsia" w:ascii="宋体" w:hAnsi="宋体"/>
          <w:color w:val="auto"/>
          <w:kern w:val="0"/>
          <w:sz w:val="24"/>
        </w:rPr>
        <w:t>甲方收到乙方开具本项目合同全额增值税发票，按合同金额100%</w:t>
      </w:r>
      <w:r>
        <w:rPr>
          <w:rFonts w:hint="eastAsia" w:ascii="宋体" w:hAnsi="宋体"/>
          <w:color w:val="auto"/>
          <w:sz w:val="24"/>
        </w:rPr>
        <w:t>即人民币大写</w:t>
      </w:r>
      <w:r>
        <w:rPr>
          <w:rFonts w:hint="eastAsia" w:ascii="宋体" w:hAnsi="宋体"/>
          <w:b/>
          <w:bCs/>
          <w:color w:val="auto"/>
          <w:sz w:val="24"/>
          <w:u w:val="single"/>
        </w:rPr>
        <w:t xml:space="preserve">            </w:t>
      </w:r>
      <w:r>
        <w:rPr>
          <w:rFonts w:ascii="宋体" w:hAnsi="宋体"/>
          <w:b/>
          <w:bCs/>
          <w:color w:val="auto"/>
          <w:sz w:val="24"/>
          <w:u w:val="single"/>
        </w:rPr>
        <w:t>整</w:t>
      </w:r>
      <w:r>
        <w:rPr>
          <w:rFonts w:hint="eastAsia" w:ascii="宋体" w:hAnsi="宋体"/>
          <w:b/>
          <w:bCs/>
          <w:color w:val="auto"/>
          <w:sz w:val="24"/>
          <w:u w:val="single"/>
        </w:rPr>
        <w:t>（</w:t>
      </w:r>
      <w:r>
        <w:rPr>
          <w:rFonts w:hint="eastAsia" w:ascii="宋体" w:hAnsi="宋体"/>
          <w:color w:val="auto"/>
          <w:sz w:val="24"/>
          <w:u w:val="single"/>
        </w:rPr>
        <w:t xml:space="preserve">¥        </w:t>
      </w:r>
      <w:r>
        <w:rPr>
          <w:rFonts w:ascii="宋体" w:hAnsi="宋体"/>
          <w:color w:val="auto"/>
          <w:sz w:val="24"/>
          <w:u w:val="single"/>
        </w:rPr>
        <w:t>元</w:t>
      </w:r>
      <w:r>
        <w:rPr>
          <w:rFonts w:hint="eastAsia" w:ascii="宋体" w:hAnsi="宋体"/>
          <w:color w:val="auto"/>
          <w:sz w:val="24"/>
          <w:u w:val="single"/>
        </w:rPr>
        <w:t>）</w:t>
      </w:r>
      <w:r>
        <w:rPr>
          <w:rFonts w:ascii="宋体" w:hAnsi="宋体"/>
          <w:color w:val="auto"/>
          <w:sz w:val="24"/>
        </w:rPr>
        <w:t>办理支付。</w:t>
      </w:r>
      <w:r>
        <w:rPr>
          <w:rFonts w:hint="eastAsia" w:ascii="宋体" w:hAnsi="宋体"/>
          <w:color w:val="auto"/>
          <w:sz w:val="24"/>
        </w:rPr>
        <w:t>乙方未及时提供增值税发票的，甲方有权延迟付款。</w:t>
      </w:r>
    </w:p>
    <w:p w14:paraId="0FCDA16F">
      <w:pPr>
        <w:topLinePunct/>
        <w:spacing w:line="312" w:lineRule="auto"/>
        <w:ind w:right="248" w:rightChars="118" w:firstLine="435"/>
        <w:rPr>
          <w:rFonts w:hint="eastAsia" w:ascii="宋体" w:hAnsi="宋体" w:cs="宋体"/>
          <w:color w:val="auto"/>
          <w:sz w:val="24"/>
        </w:rPr>
      </w:pPr>
    </w:p>
    <w:p w14:paraId="323FBC23">
      <w:pPr>
        <w:spacing w:line="312" w:lineRule="auto"/>
        <w:rPr>
          <w:rFonts w:hint="eastAsia" w:ascii="黑体" w:hAnsi="黑体" w:eastAsia="黑体" w:cs="黑体"/>
          <w:b/>
          <w:bCs/>
          <w:color w:val="auto"/>
          <w:sz w:val="24"/>
          <w:szCs w:val="36"/>
        </w:rPr>
      </w:pPr>
      <w:r>
        <w:rPr>
          <w:rFonts w:hint="eastAsia" w:ascii="黑体" w:hAnsi="黑体" w:eastAsia="黑体" w:cs="黑体"/>
          <w:b/>
          <w:bCs/>
          <w:color w:val="auto"/>
          <w:sz w:val="24"/>
          <w:szCs w:val="36"/>
        </w:rPr>
        <w:t>第七条  合同的理解</w:t>
      </w:r>
    </w:p>
    <w:p w14:paraId="4DC22C37">
      <w:pPr>
        <w:topLinePunct/>
        <w:spacing w:line="312" w:lineRule="auto"/>
        <w:ind w:right="248" w:rightChars="118" w:firstLine="435"/>
        <w:rPr>
          <w:rFonts w:hint="eastAsia" w:ascii="宋体" w:hAnsi="宋体" w:cs="宋体"/>
          <w:color w:val="auto"/>
          <w:sz w:val="24"/>
        </w:rPr>
      </w:pPr>
      <w:r>
        <w:rPr>
          <w:rFonts w:hint="eastAsia" w:ascii="宋体" w:hAnsi="宋体" w:cs="宋体"/>
          <w:color w:val="auto"/>
          <w:sz w:val="24"/>
        </w:rPr>
        <w:t>本合同条款如发生理解分歧，所供货物按</w:t>
      </w:r>
      <w:r>
        <w:rPr>
          <w:rFonts w:hint="eastAsia" w:ascii="宋体" w:hAnsi="宋体" w:cs="宋体"/>
          <w:color w:val="auto"/>
          <w:sz w:val="24"/>
          <w:lang w:eastAsia="zh-CN"/>
        </w:rPr>
        <w:t>武汉市东西湖区吴家山第一小学</w:t>
      </w:r>
      <w:r>
        <w:rPr>
          <w:rFonts w:hint="eastAsia" w:ascii="宋体" w:hAnsi="宋体"/>
          <w:color w:val="auto"/>
          <w:sz w:val="24"/>
          <w:u w:val="single"/>
        </w:rPr>
        <w:t xml:space="preserve">     </w:t>
      </w:r>
      <w:r>
        <w:rPr>
          <w:rFonts w:hint="eastAsia" w:ascii="宋体" w:hAnsi="宋体"/>
          <w:color w:val="auto"/>
          <w:sz w:val="24"/>
        </w:rPr>
        <w:sym w:font="Wingdings 2" w:char="00A3"/>
      </w:r>
      <w:r>
        <w:rPr>
          <w:rFonts w:hint="eastAsia" w:ascii="宋体" w:hAnsi="宋体"/>
          <w:color w:val="auto"/>
          <w:sz w:val="24"/>
        </w:rPr>
        <w:t>公开招标</w:t>
      </w:r>
      <w:r>
        <w:rPr>
          <w:rFonts w:hint="eastAsia" w:ascii="宋体" w:hAnsi="宋体"/>
          <w:color w:val="auto"/>
          <w:sz w:val="24"/>
        </w:rPr>
        <w:sym w:font="Wingdings 2" w:char="00A3"/>
      </w:r>
      <w:r>
        <w:rPr>
          <w:rFonts w:hint="eastAsia" w:ascii="宋体" w:hAnsi="宋体"/>
          <w:color w:val="auto"/>
          <w:sz w:val="24"/>
        </w:rPr>
        <w:t>竞争性谈判</w:t>
      </w:r>
      <w:r>
        <w:rPr>
          <w:rFonts w:hint="eastAsia" w:ascii="宋体" w:hAnsi="宋体"/>
          <w:color w:val="auto"/>
          <w:sz w:val="24"/>
        </w:rPr>
        <w:sym w:font="Wingdings 2" w:char="00A3"/>
      </w:r>
      <w:r>
        <w:rPr>
          <w:rFonts w:hint="eastAsia" w:ascii="宋体" w:hAnsi="宋体"/>
          <w:color w:val="auto"/>
          <w:sz w:val="24"/>
        </w:rPr>
        <w:t>竞争性磋商</w:t>
      </w:r>
      <w:r>
        <w:rPr>
          <w:rFonts w:hint="eastAsia" w:ascii="宋体" w:hAnsi="宋体"/>
          <w:color w:val="auto"/>
          <w:sz w:val="24"/>
        </w:rPr>
        <w:sym w:font="Wingdings 2" w:char="00A3"/>
      </w:r>
      <w:r>
        <w:rPr>
          <w:rFonts w:hint="eastAsia" w:ascii="宋体" w:hAnsi="宋体"/>
          <w:color w:val="auto"/>
          <w:sz w:val="24"/>
        </w:rPr>
        <w:t>校内自主招标</w:t>
      </w:r>
      <w:r>
        <w:rPr>
          <w:rFonts w:hint="eastAsia" w:ascii="宋体" w:hAnsi="宋体"/>
          <w:color w:val="auto"/>
          <w:sz w:val="24"/>
        </w:rPr>
        <w:sym w:font="Wingdings 2" w:char="00A3"/>
      </w:r>
      <w:r>
        <w:rPr>
          <w:rFonts w:hint="eastAsia" w:ascii="宋体" w:hAnsi="宋体"/>
          <w:color w:val="auto"/>
          <w:sz w:val="24"/>
        </w:rPr>
        <w:t>校内询价采购项目【招标采购文件编号：</w:t>
      </w:r>
      <w:r>
        <w:rPr>
          <w:rFonts w:hint="eastAsia" w:ascii="宋体" w:hAnsi="宋体"/>
          <w:color w:val="auto"/>
          <w:sz w:val="24"/>
          <w:u w:val="single"/>
        </w:rPr>
        <w:t xml:space="preserve">           </w:t>
      </w:r>
      <w:r>
        <w:rPr>
          <w:rFonts w:hint="eastAsia" w:ascii="宋体" w:hAnsi="宋体"/>
          <w:color w:val="auto"/>
          <w:sz w:val="24"/>
        </w:rPr>
        <w:t xml:space="preserve"> </w:t>
      </w:r>
      <w:r>
        <w:rPr>
          <w:rFonts w:hint="eastAsia" w:ascii="宋体" w:hAnsi="宋体"/>
          <w:color w:val="auto"/>
          <w:sz w:val="24"/>
          <w:lang w:eastAsia="zh-CN"/>
        </w:rPr>
        <w:t>，</w:t>
      </w:r>
      <w:r>
        <w:rPr>
          <w:rFonts w:hint="eastAsia" w:ascii="宋体" w:hAnsi="宋体"/>
          <w:color w:val="auto"/>
          <w:sz w:val="24"/>
        </w:rPr>
        <w:t>政府采购管理部门备案编号：</w:t>
      </w:r>
      <w:r>
        <w:rPr>
          <w:rFonts w:hint="eastAsia" w:ascii="宋体" w:hAnsi="宋体"/>
          <w:color w:val="auto"/>
          <w:sz w:val="24"/>
          <w:u w:val="single"/>
        </w:rPr>
        <w:t xml:space="preserve">              </w:t>
      </w:r>
      <w:r>
        <w:rPr>
          <w:rFonts w:hint="eastAsia" w:ascii="宋体" w:hAnsi="宋体" w:cs="宋体"/>
          <w:color w:val="auto"/>
          <w:sz w:val="24"/>
        </w:rPr>
        <w:t>项目需求内容为准。</w:t>
      </w:r>
    </w:p>
    <w:p w14:paraId="32BEA146">
      <w:pPr>
        <w:pStyle w:val="58"/>
        <w:ind w:firstLine="480"/>
        <w:rPr>
          <w:rFonts w:hint="eastAsia"/>
          <w:color w:val="auto"/>
        </w:rPr>
      </w:pPr>
    </w:p>
    <w:p w14:paraId="086DFD9E">
      <w:pPr>
        <w:spacing w:line="312" w:lineRule="auto"/>
        <w:rPr>
          <w:rFonts w:hint="eastAsia" w:ascii="黑体" w:hAnsi="黑体" w:eastAsia="黑体" w:cs="黑体"/>
          <w:b/>
          <w:bCs/>
          <w:color w:val="auto"/>
          <w:sz w:val="24"/>
          <w:szCs w:val="36"/>
        </w:rPr>
      </w:pPr>
      <w:r>
        <w:rPr>
          <w:rFonts w:hint="eastAsia" w:ascii="黑体" w:hAnsi="黑体" w:eastAsia="黑体" w:cs="黑体"/>
          <w:b/>
          <w:bCs/>
          <w:color w:val="auto"/>
          <w:sz w:val="24"/>
          <w:szCs w:val="36"/>
        </w:rPr>
        <w:t>第八条 不可抗力</w:t>
      </w:r>
    </w:p>
    <w:p w14:paraId="53719709">
      <w:pPr>
        <w:topLinePunct/>
        <w:spacing w:line="312" w:lineRule="auto"/>
        <w:ind w:right="248" w:rightChars="118" w:firstLine="435"/>
        <w:rPr>
          <w:rFonts w:hint="eastAsia" w:ascii="宋体" w:hAnsi="宋体"/>
          <w:color w:val="auto"/>
          <w:sz w:val="24"/>
        </w:rPr>
      </w:pPr>
      <w:r>
        <w:rPr>
          <w:rFonts w:hint="eastAsia" w:ascii="宋体" w:hAnsi="宋体"/>
          <w:color w:val="auto"/>
          <w:sz w:val="24"/>
        </w:rPr>
        <w:t>甲乙双方的任何一方由于不可抗力不能履行合同时，应当及时通知对方不能履行或不能完全履行的情况和理由;在取得有关主管机关证明后，允许延期履行，部分履行或者终止履行合同的，根据情况可部分或全部免予承担违约责任。</w:t>
      </w:r>
    </w:p>
    <w:p w14:paraId="5929B8A3">
      <w:pPr>
        <w:spacing w:line="312" w:lineRule="auto"/>
        <w:rPr>
          <w:rFonts w:hint="eastAsia" w:ascii="黑体" w:hAnsi="黑体" w:eastAsia="黑体" w:cs="黑体"/>
          <w:b/>
          <w:bCs/>
          <w:color w:val="auto"/>
          <w:sz w:val="24"/>
          <w:szCs w:val="36"/>
        </w:rPr>
      </w:pPr>
      <w:r>
        <w:rPr>
          <w:rFonts w:hint="eastAsia" w:ascii="黑体" w:hAnsi="黑体" w:eastAsia="黑体" w:cs="黑体"/>
          <w:b/>
          <w:bCs/>
          <w:color w:val="auto"/>
          <w:sz w:val="24"/>
          <w:szCs w:val="36"/>
        </w:rPr>
        <w:t>第九条 保密</w:t>
      </w:r>
    </w:p>
    <w:p w14:paraId="4E10DC99">
      <w:pPr>
        <w:topLinePunct/>
        <w:spacing w:line="312" w:lineRule="auto"/>
        <w:ind w:right="248" w:rightChars="118" w:firstLine="435"/>
        <w:rPr>
          <w:rFonts w:hint="eastAsia"/>
          <w:color w:val="auto"/>
        </w:rPr>
      </w:pPr>
      <w:r>
        <w:rPr>
          <w:rFonts w:hint="eastAsia" w:ascii="宋体" w:hAnsi="宋体"/>
          <w:color w:val="auto"/>
          <w:sz w:val="24"/>
        </w:rPr>
        <w:t>乙方在合同履行期间知悉甲方的工作秘密(包括相关业务信息)，不得透露或以其他方式提供给合同双方以外的其他方(包括乙方内部与本合同无关的任何人员)，乙方的保密责任不因本合同的终止而终止。乙方违反本合同所规定的保密义务，应及时采取有效措施消除可能产生的影响，同时应按照本合同总金额的支付违约金2%。</w:t>
      </w:r>
    </w:p>
    <w:p w14:paraId="136FCCB9">
      <w:pPr>
        <w:spacing w:line="312" w:lineRule="auto"/>
        <w:rPr>
          <w:rFonts w:hint="eastAsia" w:ascii="黑体" w:hAnsi="黑体" w:eastAsia="黑体" w:cs="黑体"/>
          <w:b/>
          <w:bCs/>
          <w:color w:val="auto"/>
          <w:sz w:val="24"/>
          <w:szCs w:val="36"/>
        </w:rPr>
      </w:pPr>
      <w:r>
        <w:rPr>
          <w:rFonts w:hint="eastAsia" w:ascii="黑体" w:hAnsi="黑体" w:eastAsia="黑体" w:cs="黑体"/>
          <w:b/>
          <w:bCs/>
          <w:color w:val="auto"/>
          <w:sz w:val="24"/>
          <w:szCs w:val="36"/>
        </w:rPr>
        <w:t>第十条  争端的解决</w:t>
      </w:r>
    </w:p>
    <w:p w14:paraId="5C1BDB45">
      <w:pPr>
        <w:topLinePunct/>
        <w:spacing w:line="312" w:lineRule="auto"/>
        <w:ind w:right="248" w:rightChars="118" w:firstLine="435"/>
        <w:rPr>
          <w:rFonts w:hint="eastAsia"/>
          <w:color w:val="auto"/>
        </w:rPr>
      </w:pPr>
      <w:r>
        <w:rPr>
          <w:rFonts w:hint="eastAsia" w:ascii="宋体" w:hAnsi="宋体" w:cs="宋体"/>
          <w:color w:val="auto"/>
          <w:sz w:val="24"/>
        </w:rPr>
        <w:t>本合同履行过程中如发生纠纷，由双方协商或调解解决，协商或调解不成时向甲方所在地人民法院提起诉讼。</w:t>
      </w:r>
    </w:p>
    <w:p w14:paraId="22AC3405">
      <w:pPr>
        <w:keepNext w:val="0"/>
        <w:keepLines w:val="0"/>
        <w:pageBreakBefore w:val="0"/>
        <w:widowControl/>
        <w:kinsoku/>
        <w:wordWrap/>
        <w:overflowPunct/>
        <w:topLinePunct w:val="0"/>
        <w:autoSpaceDE/>
        <w:autoSpaceDN/>
        <w:bidi w:val="0"/>
        <w:adjustRightInd/>
        <w:snapToGrid/>
        <w:spacing w:line="312" w:lineRule="auto"/>
        <w:ind w:right="248" w:rightChars="118"/>
        <w:textAlignment w:val="auto"/>
        <w:outlineLvl w:val="9"/>
        <w:rPr>
          <w:rFonts w:hint="eastAsia" w:ascii="黑体" w:hAnsi="黑体" w:eastAsia="黑体" w:cs="黑体"/>
          <w:b/>
          <w:bCs/>
          <w:color w:val="auto"/>
          <w:szCs w:val="28"/>
        </w:rPr>
      </w:pPr>
      <w:bookmarkStart w:id="18" w:name="_Toc32223"/>
      <w:bookmarkStart w:id="19" w:name="_Toc30685"/>
      <w:r>
        <w:rPr>
          <w:rFonts w:hint="eastAsia" w:ascii="黑体" w:hAnsi="黑体" w:eastAsia="黑体" w:cs="黑体"/>
          <w:b/>
          <w:bCs/>
          <w:color w:val="auto"/>
          <w:sz w:val="24"/>
          <w:szCs w:val="24"/>
        </w:rPr>
        <w:t xml:space="preserve">第十一条 </w:t>
      </w:r>
      <w:r>
        <w:rPr>
          <w:rFonts w:hint="eastAsia" w:ascii="宋体" w:hAnsi="宋体"/>
          <w:b/>
          <w:bCs/>
          <w:color w:val="auto"/>
          <w:sz w:val="24"/>
          <w:szCs w:val="24"/>
        </w:rPr>
        <w:t>本合同经双方签字盖章后生效，合同履约期：合同签订后</w:t>
      </w:r>
      <w:r>
        <w:rPr>
          <w:rFonts w:hint="eastAsia" w:ascii="宋体" w:hAnsi="宋体" w:cs="宋体"/>
          <w:color w:val="auto"/>
          <w:sz w:val="24"/>
          <w:szCs w:val="24"/>
          <w:u w:val="single"/>
        </w:rPr>
        <w:t xml:space="preserve">     个</w:t>
      </w:r>
      <w:r>
        <w:rPr>
          <w:rFonts w:hint="eastAsia" w:ascii="宋体" w:hAnsi="宋体"/>
          <w:b/>
          <w:bCs/>
          <w:color w:val="auto"/>
          <w:sz w:val="24"/>
          <w:szCs w:val="24"/>
        </w:rPr>
        <w:sym w:font="Wingdings 2" w:char="00A3"/>
      </w:r>
      <w:r>
        <w:rPr>
          <w:rFonts w:hint="eastAsia" w:ascii="宋体" w:hAnsi="宋体"/>
          <w:b/>
          <w:bCs/>
          <w:color w:val="auto"/>
          <w:sz w:val="24"/>
          <w:szCs w:val="24"/>
        </w:rPr>
        <w:t>日历日</w:t>
      </w:r>
      <w:r>
        <w:rPr>
          <w:rFonts w:hint="eastAsia" w:ascii="宋体" w:hAnsi="宋体"/>
          <w:b/>
          <w:bCs/>
          <w:color w:val="auto"/>
          <w:sz w:val="24"/>
          <w:szCs w:val="24"/>
        </w:rPr>
        <w:sym w:font="Wingdings 2" w:char="00A3"/>
      </w:r>
      <w:r>
        <w:rPr>
          <w:rFonts w:hint="eastAsia" w:ascii="宋体" w:hAnsi="宋体"/>
          <w:b/>
          <w:bCs/>
          <w:color w:val="auto"/>
          <w:sz w:val="24"/>
          <w:szCs w:val="24"/>
        </w:rPr>
        <w:t>工作日，合同有效期：同质保期一致（</w:t>
      </w:r>
      <w:r>
        <w:rPr>
          <w:rFonts w:hint="eastAsia" w:ascii="宋体" w:hAnsi="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u w:val="single"/>
        </w:rPr>
        <w:t xml:space="preserve">  </w:t>
      </w:r>
      <w:r>
        <w:rPr>
          <w:rFonts w:hint="eastAsia" w:ascii="宋体" w:hAnsi="宋体"/>
          <w:b/>
          <w:bCs/>
          <w:color w:val="auto"/>
          <w:sz w:val="24"/>
          <w:szCs w:val="24"/>
        </w:rPr>
        <w:t>年）一式伍份，甲、乙双方各贰份，另壹份报送监督机构或采购代理机构备案。</w:t>
      </w:r>
      <w:bookmarkEnd w:id="18"/>
      <w:bookmarkEnd w:id="19"/>
    </w:p>
    <w:p w14:paraId="5B3AF7B3">
      <w:pPr>
        <w:bidi w:val="0"/>
        <w:rPr>
          <w:rFonts w:hint="eastAsia"/>
        </w:rPr>
      </w:pPr>
    </w:p>
    <w:p w14:paraId="1E59948B">
      <w:pPr>
        <w:bidi w:val="0"/>
        <w:rPr>
          <w:rFonts w:hint="eastAsia"/>
        </w:rPr>
      </w:pPr>
      <w:bookmarkStart w:id="20" w:name="_Toc29526"/>
      <w:bookmarkStart w:id="21" w:name="_Toc16967"/>
      <w:r>
        <w:rPr>
          <w:rFonts w:hint="eastAsia"/>
        </w:rPr>
        <w:t>（此后无正文）</w:t>
      </w:r>
      <w:bookmarkEnd w:id="20"/>
      <w:bookmarkEnd w:id="21"/>
    </w:p>
    <w:tbl>
      <w:tblPr>
        <w:tblStyle w:val="23"/>
        <w:tblW w:w="9343" w:type="dxa"/>
        <w:tblInd w:w="0" w:type="dxa"/>
        <w:tblLayout w:type="fixed"/>
        <w:tblCellMar>
          <w:top w:w="0" w:type="dxa"/>
          <w:left w:w="108" w:type="dxa"/>
          <w:bottom w:w="0" w:type="dxa"/>
          <w:right w:w="108" w:type="dxa"/>
        </w:tblCellMar>
      </w:tblPr>
      <w:tblGrid>
        <w:gridCol w:w="4786"/>
        <w:gridCol w:w="4557"/>
      </w:tblGrid>
      <w:tr w14:paraId="1AC656BA">
        <w:tblPrEx>
          <w:tblCellMar>
            <w:top w:w="0" w:type="dxa"/>
            <w:left w:w="108" w:type="dxa"/>
            <w:bottom w:w="0" w:type="dxa"/>
            <w:right w:w="108" w:type="dxa"/>
          </w:tblCellMar>
        </w:tblPrEx>
        <w:trPr>
          <w:trHeight w:val="567" w:hRule="atLeast"/>
        </w:trPr>
        <w:tc>
          <w:tcPr>
            <w:tcW w:w="4786" w:type="dxa"/>
            <w:noWrap w:val="0"/>
            <w:vAlign w:val="center"/>
          </w:tcPr>
          <w:p w14:paraId="10096909">
            <w:pPr>
              <w:bidi w:val="0"/>
              <w:rPr>
                <w:rFonts w:hint="eastAsia" w:ascii="宋体" w:hAnsi="宋体" w:eastAsia="宋体" w:cs="宋体"/>
              </w:rPr>
            </w:pPr>
            <w:bookmarkStart w:id="22" w:name="_Toc20909"/>
            <w:bookmarkStart w:id="23" w:name="_Toc620"/>
            <w:r>
              <w:rPr>
                <w:rFonts w:hint="eastAsia" w:ascii="宋体" w:hAnsi="宋体" w:eastAsia="宋体" w:cs="宋体"/>
              </w:rPr>
              <w:t>甲  方（盖章）：</w:t>
            </w:r>
            <w:bookmarkEnd w:id="22"/>
            <w:bookmarkEnd w:id="23"/>
          </w:p>
        </w:tc>
        <w:tc>
          <w:tcPr>
            <w:tcW w:w="4557" w:type="dxa"/>
            <w:noWrap w:val="0"/>
            <w:vAlign w:val="center"/>
          </w:tcPr>
          <w:p w14:paraId="0F98F0FE">
            <w:pPr>
              <w:bidi w:val="0"/>
              <w:rPr>
                <w:rFonts w:hint="eastAsia" w:ascii="宋体" w:hAnsi="宋体" w:eastAsia="宋体" w:cs="宋体"/>
              </w:rPr>
            </w:pPr>
            <w:bookmarkStart w:id="24" w:name="_Toc3222"/>
            <w:bookmarkStart w:id="25" w:name="_Toc30930"/>
            <w:r>
              <w:rPr>
                <w:rFonts w:hint="eastAsia" w:ascii="宋体" w:hAnsi="宋体" w:eastAsia="宋体" w:cs="宋体"/>
              </w:rPr>
              <w:t>乙  方（盖章）：</w:t>
            </w:r>
            <w:bookmarkEnd w:id="24"/>
            <w:bookmarkEnd w:id="25"/>
          </w:p>
        </w:tc>
      </w:tr>
      <w:tr w14:paraId="2A792C76">
        <w:tblPrEx>
          <w:tblCellMar>
            <w:top w:w="0" w:type="dxa"/>
            <w:left w:w="108" w:type="dxa"/>
            <w:bottom w:w="0" w:type="dxa"/>
            <w:right w:w="108" w:type="dxa"/>
          </w:tblCellMar>
        </w:tblPrEx>
        <w:trPr>
          <w:trHeight w:val="567" w:hRule="atLeast"/>
        </w:trPr>
        <w:tc>
          <w:tcPr>
            <w:tcW w:w="4786" w:type="dxa"/>
            <w:noWrap w:val="0"/>
            <w:vAlign w:val="center"/>
          </w:tcPr>
          <w:p w14:paraId="21926675">
            <w:pPr>
              <w:bidi w:val="0"/>
              <w:rPr>
                <w:rFonts w:hint="eastAsia" w:ascii="宋体" w:hAnsi="宋体" w:eastAsia="宋体" w:cs="宋体"/>
                <w:lang w:eastAsia="zh-CN"/>
              </w:rPr>
            </w:pPr>
            <w:bookmarkStart w:id="26" w:name="_Toc24473"/>
            <w:bookmarkStart w:id="27" w:name="_Toc30267"/>
            <w:r>
              <w:rPr>
                <w:rFonts w:hint="eastAsia" w:ascii="宋体" w:hAnsi="宋体" w:eastAsia="宋体" w:cs="宋体"/>
              </w:rPr>
              <w:t>单  位：</w:t>
            </w:r>
            <w:bookmarkEnd w:id="26"/>
            <w:bookmarkEnd w:id="27"/>
            <w:r>
              <w:rPr>
                <w:rFonts w:hint="eastAsia" w:ascii="宋体" w:hAnsi="宋体" w:eastAsia="宋体" w:cs="宋体"/>
                <w:lang w:eastAsia="zh-CN"/>
              </w:rPr>
              <w:t>武汉市东西湖区吴家山第一小学</w:t>
            </w:r>
          </w:p>
          <w:p w14:paraId="6B68AFB0">
            <w:pPr>
              <w:bidi w:val="0"/>
              <w:rPr>
                <w:rFonts w:hint="eastAsia" w:ascii="宋体" w:hAnsi="宋体" w:eastAsia="宋体" w:cs="宋体"/>
              </w:rPr>
            </w:pPr>
            <w:bookmarkStart w:id="28" w:name="_Toc28308"/>
            <w:bookmarkStart w:id="29" w:name="_Toc10510"/>
            <w:r>
              <w:rPr>
                <w:rFonts w:hint="eastAsia" w:ascii="宋体" w:hAnsi="宋体" w:eastAsia="宋体" w:cs="宋体"/>
              </w:rPr>
              <w:t>单位性质：事业单位</w:t>
            </w:r>
            <w:bookmarkEnd w:id="28"/>
            <w:bookmarkEnd w:id="29"/>
          </w:p>
          <w:p w14:paraId="272851DF">
            <w:pPr>
              <w:bidi w:val="0"/>
              <w:rPr>
                <w:rFonts w:hint="eastAsia" w:ascii="宋体" w:hAnsi="宋体" w:eastAsia="宋体" w:cs="宋体"/>
              </w:rPr>
            </w:pPr>
            <w:bookmarkStart w:id="30" w:name="_Toc26813"/>
            <w:bookmarkStart w:id="31" w:name="_Toc12258"/>
            <w:r>
              <w:rPr>
                <w:rFonts w:hint="eastAsia" w:ascii="宋体" w:hAnsi="宋体" w:eastAsia="宋体" w:cs="宋体"/>
              </w:rPr>
              <w:t>纳税人识别码：</w:t>
            </w:r>
            <w:bookmarkEnd w:id="30"/>
            <w:bookmarkEnd w:id="31"/>
            <w:r>
              <w:rPr>
                <w:rFonts w:hint="eastAsia" w:ascii="宋体" w:hAnsi="宋体" w:eastAsia="宋体" w:cs="宋体"/>
              </w:rPr>
              <w:t>12420112441378578D</w:t>
            </w:r>
          </w:p>
        </w:tc>
        <w:tc>
          <w:tcPr>
            <w:tcW w:w="4557" w:type="dxa"/>
            <w:noWrap w:val="0"/>
            <w:vAlign w:val="center"/>
          </w:tcPr>
          <w:p w14:paraId="5C2700B4">
            <w:pPr>
              <w:bidi w:val="0"/>
              <w:rPr>
                <w:rFonts w:hint="eastAsia" w:ascii="宋体" w:hAnsi="宋体" w:eastAsia="宋体" w:cs="宋体"/>
              </w:rPr>
            </w:pPr>
            <w:bookmarkStart w:id="32" w:name="_Toc27372"/>
            <w:bookmarkStart w:id="33" w:name="_Toc14506"/>
            <w:r>
              <w:rPr>
                <w:rFonts w:hint="eastAsia" w:ascii="宋体" w:hAnsi="宋体" w:eastAsia="宋体" w:cs="宋体"/>
              </w:rPr>
              <w:t>单位：</w:t>
            </w:r>
            <w:bookmarkEnd w:id="32"/>
            <w:bookmarkEnd w:id="33"/>
          </w:p>
          <w:p w14:paraId="36E07127">
            <w:pPr>
              <w:bidi w:val="0"/>
              <w:rPr>
                <w:rFonts w:hint="eastAsia" w:ascii="宋体" w:hAnsi="宋体" w:eastAsia="宋体" w:cs="宋体"/>
              </w:rPr>
            </w:pPr>
            <w:bookmarkStart w:id="34" w:name="_Toc12779"/>
            <w:bookmarkStart w:id="35" w:name="_Toc922"/>
            <w:r>
              <w:rPr>
                <w:rFonts w:hint="eastAsia" w:ascii="宋体" w:hAnsi="宋体" w:eastAsia="宋体" w:cs="宋体"/>
              </w:rPr>
              <w:t xml:space="preserve">单位性质： </w:t>
            </w:r>
            <w:r>
              <w:rPr>
                <w:rFonts w:hint="eastAsia" w:ascii="宋体" w:hAnsi="宋体" w:eastAsia="宋体" w:cs="宋体"/>
              </w:rPr>
              <w:sym w:font="Wingdings 2" w:char="00A3"/>
            </w:r>
            <w:r>
              <w:rPr>
                <w:rFonts w:hint="eastAsia" w:ascii="宋体" w:hAnsi="宋体" w:eastAsia="宋体" w:cs="宋体"/>
              </w:rPr>
              <w:t xml:space="preserve">大型 </w:t>
            </w:r>
            <w:r>
              <w:rPr>
                <w:rFonts w:hint="eastAsia" w:ascii="宋体" w:hAnsi="宋体" w:eastAsia="宋体" w:cs="宋体"/>
              </w:rPr>
              <w:sym w:font="Wingdings 2" w:char="00A3"/>
            </w:r>
            <w:r>
              <w:rPr>
                <w:rFonts w:hint="eastAsia" w:ascii="宋体" w:hAnsi="宋体" w:eastAsia="宋体" w:cs="宋体"/>
              </w:rPr>
              <w:t>中型</w:t>
            </w:r>
            <w:r>
              <w:rPr>
                <w:rFonts w:hint="eastAsia" w:ascii="宋体" w:hAnsi="宋体" w:eastAsia="宋体" w:cs="宋体"/>
              </w:rPr>
              <w:sym w:font="Wingdings 2" w:char="00A3"/>
            </w:r>
            <w:r>
              <w:rPr>
                <w:rFonts w:hint="eastAsia" w:ascii="宋体" w:hAnsi="宋体" w:eastAsia="宋体" w:cs="宋体"/>
              </w:rPr>
              <w:t xml:space="preserve">小型 </w:t>
            </w:r>
            <w:r>
              <w:rPr>
                <w:rFonts w:hint="eastAsia" w:ascii="宋体" w:hAnsi="宋体" w:eastAsia="宋体" w:cs="宋体"/>
              </w:rPr>
              <w:sym w:font="Wingdings 2" w:char="00A3"/>
            </w:r>
            <w:r>
              <w:rPr>
                <w:rFonts w:hint="eastAsia" w:ascii="宋体" w:hAnsi="宋体" w:eastAsia="宋体" w:cs="宋体"/>
              </w:rPr>
              <w:t>微型</w:t>
            </w:r>
            <w:bookmarkEnd w:id="34"/>
            <w:bookmarkEnd w:id="35"/>
            <w:r>
              <w:rPr>
                <w:rFonts w:hint="eastAsia" w:ascii="宋体" w:hAnsi="宋体" w:eastAsia="宋体" w:cs="宋体"/>
              </w:rPr>
              <w:t xml:space="preserve">   </w:t>
            </w:r>
          </w:p>
          <w:p w14:paraId="71EFF6B6">
            <w:pPr>
              <w:bidi w:val="0"/>
              <w:rPr>
                <w:rFonts w:hint="eastAsia" w:ascii="宋体" w:hAnsi="宋体" w:eastAsia="宋体" w:cs="宋体"/>
              </w:rPr>
            </w:pPr>
            <w:bookmarkStart w:id="36" w:name="_Toc24144"/>
            <w:bookmarkStart w:id="37" w:name="_Toc29454"/>
            <w:r>
              <w:rPr>
                <w:rFonts w:hint="eastAsia" w:ascii="宋体" w:hAnsi="宋体" w:eastAsia="宋体" w:cs="宋体"/>
              </w:rPr>
              <w:t>纳税人识别码：</w:t>
            </w:r>
            <w:bookmarkEnd w:id="36"/>
            <w:bookmarkEnd w:id="37"/>
          </w:p>
        </w:tc>
      </w:tr>
      <w:tr w14:paraId="0B5A361F">
        <w:tblPrEx>
          <w:tblCellMar>
            <w:top w:w="0" w:type="dxa"/>
            <w:left w:w="108" w:type="dxa"/>
            <w:bottom w:w="0" w:type="dxa"/>
            <w:right w:w="108" w:type="dxa"/>
          </w:tblCellMar>
        </w:tblPrEx>
        <w:trPr>
          <w:trHeight w:val="567" w:hRule="atLeast"/>
        </w:trPr>
        <w:tc>
          <w:tcPr>
            <w:tcW w:w="4786" w:type="dxa"/>
            <w:noWrap w:val="0"/>
            <w:vAlign w:val="center"/>
          </w:tcPr>
          <w:p w14:paraId="62DAC1F1">
            <w:pPr>
              <w:bidi w:val="0"/>
              <w:rPr>
                <w:rFonts w:hint="eastAsia" w:ascii="宋体" w:hAnsi="宋体" w:eastAsia="宋体" w:cs="宋体"/>
              </w:rPr>
            </w:pPr>
            <w:bookmarkStart w:id="38" w:name="_Toc29357"/>
            <w:bookmarkStart w:id="39" w:name="_Toc22488"/>
            <w:r>
              <w:rPr>
                <w:rFonts w:hint="eastAsia" w:ascii="宋体" w:hAnsi="宋体" w:eastAsia="宋体" w:cs="宋体"/>
              </w:rPr>
              <w:t>地址：</w:t>
            </w:r>
            <w:bookmarkEnd w:id="38"/>
            <w:bookmarkEnd w:id="39"/>
            <w:r>
              <w:rPr>
                <w:rFonts w:hint="eastAsia" w:ascii="宋体" w:hAnsi="宋体" w:eastAsia="宋体" w:cs="宋体"/>
              </w:rPr>
              <w:t>武汉市东西湖区吴家山街园丁村1号</w:t>
            </w:r>
          </w:p>
          <w:p w14:paraId="015D7865">
            <w:pPr>
              <w:bidi w:val="0"/>
              <w:rPr>
                <w:rFonts w:hint="eastAsia" w:ascii="宋体" w:hAnsi="宋体" w:eastAsia="宋体" w:cs="宋体"/>
              </w:rPr>
            </w:pPr>
          </w:p>
        </w:tc>
        <w:tc>
          <w:tcPr>
            <w:tcW w:w="4557" w:type="dxa"/>
            <w:noWrap w:val="0"/>
            <w:vAlign w:val="top"/>
          </w:tcPr>
          <w:p w14:paraId="3707F77F">
            <w:pPr>
              <w:bidi w:val="0"/>
              <w:rPr>
                <w:rFonts w:hint="eastAsia" w:ascii="宋体" w:hAnsi="宋体" w:eastAsia="宋体" w:cs="宋体"/>
              </w:rPr>
            </w:pPr>
            <w:bookmarkStart w:id="40" w:name="_Toc22920"/>
            <w:bookmarkStart w:id="41" w:name="_Toc23180"/>
            <w:r>
              <w:rPr>
                <w:rFonts w:hint="eastAsia" w:ascii="宋体" w:hAnsi="宋体" w:eastAsia="宋体" w:cs="宋体"/>
              </w:rPr>
              <w:t>详细地址:</w:t>
            </w:r>
            <w:bookmarkEnd w:id="40"/>
            <w:bookmarkEnd w:id="41"/>
            <w:r>
              <w:rPr>
                <w:rFonts w:hint="eastAsia" w:ascii="宋体" w:hAnsi="宋体" w:eastAsia="宋体" w:cs="宋体"/>
              </w:rPr>
              <w:t xml:space="preserve"> </w:t>
            </w:r>
          </w:p>
          <w:p w14:paraId="25228DAC">
            <w:pPr>
              <w:bidi w:val="0"/>
              <w:rPr>
                <w:rFonts w:hint="eastAsia" w:ascii="宋体" w:hAnsi="宋体" w:eastAsia="宋体" w:cs="宋体"/>
              </w:rPr>
            </w:pPr>
            <w:r>
              <w:rPr>
                <w:rFonts w:hint="eastAsia" w:ascii="宋体" w:hAnsi="宋体" w:eastAsia="宋体" w:cs="宋体"/>
              </w:rPr>
              <w:t>所在区域：    省     市      区</w:t>
            </w:r>
          </w:p>
        </w:tc>
      </w:tr>
      <w:tr w14:paraId="68AA2EDD">
        <w:tblPrEx>
          <w:tblCellMar>
            <w:top w:w="0" w:type="dxa"/>
            <w:left w:w="108" w:type="dxa"/>
            <w:bottom w:w="0" w:type="dxa"/>
            <w:right w:w="108" w:type="dxa"/>
          </w:tblCellMar>
        </w:tblPrEx>
        <w:trPr>
          <w:trHeight w:val="477" w:hRule="atLeast"/>
        </w:trPr>
        <w:tc>
          <w:tcPr>
            <w:tcW w:w="4786" w:type="dxa"/>
            <w:noWrap w:val="0"/>
            <w:vAlign w:val="center"/>
          </w:tcPr>
          <w:p w14:paraId="3E218C6A">
            <w:pPr>
              <w:bidi w:val="0"/>
              <w:rPr>
                <w:rFonts w:hint="eastAsia" w:ascii="宋体" w:hAnsi="宋体" w:eastAsia="宋体" w:cs="宋体"/>
              </w:rPr>
            </w:pPr>
            <w:bookmarkStart w:id="42" w:name="_Toc15535"/>
            <w:bookmarkStart w:id="43" w:name="_Toc2639"/>
            <w:r>
              <w:rPr>
                <w:rFonts w:hint="eastAsia" w:ascii="宋体" w:hAnsi="宋体" w:eastAsia="宋体" w:cs="宋体"/>
              </w:rPr>
              <w:t>电  话：</w:t>
            </w:r>
            <w:bookmarkEnd w:id="42"/>
            <w:bookmarkEnd w:id="43"/>
            <w:r>
              <w:rPr>
                <w:rFonts w:hint="eastAsia" w:ascii="宋体" w:hAnsi="宋体" w:eastAsia="宋体" w:cs="宋体"/>
              </w:rPr>
              <w:t>027-83894312</w:t>
            </w:r>
          </w:p>
        </w:tc>
        <w:tc>
          <w:tcPr>
            <w:tcW w:w="4557" w:type="dxa"/>
            <w:noWrap w:val="0"/>
            <w:vAlign w:val="center"/>
          </w:tcPr>
          <w:p w14:paraId="41DFAF70">
            <w:pPr>
              <w:bidi w:val="0"/>
              <w:rPr>
                <w:rFonts w:hint="eastAsia" w:ascii="宋体" w:hAnsi="宋体" w:eastAsia="宋体" w:cs="宋体"/>
              </w:rPr>
            </w:pPr>
            <w:bookmarkStart w:id="44" w:name="_Toc5220"/>
            <w:bookmarkStart w:id="45" w:name="_Toc7990"/>
            <w:r>
              <w:rPr>
                <w:rFonts w:hint="eastAsia" w:ascii="宋体" w:hAnsi="宋体" w:eastAsia="宋体" w:cs="宋体"/>
              </w:rPr>
              <w:t>电  话：</w:t>
            </w:r>
            <w:bookmarkEnd w:id="44"/>
            <w:bookmarkEnd w:id="45"/>
            <w:r>
              <w:rPr>
                <w:rFonts w:hint="eastAsia" w:ascii="宋体" w:hAnsi="宋体" w:eastAsia="宋体" w:cs="宋体"/>
              </w:rPr>
              <w:t xml:space="preserve"> </w:t>
            </w:r>
          </w:p>
        </w:tc>
      </w:tr>
      <w:tr w14:paraId="71058DFB">
        <w:tblPrEx>
          <w:tblCellMar>
            <w:top w:w="0" w:type="dxa"/>
            <w:left w:w="108" w:type="dxa"/>
            <w:bottom w:w="0" w:type="dxa"/>
            <w:right w:w="108" w:type="dxa"/>
          </w:tblCellMar>
        </w:tblPrEx>
        <w:trPr>
          <w:trHeight w:val="462" w:hRule="atLeast"/>
        </w:trPr>
        <w:tc>
          <w:tcPr>
            <w:tcW w:w="4786" w:type="dxa"/>
            <w:noWrap w:val="0"/>
            <w:vAlign w:val="center"/>
          </w:tcPr>
          <w:p w14:paraId="2BAE5397">
            <w:pPr>
              <w:bidi w:val="0"/>
              <w:rPr>
                <w:rFonts w:hint="eastAsia" w:ascii="宋体" w:hAnsi="宋体" w:eastAsia="宋体" w:cs="宋体"/>
              </w:rPr>
            </w:pPr>
            <w:bookmarkStart w:id="46" w:name="_Toc10003"/>
            <w:bookmarkStart w:id="47" w:name="_Toc6717"/>
            <w:r>
              <w:rPr>
                <w:rFonts w:hint="eastAsia" w:ascii="宋体" w:hAnsi="宋体" w:eastAsia="宋体" w:cs="宋体"/>
              </w:rPr>
              <w:t>传  真：</w:t>
            </w:r>
            <w:bookmarkEnd w:id="46"/>
            <w:bookmarkEnd w:id="47"/>
            <w:r>
              <w:rPr>
                <w:rFonts w:hint="eastAsia" w:ascii="宋体" w:hAnsi="宋体" w:eastAsia="宋体" w:cs="宋体"/>
              </w:rPr>
              <w:t>027-83894312</w:t>
            </w:r>
          </w:p>
        </w:tc>
        <w:tc>
          <w:tcPr>
            <w:tcW w:w="4557" w:type="dxa"/>
            <w:noWrap w:val="0"/>
            <w:vAlign w:val="center"/>
          </w:tcPr>
          <w:p w14:paraId="238276E8">
            <w:pPr>
              <w:bidi w:val="0"/>
              <w:rPr>
                <w:rFonts w:hint="eastAsia" w:ascii="宋体" w:hAnsi="宋体" w:eastAsia="宋体" w:cs="宋体"/>
              </w:rPr>
            </w:pPr>
            <w:bookmarkStart w:id="48" w:name="_Toc2482"/>
            <w:bookmarkStart w:id="49" w:name="_Toc18687"/>
            <w:r>
              <w:rPr>
                <w:rFonts w:hint="eastAsia" w:ascii="宋体" w:hAnsi="宋体" w:eastAsia="宋体" w:cs="宋体"/>
              </w:rPr>
              <w:t>传  真：</w:t>
            </w:r>
            <w:bookmarkEnd w:id="48"/>
            <w:bookmarkEnd w:id="49"/>
          </w:p>
        </w:tc>
      </w:tr>
      <w:tr w14:paraId="65590EA2">
        <w:tblPrEx>
          <w:tblCellMar>
            <w:top w:w="0" w:type="dxa"/>
            <w:left w:w="108" w:type="dxa"/>
            <w:bottom w:w="0" w:type="dxa"/>
            <w:right w:w="108" w:type="dxa"/>
          </w:tblCellMar>
        </w:tblPrEx>
        <w:trPr>
          <w:trHeight w:val="432" w:hRule="atLeast"/>
        </w:trPr>
        <w:tc>
          <w:tcPr>
            <w:tcW w:w="4786" w:type="dxa"/>
            <w:noWrap w:val="0"/>
            <w:vAlign w:val="center"/>
          </w:tcPr>
          <w:p w14:paraId="41A00FD6">
            <w:pPr>
              <w:bidi w:val="0"/>
              <w:rPr>
                <w:rFonts w:hint="eastAsia" w:ascii="宋体" w:hAnsi="宋体" w:eastAsia="宋体" w:cs="宋体"/>
              </w:rPr>
            </w:pPr>
            <w:bookmarkStart w:id="50" w:name="_Toc1577"/>
            <w:bookmarkStart w:id="51" w:name="_Toc18822"/>
            <w:r>
              <w:rPr>
                <w:rFonts w:hint="eastAsia" w:ascii="宋体" w:hAnsi="宋体" w:eastAsia="宋体" w:cs="宋体"/>
              </w:rPr>
              <w:t>邮政编码：430040</w:t>
            </w:r>
            <w:bookmarkEnd w:id="50"/>
            <w:bookmarkEnd w:id="51"/>
          </w:p>
        </w:tc>
        <w:tc>
          <w:tcPr>
            <w:tcW w:w="4557" w:type="dxa"/>
            <w:noWrap w:val="0"/>
            <w:vAlign w:val="center"/>
          </w:tcPr>
          <w:p w14:paraId="1F98C1BC">
            <w:pPr>
              <w:bidi w:val="0"/>
              <w:rPr>
                <w:rFonts w:hint="eastAsia" w:ascii="宋体" w:hAnsi="宋体" w:eastAsia="宋体" w:cs="宋体"/>
              </w:rPr>
            </w:pPr>
            <w:bookmarkStart w:id="52" w:name="_Toc14219"/>
            <w:bookmarkStart w:id="53" w:name="_Toc27620"/>
            <w:r>
              <w:rPr>
                <w:rFonts w:hint="eastAsia" w:ascii="宋体" w:hAnsi="宋体" w:eastAsia="宋体" w:cs="宋体"/>
              </w:rPr>
              <w:t>邮政编码：</w:t>
            </w:r>
            <w:bookmarkEnd w:id="52"/>
            <w:bookmarkEnd w:id="53"/>
          </w:p>
        </w:tc>
      </w:tr>
      <w:tr w14:paraId="0D1A8A67">
        <w:tblPrEx>
          <w:tblCellMar>
            <w:top w:w="0" w:type="dxa"/>
            <w:left w:w="108" w:type="dxa"/>
            <w:bottom w:w="0" w:type="dxa"/>
            <w:right w:w="108" w:type="dxa"/>
          </w:tblCellMar>
        </w:tblPrEx>
        <w:trPr>
          <w:trHeight w:val="774" w:hRule="atLeast"/>
        </w:trPr>
        <w:tc>
          <w:tcPr>
            <w:tcW w:w="4786" w:type="dxa"/>
            <w:noWrap w:val="0"/>
            <w:vAlign w:val="top"/>
          </w:tcPr>
          <w:p w14:paraId="370CAFB9">
            <w:pPr>
              <w:bidi w:val="0"/>
              <w:rPr>
                <w:rFonts w:hint="eastAsia" w:ascii="宋体" w:hAnsi="宋体" w:eastAsia="宋体" w:cs="宋体"/>
                <w:lang w:eastAsia="zh-CN"/>
              </w:rPr>
            </w:pPr>
            <w:bookmarkStart w:id="54" w:name="_Toc22835"/>
            <w:bookmarkStart w:id="55" w:name="_Toc21609"/>
            <w:r>
              <w:rPr>
                <w:rFonts w:hint="eastAsia" w:ascii="宋体" w:hAnsi="宋体" w:eastAsia="宋体" w:cs="宋体"/>
              </w:rPr>
              <w:t>开户名称：</w:t>
            </w:r>
            <w:bookmarkEnd w:id="54"/>
            <w:bookmarkEnd w:id="55"/>
            <w:r>
              <w:rPr>
                <w:rFonts w:hint="eastAsia" w:ascii="宋体" w:hAnsi="宋体" w:eastAsia="宋体" w:cs="宋体"/>
              </w:rPr>
              <w:t>武汉市东西湖区吴家山第一小学</w:t>
            </w:r>
          </w:p>
        </w:tc>
        <w:tc>
          <w:tcPr>
            <w:tcW w:w="4557" w:type="dxa"/>
            <w:noWrap w:val="0"/>
            <w:vAlign w:val="top"/>
          </w:tcPr>
          <w:p w14:paraId="5538ADC7">
            <w:pPr>
              <w:bidi w:val="0"/>
              <w:rPr>
                <w:rFonts w:hint="eastAsia" w:ascii="宋体" w:hAnsi="宋体" w:eastAsia="宋体" w:cs="宋体"/>
              </w:rPr>
            </w:pPr>
            <w:bookmarkStart w:id="56" w:name="_Toc3184"/>
            <w:bookmarkStart w:id="57" w:name="_Toc16775"/>
            <w:r>
              <w:rPr>
                <w:rFonts w:hint="eastAsia" w:ascii="宋体" w:hAnsi="宋体" w:eastAsia="宋体" w:cs="宋体"/>
              </w:rPr>
              <w:t>开户名称：</w:t>
            </w:r>
            <w:bookmarkEnd w:id="56"/>
            <w:bookmarkEnd w:id="57"/>
          </w:p>
        </w:tc>
      </w:tr>
      <w:tr w14:paraId="3E6D9D73">
        <w:tblPrEx>
          <w:tblCellMar>
            <w:top w:w="0" w:type="dxa"/>
            <w:left w:w="108" w:type="dxa"/>
            <w:bottom w:w="0" w:type="dxa"/>
            <w:right w:w="108" w:type="dxa"/>
          </w:tblCellMar>
        </w:tblPrEx>
        <w:trPr>
          <w:trHeight w:val="822" w:hRule="atLeast"/>
        </w:trPr>
        <w:tc>
          <w:tcPr>
            <w:tcW w:w="4786" w:type="dxa"/>
            <w:noWrap w:val="0"/>
            <w:vAlign w:val="top"/>
          </w:tcPr>
          <w:p w14:paraId="20590923">
            <w:pPr>
              <w:bidi w:val="0"/>
              <w:rPr>
                <w:rFonts w:hint="eastAsia" w:ascii="宋体" w:hAnsi="宋体" w:eastAsia="宋体" w:cs="宋体"/>
              </w:rPr>
            </w:pPr>
            <w:bookmarkStart w:id="58" w:name="_Toc11845"/>
            <w:bookmarkStart w:id="59" w:name="_Toc5270"/>
            <w:r>
              <w:rPr>
                <w:rFonts w:hint="eastAsia" w:ascii="宋体" w:hAnsi="宋体" w:eastAsia="宋体" w:cs="宋体"/>
              </w:rPr>
              <w:t>开户银行及12位行号：</w:t>
            </w:r>
            <w:bookmarkEnd w:id="58"/>
            <w:bookmarkEnd w:id="59"/>
          </w:p>
          <w:p w14:paraId="5BFA8315">
            <w:pPr>
              <w:bidi w:val="0"/>
              <w:rPr>
                <w:rFonts w:hint="eastAsia" w:ascii="宋体" w:hAnsi="宋体" w:eastAsia="宋体" w:cs="宋体"/>
              </w:rPr>
            </w:pPr>
            <w:r>
              <w:rPr>
                <w:rFonts w:hint="eastAsia" w:ascii="宋体" w:hAnsi="宋体" w:eastAsia="宋体" w:cs="宋体"/>
              </w:rPr>
              <w:t>交通银行湖北省分行东西湖支行</w:t>
            </w:r>
          </w:p>
          <w:p w14:paraId="5DA09EF3">
            <w:pPr>
              <w:bidi w:val="0"/>
              <w:rPr>
                <w:rFonts w:hint="eastAsia" w:ascii="宋体" w:hAnsi="宋体" w:eastAsia="宋体" w:cs="宋体"/>
              </w:rPr>
            </w:pPr>
            <w:r>
              <w:rPr>
                <w:rFonts w:hint="eastAsia" w:ascii="宋体" w:hAnsi="宋体" w:eastAsia="宋体" w:cs="宋体"/>
              </w:rPr>
              <w:t>301521006004</w:t>
            </w:r>
          </w:p>
        </w:tc>
        <w:tc>
          <w:tcPr>
            <w:tcW w:w="4557" w:type="dxa"/>
            <w:noWrap w:val="0"/>
            <w:vAlign w:val="top"/>
          </w:tcPr>
          <w:p w14:paraId="4662B6BE">
            <w:pPr>
              <w:bidi w:val="0"/>
              <w:rPr>
                <w:rFonts w:hint="eastAsia" w:ascii="宋体" w:hAnsi="宋体" w:eastAsia="宋体" w:cs="宋体"/>
              </w:rPr>
            </w:pPr>
            <w:bookmarkStart w:id="60" w:name="_Toc20222"/>
            <w:bookmarkStart w:id="61" w:name="_Toc23415"/>
            <w:r>
              <w:rPr>
                <w:rFonts w:hint="eastAsia" w:ascii="宋体" w:hAnsi="宋体" w:eastAsia="宋体" w:cs="宋体"/>
              </w:rPr>
              <w:t>开户银行及12位行号：</w:t>
            </w:r>
            <w:bookmarkEnd w:id="60"/>
            <w:bookmarkEnd w:id="61"/>
          </w:p>
          <w:p w14:paraId="367AD853">
            <w:pPr>
              <w:bidi w:val="0"/>
              <w:rPr>
                <w:rFonts w:hint="eastAsia" w:ascii="宋体" w:hAnsi="宋体" w:eastAsia="宋体" w:cs="宋体"/>
              </w:rPr>
            </w:pPr>
          </w:p>
          <w:p w14:paraId="3740BC18">
            <w:pPr>
              <w:bidi w:val="0"/>
              <w:rPr>
                <w:rFonts w:hint="eastAsia" w:ascii="宋体" w:hAnsi="宋体" w:eastAsia="宋体" w:cs="宋体"/>
              </w:rPr>
            </w:pPr>
          </w:p>
        </w:tc>
      </w:tr>
      <w:tr w14:paraId="47BD8145">
        <w:tblPrEx>
          <w:tblCellMar>
            <w:top w:w="0" w:type="dxa"/>
            <w:left w:w="108" w:type="dxa"/>
            <w:bottom w:w="0" w:type="dxa"/>
            <w:right w:w="108" w:type="dxa"/>
          </w:tblCellMar>
        </w:tblPrEx>
        <w:trPr>
          <w:trHeight w:val="402" w:hRule="atLeast"/>
        </w:trPr>
        <w:tc>
          <w:tcPr>
            <w:tcW w:w="4786" w:type="dxa"/>
            <w:noWrap w:val="0"/>
            <w:vAlign w:val="center"/>
          </w:tcPr>
          <w:p w14:paraId="294E41AD">
            <w:pPr>
              <w:bidi w:val="0"/>
              <w:rPr>
                <w:rFonts w:hint="eastAsia" w:ascii="宋体" w:hAnsi="宋体" w:eastAsia="宋体" w:cs="宋体"/>
              </w:rPr>
            </w:pPr>
            <w:bookmarkStart w:id="62" w:name="_Toc28252"/>
            <w:bookmarkStart w:id="63" w:name="_Toc23066"/>
            <w:r>
              <w:rPr>
                <w:rFonts w:hint="eastAsia" w:ascii="宋体" w:hAnsi="宋体" w:eastAsia="宋体" w:cs="宋体"/>
              </w:rPr>
              <w:t>账  号：</w:t>
            </w:r>
            <w:bookmarkEnd w:id="62"/>
            <w:bookmarkEnd w:id="63"/>
            <w:r>
              <w:rPr>
                <w:rFonts w:hint="eastAsia" w:ascii="宋体" w:hAnsi="宋体" w:eastAsia="宋体" w:cs="宋体"/>
              </w:rPr>
              <w:t>421868088018010157051</w:t>
            </w:r>
          </w:p>
        </w:tc>
        <w:tc>
          <w:tcPr>
            <w:tcW w:w="4557" w:type="dxa"/>
            <w:noWrap w:val="0"/>
            <w:vAlign w:val="center"/>
          </w:tcPr>
          <w:p w14:paraId="75F73BF6">
            <w:pPr>
              <w:bidi w:val="0"/>
              <w:rPr>
                <w:rFonts w:hint="eastAsia" w:ascii="宋体" w:hAnsi="宋体" w:eastAsia="宋体" w:cs="宋体"/>
              </w:rPr>
            </w:pPr>
            <w:bookmarkStart w:id="64" w:name="_Toc3859"/>
            <w:bookmarkStart w:id="65" w:name="_Toc27152"/>
            <w:r>
              <w:rPr>
                <w:rFonts w:hint="eastAsia" w:ascii="宋体" w:hAnsi="宋体" w:eastAsia="宋体" w:cs="宋体"/>
              </w:rPr>
              <w:t>账  号：</w:t>
            </w:r>
            <w:bookmarkEnd w:id="64"/>
            <w:bookmarkEnd w:id="65"/>
          </w:p>
        </w:tc>
      </w:tr>
      <w:tr w14:paraId="22C7C78D">
        <w:tblPrEx>
          <w:tblCellMar>
            <w:top w:w="0" w:type="dxa"/>
            <w:left w:w="108" w:type="dxa"/>
            <w:bottom w:w="0" w:type="dxa"/>
            <w:right w:w="108" w:type="dxa"/>
          </w:tblCellMar>
        </w:tblPrEx>
        <w:trPr>
          <w:trHeight w:val="543" w:hRule="atLeast"/>
        </w:trPr>
        <w:tc>
          <w:tcPr>
            <w:tcW w:w="4786" w:type="dxa"/>
            <w:noWrap w:val="0"/>
            <w:vAlign w:val="center"/>
          </w:tcPr>
          <w:p w14:paraId="73F29352">
            <w:pPr>
              <w:bidi w:val="0"/>
              <w:rPr>
                <w:rFonts w:hint="eastAsia" w:ascii="宋体" w:hAnsi="宋体" w:eastAsia="宋体" w:cs="宋体"/>
              </w:rPr>
            </w:pPr>
            <w:bookmarkStart w:id="66" w:name="_Toc17793"/>
            <w:bookmarkStart w:id="67" w:name="_Toc26154"/>
            <w:r>
              <w:rPr>
                <w:rFonts w:hint="eastAsia" w:ascii="宋体" w:hAnsi="宋体" w:eastAsia="宋体" w:cs="宋体"/>
              </w:rPr>
              <w:t>签订人：</w:t>
            </w:r>
            <w:bookmarkEnd w:id="66"/>
            <w:bookmarkEnd w:id="67"/>
          </w:p>
        </w:tc>
        <w:tc>
          <w:tcPr>
            <w:tcW w:w="4557" w:type="dxa"/>
            <w:noWrap w:val="0"/>
            <w:vAlign w:val="center"/>
          </w:tcPr>
          <w:p w14:paraId="50D390C5">
            <w:pPr>
              <w:bidi w:val="0"/>
              <w:rPr>
                <w:rFonts w:hint="eastAsia" w:ascii="宋体" w:hAnsi="宋体" w:eastAsia="宋体" w:cs="宋体"/>
              </w:rPr>
            </w:pPr>
            <w:bookmarkStart w:id="68" w:name="_Toc17507"/>
            <w:bookmarkStart w:id="69" w:name="_Toc21540"/>
            <w:r>
              <w:rPr>
                <w:rFonts w:hint="eastAsia" w:ascii="宋体" w:hAnsi="宋体" w:eastAsia="宋体" w:cs="宋体"/>
              </w:rPr>
              <w:t>签订人：</w:t>
            </w:r>
            <w:bookmarkEnd w:id="68"/>
            <w:bookmarkEnd w:id="69"/>
          </w:p>
        </w:tc>
      </w:tr>
      <w:tr w14:paraId="5685B2D4">
        <w:tblPrEx>
          <w:tblCellMar>
            <w:top w:w="0" w:type="dxa"/>
            <w:left w:w="108" w:type="dxa"/>
            <w:bottom w:w="0" w:type="dxa"/>
            <w:right w:w="108" w:type="dxa"/>
          </w:tblCellMar>
        </w:tblPrEx>
        <w:trPr>
          <w:trHeight w:val="498" w:hRule="atLeast"/>
        </w:trPr>
        <w:tc>
          <w:tcPr>
            <w:tcW w:w="4786" w:type="dxa"/>
            <w:noWrap w:val="0"/>
            <w:vAlign w:val="center"/>
          </w:tcPr>
          <w:p w14:paraId="292EEA8E">
            <w:pPr>
              <w:bidi w:val="0"/>
              <w:rPr>
                <w:rFonts w:hint="eastAsia" w:ascii="宋体" w:hAnsi="宋体" w:eastAsia="宋体" w:cs="宋体"/>
              </w:rPr>
            </w:pPr>
            <w:bookmarkStart w:id="70" w:name="_Toc14986"/>
            <w:bookmarkStart w:id="71" w:name="_Toc5031"/>
            <w:r>
              <w:rPr>
                <w:rFonts w:hint="eastAsia" w:ascii="宋体" w:hAnsi="宋体" w:eastAsia="宋体" w:cs="宋体"/>
              </w:rPr>
              <w:t>日  期：</w:t>
            </w:r>
            <w:bookmarkEnd w:id="70"/>
            <w:bookmarkEnd w:id="71"/>
          </w:p>
        </w:tc>
        <w:tc>
          <w:tcPr>
            <w:tcW w:w="4557" w:type="dxa"/>
            <w:noWrap w:val="0"/>
            <w:vAlign w:val="center"/>
          </w:tcPr>
          <w:p w14:paraId="50CC8C39">
            <w:pPr>
              <w:bidi w:val="0"/>
              <w:rPr>
                <w:rFonts w:hint="eastAsia" w:ascii="宋体" w:hAnsi="宋体" w:eastAsia="宋体" w:cs="宋体"/>
              </w:rPr>
            </w:pPr>
            <w:bookmarkStart w:id="72" w:name="_Toc20278"/>
            <w:bookmarkStart w:id="73" w:name="_Toc19555"/>
            <w:r>
              <w:rPr>
                <w:rFonts w:hint="eastAsia" w:ascii="宋体" w:hAnsi="宋体" w:eastAsia="宋体" w:cs="宋体"/>
              </w:rPr>
              <w:t>日  期：</w:t>
            </w:r>
            <w:bookmarkEnd w:id="72"/>
            <w:bookmarkEnd w:id="73"/>
          </w:p>
        </w:tc>
      </w:tr>
    </w:tbl>
    <w:p w14:paraId="214B2DF0">
      <w:pPr>
        <w:bidi w:val="0"/>
        <w:rPr>
          <w:rFonts w:hint="eastAsia"/>
        </w:rPr>
      </w:pPr>
    </w:p>
    <w:p w14:paraId="2636D69E">
      <w:pPr>
        <w:bidi w:val="0"/>
        <w:rPr>
          <w:rFonts w:hint="default"/>
          <w:lang w:val="en-US" w:eastAsia="zh-CN"/>
        </w:rPr>
      </w:pPr>
    </w:p>
    <w:sectPr>
      <w:headerReference r:id="rId9" w:type="default"/>
      <w:footerReference r:id="rId10" w:type="default"/>
      <w:pgSz w:w="11906" w:h="16838"/>
      <w:pgMar w:top="1440" w:right="1416" w:bottom="1440" w:left="1276" w:header="851" w:footer="992" w:gutter="0"/>
      <w:pgNumType w:fmt="decimal"/>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73481">
    <w:pPr>
      <w:spacing w:line="170" w:lineRule="auto"/>
      <w:ind w:left="157"/>
      <w:rPr>
        <w:rFonts w:ascii="Times New Roman" w:hAnsi="Times New Roman" w:eastAsia="Times New Roman"/>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44769">
    <w:pPr>
      <w:spacing w:line="170" w:lineRule="auto"/>
      <w:ind w:left="157"/>
      <w:rPr>
        <w:rFonts w:ascii="Times New Roman" w:hAnsi="Times New Roman" w:eastAsia="Times New Roman"/>
        <w:sz w:val="12"/>
        <w:szCs w:val="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7FEF6">
    <w:pPr>
      <w:spacing w:line="170" w:lineRule="auto"/>
      <w:ind w:left="157"/>
      <w:rPr>
        <w:rFonts w:ascii="Times New Roman" w:hAnsi="Times New Roman" w:eastAsia="Times New Roman"/>
        <w:sz w:val="12"/>
        <w:szCs w:val="12"/>
      </w:rPr>
    </w:pPr>
    <w:r>
      <w:rPr>
        <w:sz w:val="12"/>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C2D939A">
                          <w:pPr>
                            <w:pStyle w:val="15"/>
                            <w:tabs>
                              <w:tab w:val="center" w:pos="4153"/>
                              <w:tab w:val="right" w:pos="8306"/>
                            </w:tabs>
                          </w:pPr>
                          <w:r>
                            <w:fldChar w:fldCharType="begin"/>
                          </w:r>
                          <w:r>
                            <w:instrText xml:space="preserve"> PAGE  \* MERGEFORMAT </w:instrText>
                          </w:r>
                          <w:r>
                            <w:fldChar w:fldCharType="separate"/>
                          </w:r>
                          <w:r>
                            <w:t>35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6C2D939A">
                    <w:pPr>
                      <w:pStyle w:val="15"/>
                      <w:tabs>
                        <w:tab w:val="center" w:pos="4153"/>
                        <w:tab w:val="right" w:pos="8306"/>
                      </w:tabs>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47BB0">
    <w:pPr>
      <w:pStyle w:val="15"/>
      <w:tabs>
        <w:tab w:val="center" w:pos="4153"/>
        <w:tab w:val="right" w:pos="8306"/>
      </w:tabs>
      <w:ind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5918F7">
                          <w:pPr>
                            <w:pStyle w:val="15"/>
                          </w:pP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325918F7">
                    <w:pPr>
                      <w:pStyle w:val="15"/>
                    </w:pP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p w14:paraId="683361B9">
    <w:pPr>
      <w:pStyle w:val="15"/>
      <w:tabs>
        <w:tab w:val="center" w:pos="4153"/>
        <w:tab w:val="right" w:pos="8306"/>
      </w:tabs>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879DF6">
    <w:pPr>
      <w:pStyle w:val="10"/>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7E689">
    <w:pPr>
      <w:pStyle w:val="16"/>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1"/>
    <w:multiLevelType w:val="singleLevel"/>
    <w:tmpl w:val="00000011"/>
    <w:lvl w:ilvl="0" w:tentative="0">
      <w:start w:val="3"/>
      <w:numFmt w:val="decimal"/>
      <w:suff w:val="nothing"/>
      <w:lvlText w:val="（%1）"/>
      <w:lvlJc w:val="left"/>
    </w:lvl>
  </w:abstractNum>
  <w:abstractNum w:abstractNumId="1">
    <w:nsid w:val="7236CF71"/>
    <w:multiLevelType w:val="singleLevel"/>
    <w:tmpl w:val="7236CF71"/>
    <w:lvl w:ilvl="0" w:tentative="0">
      <w:start w:val="1"/>
      <w:numFmt w:val="chineseCounting"/>
      <w:suff w:val="nothing"/>
      <w:lvlText w:val="%1、"/>
      <w:lvlJc w:val="left"/>
      <w:pPr>
        <w:ind w:left="1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5MzAwYWFjNzk0ZDM2ZmMzNjJhYmM2YmQyYjAyM2YifQ=="/>
  </w:docVars>
  <w:rsids>
    <w:rsidRoot w:val="00217FF2"/>
    <w:rsid w:val="000F09E1"/>
    <w:rsid w:val="001660AE"/>
    <w:rsid w:val="001C3829"/>
    <w:rsid w:val="00217FF2"/>
    <w:rsid w:val="002922C7"/>
    <w:rsid w:val="002A2648"/>
    <w:rsid w:val="002C0AC4"/>
    <w:rsid w:val="00361344"/>
    <w:rsid w:val="003F55E2"/>
    <w:rsid w:val="00400872"/>
    <w:rsid w:val="0054009A"/>
    <w:rsid w:val="00557231"/>
    <w:rsid w:val="005C6564"/>
    <w:rsid w:val="00614CA5"/>
    <w:rsid w:val="00754456"/>
    <w:rsid w:val="00770018"/>
    <w:rsid w:val="00807050"/>
    <w:rsid w:val="008829AD"/>
    <w:rsid w:val="00B648D2"/>
    <w:rsid w:val="00CA04D4"/>
    <w:rsid w:val="00CA420B"/>
    <w:rsid w:val="00DA22EC"/>
    <w:rsid w:val="00DD7110"/>
    <w:rsid w:val="00E16783"/>
    <w:rsid w:val="00E9002E"/>
    <w:rsid w:val="00E90A6C"/>
    <w:rsid w:val="00F261AB"/>
    <w:rsid w:val="00F61317"/>
    <w:rsid w:val="00F8194E"/>
    <w:rsid w:val="01C03F45"/>
    <w:rsid w:val="01D40BB6"/>
    <w:rsid w:val="0255692C"/>
    <w:rsid w:val="02AC1053"/>
    <w:rsid w:val="02C14713"/>
    <w:rsid w:val="053F2AC7"/>
    <w:rsid w:val="05B01A7A"/>
    <w:rsid w:val="060F3A1A"/>
    <w:rsid w:val="066D5A9E"/>
    <w:rsid w:val="07DE6C50"/>
    <w:rsid w:val="08357123"/>
    <w:rsid w:val="0868285A"/>
    <w:rsid w:val="086E7C32"/>
    <w:rsid w:val="090F55D9"/>
    <w:rsid w:val="0934547C"/>
    <w:rsid w:val="097E25E3"/>
    <w:rsid w:val="0A0D52EB"/>
    <w:rsid w:val="0B667341"/>
    <w:rsid w:val="0DC6275A"/>
    <w:rsid w:val="0E0261B5"/>
    <w:rsid w:val="0E756A5E"/>
    <w:rsid w:val="0E9C6341"/>
    <w:rsid w:val="10354E7A"/>
    <w:rsid w:val="110F7AFF"/>
    <w:rsid w:val="1150798E"/>
    <w:rsid w:val="1152663A"/>
    <w:rsid w:val="128C0CD5"/>
    <w:rsid w:val="12CD23A9"/>
    <w:rsid w:val="12EE2CA3"/>
    <w:rsid w:val="13012B8D"/>
    <w:rsid w:val="13997C6A"/>
    <w:rsid w:val="13B12888"/>
    <w:rsid w:val="13D92294"/>
    <w:rsid w:val="143F773C"/>
    <w:rsid w:val="1464066B"/>
    <w:rsid w:val="14800B1C"/>
    <w:rsid w:val="14820193"/>
    <w:rsid w:val="16786279"/>
    <w:rsid w:val="17786A0E"/>
    <w:rsid w:val="183D3FFC"/>
    <w:rsid w:val="18794A46"/>
    <w:rsid w:val="18B1097E"/>
    <w:rsid w:val="19114DF2"/>
    <w:rsid w:val="198804EA"/>
    <w:rsid w:val="19B401AA"/>
    <w:rsid w:val="19E70E0E"/>
    <w:rsid w:val="1C0628B7"/>
    <w:rsid w:val="1C2D70D2"/>
    <w:rsid w:val="1D6B2F42"/>
    <w:rsid w:val="1D743D71"/>
    <w:rsid w:val="1DDD2889"/>
    <w:rsid w:val="1E163BB8"/>
    <w:rsid w:val="1F921849"/>
    <w:rsid w:val="1FAB4C62"/>
    <w:rsid w:val="21D0623B"/>
    <w:rsid w:val="21FA1297"/>
    <w:rsid w:val="22E116F5"/>
    <w:rsid w:val="24AE30E7"/>
    <w:rsid w:val="24DF14CA"/>
    <w:rsid w:val="26511C21"/>
    <w:rsid w:val="26B32BB5"/>
    <w:rsid w:val="27EA1B5F"/>
    <w:rsid w:val="282F421A"/>
    <w:rsid w:val="29081272"/>
    <w:rsid w:val="29C929ED"/>
    <w:rsid w:val="29CB6A13"/>
    <w:rsid w:val="2A1574A8"/>
    <w:rsid w:val="2B7B52EE"/>
    <w:rsid w:val="2CAC407E"/>
    <w:rsid w:val="2CC851DF"/>
    <w:rsid w:val="2EB37529"/>
    <w:rsid w:val="2F3D6FF1"/>
    <w:rsid w:val="30B51BB0"/>
    <w:rsid w:val="31944E7D"/>
    <w:rsid w:val="31B71312"/>
    <w:rsid w:val="337232E3"/>
    <w:rsid w:val="33B465AC"/>
    <w:rsid w:val="35134CB4"/>
    <w:rsid w:val="36382CB9"/>
    <w:rsid w:val="37240049"/>
    <w:rsid w:val="3746033D"/>
    <w:rsid w:val="396614E5"/>
    <w:rsid w:val="3AFA25F5"/>
    <w:rsid w:val="3B363F67"/>
    <w:rsid w:val="3BF033D9"/>
    <w:rsid w:val="3F720966"/>
    <w:rsid w:val="3F765462"/>
    <w:rsid w:val="3F7E18C4"/>
    <w:rsid w:val="3FDA2F9E"/>
    <w:rsid w:val="400728CC"/>
    <w:rsid w:val="406120E9"/>
    <w:rsid w:val="40CB7B89"/>
    <w:rsid w:val="417E781E"/>
    <w:rsid w:val="43502AE5"/>
    <w:rsid w:val="43AC0516"/>
    <w:rsid w:val="44220BE4"/>
    <w:rsid w:val="448E7C2C"/>
    <w:rsid w:val="45C3338C"/>
    <w:rsid w:val="46970EDC"/>
    <w:rsid w:val="46E110B6"/>
    <w:rsid w:val="479F0CE5"/>
    <w:rsid w:val="482D2C17"/>
    <w:rsid w:val="4995152A"/>
    <w:rsid w:val="49AE48C9"/>
    <w:rsid w:val="4A722025"/>
    <w:rsid w:val="4A75031E"/>
    <w:rsid w:val="4B135D0A"/>
    <w:rsid w:val="4B562149"/>
    <w:rsid w:val="4B6D2F19"/>
    <w:rsid w:val="4B766D22"/>
    <w:rsid w:val="4C5C4D3B"/>
    <w:rsid w:val="4C832411"/>
    <w:rsid w:val="4C881AD0"/>
    <w:rsid w:val="4CA20A4E"/>
    <w:rsid w:val="4CD21F86"/>
    <w:rsid w:val="4F0D7F08"/>
    <w:rsid w:val="508B373D"/>
    <w:rsid w:val="50B90E55"/>
    <w:rsid w:val="5102704B"/>
    <w:rsid w:val="521B7EE5"/>
    <w:rsid w:val="52465DD6"/>
    <w:rsid w:val="52EC69EF"/>
    <w:rsid w:val="534900AA"/>
    <w:rsid w:val="53D93D36"/>
    <w:rsid w:val="548221AC"/>
    <w:rsid w:val="556134C2"/>
    <w:rsid w:val="56151B68"/>
    <w:rsid w:val="56BC775B"/>
    <w:rsid w:val="56FE42EB"/>
    <w:rsid w:val="581B2BE4"/>
    <w:rsid w:val="583E3F42"/>
    <w:rsid w:val="58A62645"/>
    <w:rsid w:val="590535E0"/>
    <w:rsid w:val="59D800F7"/>
    <w:rsid w:val="5A436E3C"/>
    <w:rsid w:val="5B526365"/>
    <w:rsid w:val="5D6F1444"/>
    <w:rsid w:val="5F002F5B"/>
    <w:rsid w:val="5F2401FF"/>
    <w:rsid w:val="5FFB097A"/>
    <w:rsid w:val="60E34119"/>
    <w:rsid w:val="6117695C"/>
    <w:rsid w:val="61834DEC"/>
    <w:rsid w:val="61FA1AC6"/>
    <w:rsid w:val="63004D1E"/>
    <w:rsid w:val="630D2B3B"/>
    <w:rsid w:val="643B25D5"/>
    <w:rsid w:val="644514FF"/>
    <w:rsid w:val="64C339D0"/>
    <w:rsid w:val="6519668C"/>
    <w:rsid w:val="65C548A9"/>
    <w:rsid w:val="683B7AC5"/>
    <w:rsid w:val="697812B8"/>
    <w:rsid w:val="69F83B7E"/>
    <w:rsid w:val="6A650D1C"/>
    <w:rsid w:val="6B707594"/>
    <w:rsid w:val="6B9B64C5"/>
    <w:rsid w:val="6C116719"/>
    <w:rsid w:val="6C263482"/>
    <w:rsid w:val="6CE150BD"/>
    <w:rsid w:val="6CF920E8"/>
    <w:rsid w:val="6DDD0A2F"/>
    <w:rsid w:val="6E8E2CB4"/>
    <w:rsid w:val="6EE84271"/>
    <w:rsid w:val="6F3825BD"/>
    <w:rsid w:val="70AB11E2"/>
    <w:rsid w:val="70D0387D"/>
    <w:rsid w:val="716540C4"/>
    <w:rsid w:val="727729A1"/>
    <w:rsid w:val="734C56DF"/>
    <w:rsid w:val="741A0575"/>
    <w:rsid w:val="74775AD4"/>
    <w:rsid w:val="749D5EA5"/>
    <w:rsid w:val="74FB3B0F"/>
    <w:rsid w:val="75A62F17"/>
    <w:rsid w:val="75D75688"/>
    <w:rsid w:val="75F32411"/>
    <w:rsid w:val="763F4987"/>
    <w:rsid w:val="76EB5D92"/>
    <w:rsid w:val="77BB532B"/>
    <w:rsid w:val="78370287"/>
    <w:rsid w:val="78B54F18"/>
    <w:rsid w:val="7AAC37E3"/>
    <w:rsid w:val="7B2B4044"/>
    <w:rsid w:val="7B945C74"/>
    <w:rsid w:val="7B9B4B36"/>
    <w:rsid w:val="7CFF070A"/>
    <w:rsid w:val="7F5B545E"/>
    <w:rsid w:val="7F9D3373"/>
    <w:rsid w:val="B6BEDAFB"/>
    <w:rsid w:val="CEA4A071"/>
    <w:rsid w:val="E57F7E28"/>
    <w:rsid w:val="EEE7E11E"/>
    <w:rsid w:val="FD7247BD"/>
    <w:rsid w:val="FFD25A4E"/>
  </w:rsids>
  <m:mathPr>
    <m:mathFont m:val="Cambria Math"/>
    <m:brkBin m:val="before"/>
    <m:brkBinSub m:val="--"/>
    <m:smallFrac m:val="0"/>
    <m:dispDef/>
    <m:lMargin m:val="0"/>
    <m:rMargin m:val="0"/>
    <m:defJc m:val="centerGroup"/>
    <m:wrapIndent m:val="1440"/>
    <m:intLim m:val="subSup"/>
    <m:naryLim m:val="undOvr"/>
  </m:mathPr>
  <w:attachedSchema w:val="http://www.wps.cn/officeDocument/2013/wpsCustomData"/>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uiPriority="0" w:name="toc 4"/>
    <w:lsdException w:uiPriority="0" w:name="toc 5"/>
    <w:lsdException w:uiPriority="0" w:name="toc 6"/>
    <w:lsdException w:uiPriority="0" w:name="toc 7"/>
    <w:lsdException w:uiPriority="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nhideWhenUsed="0" w:uiPriority="0" w:semiHidden="0" w:name="Body Text First Indent"/>
    <w:lsdException w:uiPriority="0" w:name="Body Text First Indent 2"/>
    <w:lsdException w:uiPriority="0" w:name="Note Heading"/>
    <w:lsdException w:qFormat="1" w:uiPriority="99"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ind w:firstLine="200" w:firstLineChars="200"/>
    </w:pPr>
    <w:rPr>
      <w:rFonts w:ascii="Calibri" w:hAnsi="Calibri" w:eastAsia="宋体" w:cs="Times New Roman"/>
      <w:kern w:val="2"/>
      <w:sz w:val="21"/>
      <w:szCs w:val="22"/>
      <w:lang w:val="en-US" w:eastAsia="zh-CN" w:bidi="ar-SA"/>
    </w:rPr>
  </w:style>
  <w:style w:type="paragraph" w:styleId="2">
    <w:name w:val="heading 1"/>
    <w:basedOn w:val="1"/>
    <w:next w:val="1"/>
    <w:link w:val="30"/>
    <w:qFormat/>
    <w:uiPriority w:val="0"/>
    <w:pPr>
      <w:keepNext/>
      <w:keepLines/>
      <w:spacing w:line="578" w:lineRule="auto"/>
      <w:outlineLvl w:val="0"/>
    </w:pPr>
    <w:rPr>
      <w:b/>
      <w:kern w:val="44"/>
      <w:sz w:val="32"/>
      <w:szCs w:val="44"/>
    </w:rPr>
  </w:style>
  <w:style w:type="paragraph" w:styleId="3">
    <w:name w:val="heading 2"/>
    <w:basedOn w:val="1"/>
    <w:next w:val="1"/>
    <w:link w:val="35"/>
    <w:qFormat/>
    <w:uiPriority w:val="0"/>
    <w:pPr>
      <w:keepNext/>
      <w:keepLines/>
      <w:spacing w:line="416" w:lineRule="auto"/>
      <w:outlineLvl w:val="1"/>
    </w:pPr>
    <w:rPr>
      <w:rFonts w:ascii="Cambria" w:hAnsi="Cambria"/>
      <w:b/>
      <w:sz w:val="32"/>
      <w:szCs w:val="32"/>
    </w:rPr>
  </w:style>
  <w:style w:type="paragraph" w:styleId="4">
    <w:name w:val="heading 3"/>
    <w:basedOn w:val="5"/>
    <w:next w:val="5"/>
    <w:link w:val="36"/>
    <w:qFormat/>
    <w:uiPriority w:val="0"/>
    <w:pPr>
      <w:keepNext/>
      <w:keepLines/>
      <w:spacing w:line="416" w:lineRule="auto"/>
      <w:ind w:left="100" w:leftChars="100" w:right="100" w:rightChars="100"/>
      <w:jc w:val="left"/>
      <w:outlineLvl w:val="2"/>
    </w:pPr>
    <w:rPr>
      <w:b/>
      <w:sz w:val="28"/>
      <w:szCs w:val="32"/>
    </w:rPr>
  </w:style>
  <w:style w:type="paragraph" w:styleId="6">
    <w:name w:val="heading 4"/>
    <w:basedOn w:val="1"/>
    <w:next w:val="1"/>
    <w:qFormat/>
    <w:uiPriority w:val="0"/>
    <w:pPr>
      <w:keepNext/>
      <w:keepLines/>
      <w:spacing w:before="280" w:after="290" w:line="376" w:lineRule="auto"/>
      <w:outlineLvl w:val="3"/>
    </w:pPr>
    <w:rPr>
      <w:rFonts w:ascii="Cambria" w:hAnsi="Cambria"/>
      <w:b/>
      <w:sz w:val="24"/>
      <w:szCs w:val="28"/>
    </w:rPr>
  </w:style>
  <w:style w:type="paragraph" w:styleId="7">
    <w:name w:val="heading 5"/>
    <w:basedOn w:val="1"/>
    <w:next w:val="1"/>
    <w:qFormat/>
    <w:uiPriority w:val="9"/>
    <w:pPr>
      <w:keepNext/>
      <w:keepLines/>
      <w:spacing w:before="280" w:after="290" w:line="376" w:lineRule="auto"/>
      <w:outlineLvl w:val="4"/>
    </w:pPr>
    <w:rPr>
      <w:rFonts w:ascii="Times New Roman" w:hAnsi="Times New Roman" w:eastAsia="宋体" w:cs="Times New Roman"/>
      <w:b/>
      <w:bCs/>
      <w:sz w:val="28"/>
      <w:szCs w:val="28"/>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customStyle="1" w:styleId="5">
    <w:name w:val="无间隔1"/>
    <w:qFormat/>
    <w:uiPriority w:val="0"/>
    <w:pPr>
      <w:widowControl w:val="0"/>
      <w:spacing w:line="360" w:lineRule="auto"/>
      <w:ind w:firstLine="200" w:firstLineChars="200"/>
      <w:jc w:val="both"/>
    </w:pPr>
    <w:rPr>
      <w:rFonts w:ascii="Calibri" w:hAnsi="Calibri" w:eastAsia="宋体" w:cs="Times New Roman"/>
      <w:kern w:val="2"/>
      <w:sz w:val="21"/>
      <w:szCs w:val="22"/>
      <w:lang w:val="en-US" w:eastAsia="zh-CN" w:bidi="ar-SA"/>
    </w:rPr>
  </w:style>
  <w:style w:type="paragraph" w:styleId="8">
    <w:name w:val="Normal Indent"/>
    <w:basedOn w:val="1"/>
    <w:qFormat/>
    <w:uiPriority w:val="0"/>
    <w:pPr>
      <w:ind w:firstLine="420"/>
    </w:pPr>
    <w:rPr>
      <w:szCs w:val="20"/>
    </w:rPr>
  </w:style>
  <w:style w:type="paragraph" w:styleId="9">
    <w:name w:val="annotation text"/>
    <w:basedOn w:val="1"/>
    <w:link w:val="39"/>
    <w:qFormat/>
    <w:uiPriority w:val="0"/>
  </w:style>
  <w:style w:type="paragraph" w:styleId="10">
    <w:name w:val="Body Text"/>
    <w:basedOn w:val="1"/>
    <w:next w:val="11"/>
    <w:qFormat/>
    <w:uiPriority w:val="0"/>
    <w:pPr>
      <w:spacing w:after="120"/>
    </w:pPr>
  </w:style>
  <w:style w:type="paragraph" w:styleId="11">
    <w:name w:val="toc 9"/>
    <w:basedOn w:val="1"/>
    <w:next w:val="1"/>
    <w:qFormat/>
    <w:uiPriority w:val="0"/>
    <w:pPr>
      <w:ind w:left="3360" w:leftChars="1600"/>
    </w:pPr>
  </w:style>
  <w:style w:type="paragraph" w:styleId="12">
    <w:name w:val="toc 3"/>
    <w:basedOn w:val="1"/>
    <w:next w:val="1"/>
    <w:qFormat/>
    <w:uiPriority w:val="0"/>
    <w:pPr>
      <w:spacing w:after="100" w:line="276" w:lineRule="auto"/>
      <w:ind w:left="440"/>
    </w:pPr>
    <w:rPr>
      <w:kern w:val="0"/>
      <w:sz w:val="32"/>
    </w:rPr>
  </w:style>
  <w:style w:type="paragraph" w:styleId="13">
    <w:name w:val="Plain Text"/>
    <w:basedOn w:val="1"/>
    <w:qFormat/>
    <w:uiPriority w:val="0"/>
    <w:rPr>
      <w:rFonts w:ascii="宋体" w:hAnsi="Courier New" w:cs="Courier New"/>
      <w:szCs w:val="21"/>
    </w:rPr>
  </w:style>
  <w:style w:type="paragraph" w:styleId="14">
    <w:name w:val="Balloon Text"/>
    <w:basedOn w:val="1"/>
    <w:link w:val="34"/>
    <w:qFormat/>
    <w:uiPriority w:val="0"/>
    <w:rPr>
      <w:sz w:val="18"/>
      <w:szCs w:val="18"/>
    </w:rPr>
  </w:style>
  <w:style w:type="paragraph" w:styleId="15">
    <w:name w:val="footer"/>
    <w:basedOn w:val="1"/>
    <w:link w:val="38"/>
    <w:qFormat/>
    <w:uiPriority w:val="0"/>
    <w:pPr>
      <w:snapToGrid w:val="0"/>
    </w:pPr>
    <w:rPr>
      <w:sz w:val="18"/>
      <w:szCs w:val="18"/>
    </w:rPr>
  </w:style>
  <w:style w:type="paragraph" w:styleId="16">
    <w:name w:val="header"/>
    <w:basedOn w:val="1"/>
    <w:link w:val="37"/>
    <w:qFormat/>
    <w:uiPriority w:val="0"/>
    <w:pPr>
      <w:pBdr>
        <w:bottom w:val="single" w:color="auto" w:sz="6" w:space="1"/>
      </w:pBdr>
      <w:snapToGrid w:val="0"/>
      <w:jc w:val="center"/>
    </w:pPr>
    <w:rPr>
      <w:sz w:val="18"/>
      <w:szCs w:val="18"/>
    </w:rPr>
  </w:style>
  <w:style w:type="paragraph" w:styleId="17">
    <w:name w:val="toc 1"/>
    <w:basedOn w:val="1"/>
    <w:next w:val="1"/>
    <w:qFormat/>
    <w:uiPriority w:val="0"/>
    <w:pPr>
      <w:spacing w:after="100" w:line="276" w:lineRule="auto"/>
    </w:pPr>
    <w:rPr>
      <w:b/>
      <w:kern w:val="0"/>
      <w:sz w:val="32"/>
    </w:rPr>
  </w:style>
  <w:style w:type="paragraph" w:styleId="18">
    <w:name w:val="toc 2"/>
    <w:basedOn w:val="1"/>
    <w:next w:val="1"/>
    <w:qFormat/>
    <w:uiPriority w:val="0"/>
    <w:pPr>
      <w:spacing w:after="100" w:line="276" w:lineRule="auto"/>
      <w:ind w:left="220"/>
    </w:pPr>
    <w:rPr>
      <w:kern w:val="0"/>
      <w:sz w:val="32"/>
    </w:rPr>
  </w:style>
  <w:style w:type="paragraph" w:styleId="19">
    <w:name w:val="Body Text 2"/>
    <w:basedOn w:val="1"/>
    <w:semiHidden/>
    <w:unhideWhenUsed/>
    <w:qFormat/>
    <w:uiPriority w:val="99"/>
    <w:pPr>
      <w:spacing w:after="120" w:line="480" w:lineRule="auto"/>
    </w:pPr>
  </w:style>
  <w:style w:type="paragraph" w:styleId="20">
    <w:name w:val="Normal (Web)"/>
    <w:basedOn w:val="1"/>
    <w:unhideWhenUsed/>
    <w:qFormat/>
    <w:uiPriority w:val="99"/>
    <w:pPr>
      <w:spacing w:before="0" w:beforeAutospacing="1" w:after="0" w:afterAutospacing="1"/>
      <w:ind w:left="0" w:right="0"/>
      <w:jc w:val="left"/>
    </w:pPr>
    <w:rPr>
      <w:kern w:val="0"/>
      <w:sz w:val="24"/>
      <w:lang w:val="en-US" w:eastAsia="zh-CN" w:bidi="ar"/>
    </w:rPr>
  </w:style>
  <w:style w:type="paragraph" w:styleId="21">
    <w:name w:val="annotation subject"/>
    <w:basedOn w:val="9"/>
    <w:next w:val="9"/>
    <w:link w:val="40"/>
    <w:qFormat/>
    <w:uiPriority w:val="0"/>
    <w:rPr>
      <w:b/>
    </w:rPr>
  </w:style>
  <w:style w:type="paragraph" w:styleId="22">
    <w:name w:val="Body Text First Indent"/>
    <w:basedOn w:val="10"/>
    <w:qFormat/>
    <w:uiPriority w:val="0"/>
    <w:pPr>
      <w:ind w:firstLine="422" w:firstLineChars="200"/>
    </w:pPr>
  </w:style>
  <w:style w:type="table" w:styleId="24">
    <w:name w:val="Table Grid"/>
    <w:basedOn w:val="23"/>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6">
    <w:name w:val="Hyperlink"/>
    <w:qFormat/>
    <w:uiPriority w:val="0"/>
    <w:rPr>
      <w:color w:val="0000FF"/>
      <w:u w:val="single"/>
    </w:rPr>
  </w:style>
  <w:style w:type="character" w:styleId="27">
    <w:name w:val="annotation reference"/>
    <w:qFormat/>
    <w:uiPriority w:val="0"/>
    <w:rPr>
      <w:sz w:val="21"/>
    </w:rPr>
  </w:style>
  <w:style w:type="paragraph" w:customStyle="1" w:styleId="28">
    <w:name w:val="正文文本首行缩进1"/>
    <w:basedOn w:val="1"/>
    <w:unhideWhenUsed/>
    <w:qFormat/>
    <w:uiPriority w:val="0"/>
    <w:pPr>
      <w:spacing w:beforeLines="0" w:afterLines="0"/>
      <w:ind w:firstLine="420" w:firstLineChars="100"/>
    </w:pPr>
    <w:rPr>
      <w:rFonts w:hint="default"/>
      <w:sz w:val="28"/>
      <w:szCs w:val="24"/>
    </w:rPr>
  </w:style>
  <w:style w:type="paragraph" w:customStyle="1" w:styleId="29">
    <w:name w:val="0"/>
    <w:basedOn w:val="1"/>
    <w:next w:val="1"/>
    <w:qFormat/>
    <w:uiPriority w:val="99"/>
    <w:pPr>
      <w:ind w:firstLine="480"/>
    </w:pPr>
    <w:rPr>
      <w:rFonts w:ascii="Times New Roman" w:hAnsi="Times New Roman" w:eastAsia="宋体" w:cs="Times New Roman"/>
    </w:rPr>
  </w:style>
  <w:style w:type="character" w:customStyle="1" w:styleId="30">
    <w:name w:val="标题 1 字符"/>
    <w:link w:val="2"/>
    <w:qFormat/>
    <w:uiPriority w:val="0"/>
    <w:rPr>
      <w:b/>
      <w:kern w:val="44"/>
      <w:sz w:val="32"/>
      <w:szCs w:val="44"/>
    </w:rPr>
  </w:style>
  <w:style w:type="paragraph" w:customStyle="1" w:styleId="31">
    <w:name w:val="列出段落1"/>
    <w:basedOn w:val="1"/>
    <w:link w:val="32"/>
    <w:qFormat/>
    <w:uiPriority w:val="0"/>
    <w:pPr>
      <w:ind w:firstLine="420"/>
    </w:pPr>
  </w:style>
  <w:style w:type="character" w:customStyle="1" w:styleId="32">
    <w:name w:val="列出段落 Char"/>
    <w:link w:val="31"/>
    <w:qFormat/>
    <w:uiPriority w:val="0"/>
  </w:style>
  <w:style w:type="paragraph" w:customStyle="1" w:styleId="33">
    <w:name w:val="TOC 标题1"/>
    <w:basedOn w:val="2"/>
    <w:next w:val="1"/>
    <w:qFormat/>
    <w:uiPriority w:val="0"/>
    <w:pPr>
      <w:spacing w:before="480" w:line="276" w:lineRule="auto"/>
      <w:outlineLvl w:val="9"/>
    </w:pPr>
    <w:rPr>
      <w:rFonts w:ascii="Cambria" w:hAnsi="Cambria"/>
      <w:color w:val="365F91"/>
      <w:kern w:val="0"/>
      <w:sz w:val="28"/>
      <w:szCs w:val="28"/>
    </w:rPr>
  </w:style>
  <w:style w:type="character" w:customStyle="1" w:styleId="34">
    <w:name w:val="批注框文本 字符"/>
    <w:link w:val="14"/>
    <w:qFormat/>
    <w:uiPriority w:val="0"/>
    <w:rPr>
      <w:sz w:val="18"/>
      <w:szCs w:val="18"/>
    </w:rPr>
  </w:style>
  <w:style w:type="character" w:customStyle="1" w:styleId="35">
    <w:name w:val="标题 2 字符"/>
    <w:link w:val="3"/>
    <w:qFormat/>
    <w:uiPriority w:val="0"/>
    <w:rPr>
      <w:rFonts w:hint="default" w:ascii="Cambria" w:hAnsi="Cambria" w:eastAsia="宋体" w:cs="Times New Roman"/>
      <w:b/>
      <w:sz w:val="32"/>
      <w:szCs w:val="32"/>
    </w:rPr>
  </w:style>
  <w:style w:type="character" w:customStyle="1" w:styleId="36">
    <w:name w:val="标题 3 字符"/>
    <w:link w:val="4"/>
    <w:qFormat/>
    <w:uiPriority w:val="0"/>
    <w:rPr>
      <w:b/>
      <w:sz w:val="28"/>
      <w:szCs w:val="32"/>
    </w:rPr>
  </w:style>
  <w:style w:type="character" w:customStyle="1" w:styleId="37">
    <w:name w:val="页眉 字符"/>
    <w:link w:val="16"/>
    <w:qFormat/>
    <w:uiPriority w:val="0"/>
    <w:rPr>
      <w:sz w:val="18"/>
      <w:szCs w:val="18"/>
    </w:rPr>
  </w:style>
  <w:style w:type="character" w:customStyle="1" w:styleId="38">
    <w:name w:val="页脚 字符"/>
    <w:link w:val="15"/>
    <w:qFormat/>
    <w:uiPriority w:val="0"/>
    <w:rPr>
      <w:sz w:val="18"/>
      <w:szCs w:val="18"/>
    </w:rPr>
  </w:style>
  <w:style w:type="character" w:customStyle="1" w:styleId="39">
    <w:name w:val="批注文字 字符"/>
    <w:basedOn w:val="25"/>
    <w:link w:val="9"/>
    <w:qFormat/>
    <w:uiPriority w:val="0"/>
  </w:style>
  <w:style w:type="character" w:customStyle="1" w:styleId="40">
    <w:name w:val="批注主题 字符"/>
    <w:link w:val="21"/>
    <w:qFormat/>
    <w:uiPriority w:val="0"/>
    <w:rPr>
      <w:b/>
    </w:rPr>
  </w:style>
  <w:style w:type="paragraph" w:customStyle="1" w:styleId="41">
    <w:name w:val="*正文"/>
    <w:basedOn w:val="8"/>
    <w:qFormat/>
    <w:uiPriority w:val="0"/>
    <w:pPr>
      <w:ind w:firstLine="560"/>
    </w:pPr>
    <w:rPr>
      <w:rFonts w:ascii="宋体" w:hAnsi="宋体"/>
      <w:color w:val="000000"/>
      <w:kern w:val="0"/>
      <w:sz w:val="28"/>
      <w:szCs w:val="24"/>
    </w:rPr>
  </w:style>
  <w:style w:type="paragraph" w:customStyle="1" w:styleId="42">
    <w:name w:val="列出段落2"/>
    <w:basedOn w:val="1"/>
    <w:qFormat/>
    <w:uiPriority w:val="0"/>
    <w:pPr>
      <w:ind w:firstLine="420"/>
    </w:pPr>
  </w:style>
  <w:style w:type="paragraph" w:customStyle="1" w:styleId="43">
    <w:name w:val="正文 New New New New"/>
    <w:qFormat/>
    <w:uiPriority w:val="0"/>
    <w:pPr>
      <w:widowControl w:val="0"/>
      <w:spacing w:line="360" w:lineRule="auto"/>
      <w:ind w:firstLine="200" w:firstLineChars="200"/>
      <w:jc w:val="both"/>
    </w:pPr>
    <w:rPr>
      <w:rFonts w:ascii="Times New Roman" w:hAnsi="Times New Roman" w:eastAsia="等线" w:cs="宋体"/>
      <w:szCs w:val="24"/>
      <w:lang w:val="en-US" w:eastAsia="zh-CN" w:bidi="ar-SA"/>
    </w:rPr>
  </w:style>
  <w:style w:type="paragraph" w:customStyle="1" w:styleId="44">
    <w:name w:val="列表段落2"/>
    <w:basedOn w:val="1"/>
    <w:qFormat/>
    <w:uiPriority w:val="0"/>
    <w:pPr>
      <w:ind w:firstLine="420"/>
    </w:pPr>
  </w:style>
  <w:style w:type="paragraph" w:customStyle="1" w:styleId="45">
    <w:name w:val="正文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46">
    <w:name w:val="列表段落1"/>
    <w:basedOn w:val="1"/>
    <w:qFormat/>
    <w:uiPriority w:val="0"/>
    <w:pPr>
      <w:ind w:firstLine="420"/>
    </w:pPr>
  </w:style>
  <w:style w:type="paragraph" w:styleId="47">
    <w:name w:val="List Paragraph"/>
    <w:basedOn w:val="1"/>
    <w:unhideWhenUsed/>
    <w:qFormat/>
    <w:uiPriority w:val="99"/>
    <w:pPr>
      <w:ind w:firstLine="420"/>
    </w:pPr>
  </w:style>
  <w:style w:type="character" w:customStyle="1" w:styleId="48">
    <w:name w:val="font51"/>
    <w:basedOn w:val="25"/>
    <w:qFormat/>
    <w:uiPriority w:val="0"/>
    <w:rPr>
      <w:rFonts w:hint="eastAsia" w:ascii="微软雅黑" w:hAnsi="微软雅黑" w:eastAsia="微软雅黑" w:cs="微软雅黑"/>
      <w:color w:val="000000"/>
      <w:sz w:val="20"/>
      <w:szCs w:val="20"/>
      <w:u w:val="none"/>
    </w:rPr>
  </w:style>
  <w:style w:type="character" w:customStyle="1" w:styleId="49">
    <w:name w:val="font61"/>
    <w:basedOn w:val="25"/>
    <w:qFormat/>
    <w:uiPriority w:val="0"/>
    <w:rPr>
      <w:rFonts w:hint="eastAsia" w:ascii="微软雅黑" w:hAnsi="微软雅黑" w:eastAsia="微软雅黑" w:cs="微软雅黑"/>
      <w:color w:val="FF0000"/>
      <w:sz w:val="20"/>
      <w:szCs w:val="20"/>
      <w:u w:val="none"/>
    </w:rPr>
  </w:style>
  <w:style w:type="character" w:customStyle="1" w:styleId="50">
    <w:name w:val="font01"/>
    <w:basedOn w:val="25"/>
    <w:qFormat/>
    <w:uiPriority w:val="0"/>
    <w:rPr>
      <w:rFonts w:hint="eastAsia" w:ascii="微软雅黑" w:hAnsi="微软雅黑" w:eastAsia="微软雅黑" w:cs="微软雅黑"/>
      <w:color w:val="000000"/>
      <w:sz w:val="20"/>
      <w:szCs w:val="20"/>
      <w:u w:val="none"/>
    </w:rPr>
  </w:style>
  <w:style w:type="character" w:customStyle="1" w:styleId="51">
    <w:name w:val="font11"/>
    <w:basedOn w:val="25"/>
    <w:qFormat/>
    <w:uiPriority w:val="0"/>
    <w:rPr>
      <w:rFonts w:hint="eastAsia" w:ascii="宋体" w:hAnsi="宋体" w:eastAsia="宋体" w:cs="宋体"/>
      <w:color w:val="000000"/>
      <w:sz w:val="18"/>
      <w:szCs w:val="18"/>
      <w:u w:val="none"/>
    </w:rPr>
  </w:style>
  <w:style w:type="character" w:customStyle="1" w:styleId="52">
    <w:name w:val="font81"/>
    <w:basedOn w:val="25"/>
    <w:qFormat/>
    <w:uiPriority w:val="0"/>
    <w:rPr>
      <w:rFonts w:hint="default" w:ascii="Calibri" w:hAnsi="Calibri" w:cs="Calibri"/>
      <w:b/>
      <w:bCs/>
      <w:color w:val="000000"/>
      <w:sz w:val="22"/>
      <w:szCs w:val="22"/>
      <w:u w:val="none"/>
    </w:rPr>
  </w:style>
  <w:style w:type="character" w:customStyle="1" w:styleId="53">
    <w:name w:val="font21"/>
    <w:basedOn w:val="25"/>
    <w:qFormat/>
    <w:uiPriority w:val="0"/>
    <w:rPr>
      <w:rFonts w:hint="eastAsia" w:ascii="宋体" w:hAnsi="宋体" w:eastAsia="宋体" w:cs="宋体"/>
      <w:b/>
      <w:bCs/>
      <w:color w:val="000000"/>
      <w:sz w:val="22"/>
      <w:szCs w:val="22"/>
      <w:u w:val="none"/>
    </w:rPr>
  </w:style>
  <w:style w:type="paragraph" w:customStyle="1" w:styleId="54">
    <w:name w:val="Table Paragraph"/>
    <w:basedOn w:val="1"/>
    <w:qFormat/>
    <w:uiPriority w:val="1"/>
    <w:pPr>
      <w:spacing w:before="127"/>
      <w:ind w:left="104"/>
    </w:pPr>
  </w:style>
  <w:style w:type="paragraph" w:customStyle="1" w:styleId="55">
    <w:name w:val="Table Text"/>
    <w:basedOn w:val="1"/>
    <w:semiHidden/>
    <w:qFormat/>
    <w:uiPriority w:val="0"/>
    <w:rPr>
      <w:rFonts w:ascii="宋体" w:hAnsi="宋体" w:eastAsia="宋体" w:cs="宋体"/>
      <w:sz w:val="24"/>
      <w:szCs w:val="24"/>
      <w:lang w:val="en-US" w:eastAsia="en-US" w:bidi="ar-SA"/>
    </w:rPr>
  </w:style>
  <w:style w:type="paragraph" w:customStyle="1" w:styleId="56">
    <w:name w:val="01、普通正文"/>
    <w:basedOn w:val="1"/>
    <w:qFormat/>
    <w:uiPriority w:val="0"/>
    <w:pPr>
      <w:tabs>
        <w:tab w:val="left" w:pos="0"/>
      </w:tabs>
      <w:wordWrap w:val="0"/>
      <w:topLinePunct/>
    </w:pPr>
    <w:rPr>
      <w:snapToGrid w:val="0"/>
    </w:rPr>
  </w:style>
  <w:style w:type="paragraph" w:customStyle="1" w:styleId="57">
    <w:name w:val="null3"/>
    <w:qFormat/>
    <w:uiPriority w:val="0"/>
    <w:rPr>
      <w:rFonts w:hint="eastAsia" w:ascii="Calibri" w:hAnsi="Calibri" w:eastAsia="宋体" w:cs="Times New Roman"/>
      <w:lang w:val="en-US" w:eastAsia="zh-Hans" w:bidi="ar-SA"/>
    </w:rPr>
  </w:style>
  <w:style w:type="paragraph" w:customStyle="1" w:styleId="58">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Times New Roman"/>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23</Pages>
  <Words>5167</Words>
  <Characters>5833</Characters>
  <Lines>167</Lines>
  <Paragraphs>47</Paragraphs>
  <TotalTime>25</TotalTime>
  <ScaleCrop>false</ScaleCrop>
  <LinksUpToDate>false</LinksUpToDate>
  <CharactersWithSpaces>5968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2021-05-19T02:29:00Z</dcterms:created>
  <dc:creator>leoht</dc:creator>
  <cp:lastModifiedBy>MA。</cp:lastModifiedBy>
  <cp:lastPrinted>2021-12-01T13:45:00Z</cp:lastPrinted>
  <dcterms:modified xsi:type="dcterms:W3CDTF">2026-07-21T06:13:51Z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0505A1F6152647D3883B3CB9AA93E0AF_13</vt:lpwstr>
  </property>
  <property fmtid="{D5CDD505-2E9C-101B-9397-08002B2CF9AE}" pid="4" name="KSOTemplateDocerSaveRecord">
    <vt:lpwstr>eyJoZGlkIjoiNWM4ZGQxYzE1N2U1ZTU2YWU2NThmMWNlMmM4NDRjNWIiLCJ1c2VySWQiOiI3MDgyODcxODgifQ==</vt:lpwstr>
  </property>
</Properties>
</file>