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CF389">
      <w:pPr>
        <w:spacing w:line="360" w:lineRule="auto"/>
        <w:jc w:val="center"/>
        <w:textAlignment w:val="baseline"/>
        <w:rPr>
          <w:rFonts w:ascii="仿宋" w:hAnsi="仿宋" w:eastAsia="仿宋"/>
          <w:b/>
          <w:bCs/>
          <w:sz w:val="116"/>
          <w:szCs w:val="116"/>
        </w:rPr>
      </w:pPr>
      <w:r>
        <w:rPr>
          <w:rFonts w:hint="eastAsia" w:ascii="宋体" w:hAnsi="宋体"/>
          <w:b/>
          <w:bCs/>
          <w:sz w:val="32"/>
          <w:szCs w:val="32"/>
        </w:rPr>
        <w:drawing>
          <wp:anchor distT="0" distB="0" distL="114300" distR="114300" simplePos="0" relativeHeight="251659264" behindDoc="0" locked="0" layoutInCell="1" allowOverlap="1">
            <wp:simplePos x="0" y="0"/>
            <wp:positionH relativeFrom="column">
              <wp:posOffset>4568825</wp:posOffset>
            </wp:positionH>
            <wp:positionV relativeFrom="paragraph">
              <wp:posOffset>202565</wp:posOffset>
            </wp:positionV>
            <wp:extent cx="1096645" cy="1126490"/>
            <wp:effectExtent l="0" t="0" r="8255" b="1651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stretch>
                      <a:fillRect/>
                    </a:stretch>
                  </pic:blipFill>
                  <pic:spPr>
                    <a:xfrm>
                      <a:off x="0" y="0"/>
                      <a:ext cx="1096645" cy="1126490"/>
                    </a:xfrm>
                    <a:prstGeom prst="rect">
                      <a:avLst/>
                    </a:prstGeom>
                    <a:noFill/>
                    <a:ln>
                      <a:noFill/>
                    </a:ln>
                  </pic:spPr>
                </pic:pic>
              </a:graphicData>
            </a:graphic>
          </wp:anchor>
        </w:drawing>
      </w:r>
    </w:p>
    <w:p w14:paraId="7C01FB21">
      <w:pPr>
        <w:spacing w:line="360" w:lineRule="auto"/>
        <w:jc w:val="center"/>
        <w:textAlignment w:val="baseline"/>
        <w:rPr>
          <w:rFonts w:ascii="仿宋" w:hAnsi="仿宋" w:eastAsia="仿宋"/>
          <w:b/>
          <w:bCs/>
          <w:sz w:val="116"/>
          <w:szCs w:val="116"/>
        </w:rPr>
      </w:pPr>
    </w:p>
    <w:p w14:paraId="373CC19E">
      <w:pPr>
        <w:spacing w:line="360" w:lineRule="auto"/>
        <w:jc w:val="center"/>
        <w:textAlignment w:val="baseline"/>
        <w:rPr>
          <w:b/>
          <w:bCs/>
          <w:color w:val="000000" w:themeColor="text1"/>
          <w:sz w:val="36"/>
          <w14:textFill>
            <w14:solidFill>
              <w14:schemeClr w14:val="tx1"/>
            </w14:solidFill>
          </w14:textFill>
        </w:rPr>
      </w:pPr>
      <w:r>
        <w:rPr>
          <w:rFonts w:hint="eastAsia" w:ascii="仿宋" w:hAnsi="仿宋" w:eastAsia="仿宋"/>
          <w:b/>
          <w:bCs/>
          <w:color w:val="000000" w:themeColor="text1"/>
          <w:sz w:val="116"/>
          <w:szCs w:val="116"/>
          <w14:textFill>
            <w14:solidFill>
              <w14:schemeClr w14:val="tx1"/>
            </w14:solidFill>
          </w14:textFill>
        </w:rPr>
        <w:t>需求公示资料</w:t>
      </w:r>
    </w:p>
    <w:p w14:paraId="4ABA73E3">
      <w:pPr>
        <w:pStyle w:val="9"/>
        <w:spacing w:line="480" w:lineRule="auto"/>
        <w:ind w:left="0" w:firstLine="964" w:firstLineChars="300"/>
        <w:jc w:val="left"/>
        <w:rPr>
          <w:rFonts w:asciiTheme="minorEastAsia" w:hAnsiTheme="minorEastAsia" w:eastAsiaTheme="minorEastAsia" w:cstheme="minorEastAsia"/>
          <w:b/>
          <w:bCs/>
          <w:color w:val="000000" w:themeColor="text1"/>
          <w:sz w:val="32"/>
          <w:szCs w:val="32"/>
          <w14:textFill>
            <w14:solidFill>
              <w14:schemeClr w14:val="tx1"/>
            </w14:solidFill>
          </w14:textFill>
        </w:rPr>
      </w:pPr>
    </w:p>
    <w:p w14:paraId="78F10F58">
      <w:pPr>
        <w:pStyle w:val="9"/>
        <w:spacing w:line="480" w:lineRule="auto"/>
        <w:ind w:left="0"/>
        <w:jc w:val="left"/>
        <w:rPr>
          <w:rFonts w:asciiTheme="minorEastAsia" w:hAnsiTheme="minorEastAsia" w:eastAsiaTheme="minorEastAsia" w:cstheme="minorEastAsia"/>
          <w:b/>
          <w:bCs/>
          <w:color w:val="000000" w:themeColor="text1"/>
          <w:sz w:val="32"/>
          <w:szCs w:val="32"/>
          <w14:textFill>
            <w14:solidFill>
              <w14:schemeClr w14:val="tx1"/>
            </w14:solidFill>
          </w14:textFill>
        </w:rPr>
      </w:pPr>
    </w:p>
    <w:p w14:paraId="02B2A061">
      <w:pPr>
        <w:pStyle w:val="9"/>
        <w:spacing w:line="480" w:lineRule="auto"/>
        <w:ind w:left="0" w:firstLine="964" w:firstLineChars="300"/>
        <w:jc w:val="left"/>
        <w:rPr>
          <w:rFonts w:asciiTheme="minorEastAsia" w:hAnsiTheme="minorEastAsia" w:eastAsiaTheme="minorEastAsia" w:cstheme="minorEastAsia"/>
          <w:b/>
          <w:bCs/>
          <w:color w:val="000000" w:themeColor="text1"/>
          <w:sz w:val="32"/>
          <w:szCs w:val="32"/>
          <w14:textFill>
            <w14:solidFill>
              <w14:schemeClr w14:val="tx1"/>
            </w14:solidFill>
          </w14:textFill>
        </w:rPr>
      </w:pPr>
    </w:p>
    <w:p w14:paraId="29E87241">
      <w:pPr>
        <w:pStyle w:val="9"/>
        <w:spacing w:line="480" w:lineRule="auto"/>
        <w:ind w:left="0" w:firstLine="643" w:firstLineChars="200"/>
        <w:jc w:val="left"/>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项目名称：</w:t>
      </w:r>
      <w:r>
        <w:rPr>
          <w:rFonts w:hint="eastAsia" w:asciiTheme="minorEastAsia" w:hAnsiTheme="minorEastAsia" w:eastAsiaTheme="minorEastAsia" w:cstheme="minorEastAsia"/>
          <w:b/>
          <w:bCs/>
          <w:color w:val="000000" w:themeColor="text1"/>
          <w:sz w:val="32"/>
          <w:szCs w:val="32"/>
          <w:lang w:val="en-US" w:eastAsia="zh-CN"/>
          <w14:textFill>
            <w14:solidFill>
              <w14:schemeClr w14:val="tx1"/>
            </w14:solidFill>
          </w14:textFill>
        </w:rPr>
        <w:t>金银湖街违法建设拆除工程</w:t>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 xml:space="preserve"> </w:t>
      </w:r>
    </w:p>
    <w:p w14:paraId="1BD9BB3A">
      <w:pPr>
        <w:pStyle w:val="9"/>
        <w:spacing w:line="480" w:lineRule="auto"/>
        <w:ind w:left="0" w:firstLine="643" w:firstLineChars="200"/>
        <w:jc w:val="left"/>
        <w:rPr>
          <w:rFonts w:asciiTheme="minorEastAsia" w:hAnsiTheme="minorEastAsia" w:eastAsiaTheme="minorEastAsia" w:cstheme="minorEastAsia"/>
          <w:b/>
          <w:bCs/>
          <w:color w:val="000000" w:themeColor="text1"/>
          <w:sz w:val="32"/>
          <w:szCs w:val="32"/>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项目编号：</w:t>
      </w:r>
      <w:r>
        <w:rPr>
          <w:rFonts w:hint="eastAsia" w:asciiTheme="minorEastAsia" w:hAnsiTheme="minorEastAsia" w:eastAsiaTheme="minorEastAsia" w:cstheme="minorEastAsia"/>
          <w:b/>
          <w:bCs/>
          <w:color w:val="000000" w:themeColor="text1"/>
          <w:sz w:val="32"/>
          <w:szCs w:val="32"/>
          <w:lang w:eastAsia="zh-CN"/>
          <w14:textFill>
            <w14:solidFill>
              <w14:schemeClr w14:val="tx1"/>
            </w14:solidFill>
          </w14:textFill>
        </w:rPr>
        <w:t>JYZX-ZFCG-2025-0013A</w:t>
      </w:r>
    </w:p>
    <w:p w14:paraId="3F0201B1">
      <w:pPr>
        <w:pStyle w:val="10"/>
        <w:spacing w:before="0" w:after="0" w:line="480" w:lineRule="auto"/>
        <w:ind w:firstLine="1285" w:firstLineChars="400"/>
        <w:jc w:val="left"/>
        <w:rPr>
          <w:rFonts w:asciiTheme="minorEastAsia" w:hAnsiTheme="minorEastAsia" w:eastAsiaTheme="minorEastAsia" w:cstheme="minorEastAsia"/>
          <w:b/>
          <w:bCs/>
          <w:color w:val="000000" w:themeColor="text1"/>
          <w:sz w:val="32"/>
          <w:szCs w:val="32"/>
          <w:lang w:val="zh-TW" w:eastAsia="zh-TW" w:bidi="zh-TW"/>
          <w14:textFill>
            <w14:solidFill>
              <w14:schemeClr w14:val="tx1"/>
            </w14:solidFill>
          </w14:textFill>
        </w:rPr>
      </w:pPr>
    </w:p>
    <w:p w14:paraId="4DD93164">
      <w:pPr>
        <w:pStyle w:val="9"/>
        <w:spacing w:line="480" w:lineRule="auto"/>
        <w:ind w:left="0" w:firstLine="643" w:firstLineChars="200"/>
        <w:jc w:val="left"/>
        <w:rPr>
          <w:rFonts w:asciiTheme="minorEastAsia" w:hAnsiTheme="minorEastAsia" w:eastAsiaTheme="minorEastAsia" w:cstheme="minorEastAsia"/>
          <w:b/>
          <w:bCs/>
          <w:color w:val="000000" w:themeColor="text1"/>
          <w:sz w:val="32"/>
          <w:szCs w:val="32"/>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招标人：</w:t>
      </w:r>
      <w:r>
        <w:rPr>
          <w:rFonts w:hint="eastAsia" w:asciiTheme="minorEastAsia" w:hAnsiTheme="minorEastAsia" w:eastAsiaTheme="minorEastAsia" w:cstheme="minorEastAsia"/>
          <w:b/>
          <w:bCs/>
          <w:color w:val="000000" w:themeColor="text1"/>
          <w:sz w:val="32"/>
          <w:szCs w:val="32"/>
          <w:lang w:eastAsia="zh-CN"/>
          <w14:textFill>
            <w14:solidFill>
              <w14:schemeClr w14:val="tx1"/>
            </w14:solidFill>
          </w14:textFill>
        </w:rPr>
        <w:t>武汉市东西湖区人民政府金银湖街道办事处</w:t>
      </w:r>
    </w:p>
    <w:p w14:paraId="3D45FD29">
      <w:pPr>
        <w:pStyle w:val="9"/>
        <w:spacing w:line="480" w:lineRule="auto"/>
        <w:ind w:left="0" w:firstLine="643" w:firstLineChars="200"/>
        <w:jc w:val="left"/>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代理机构：武汉市建业工程咨询有限公司</w:t>
      </w:r>
    </w:p>
    <w:p w14:paraId="2D1CCBAB">
      <w:pPr>
        <w:rPr>
          <w:color w:val="000000" w:themeColor="text1"/>
          <w14:textFill>
            <w14:solidFill>
              <w14:schemeClr w14:val="tx1"/>
            </w14:solidFill>
          </w14:textFill>
        </w:rPr>
      </w:pPr>
    </w:p>
    <w:p w14:paraId="120E729E">
      <w:pPr>
        <w:pStyle w:val="3"/>
        <w:rPr>
          <w:color w:val="000000" w:themeColor="text1"/>
          <w14:textFill>
            <w14:solidFill>
              <w14:schemeClr w14:val="tx1"/>
            </w14:solidFill>
          </w14:textFill>
        </w:rPr>
      </w:pPr>
    </w:p>
    <w:p w14:paraId="458D50E8">
      <w:pPr>
        <w:rPr>
          <w:color w:val="000000" w:themeColor="text1"/>
          <w14:textFill>
            <w14:solidFill>
              <w14:schemeClr w14:val="tx1"/>
            </w14:solidFill>
          </w14:textFill>
        </w:rPr>
      </w:pPr>
    </w:p>
    <w:p w14:paraId="4A35A42F">
      <w:pPr>
        <w:pStyle w:val="3"/>
        <w:rPr>
          <w:color w:val="000000" w:themeColor="text1"/>
          <w14:textFill>
            <w14:solidFill>
              <w14:schemeClr w14:val="tx1"/>
            </w14:solidFill>
          </w14:textFill>
        </w:rPr>
      </w:pPr>
    </w:p>
    <w:p w14:paraId="30CDE83B">
      <w:pPr>
        <w:rPr>
          <w:color w:val="000000" w:themeColor="text1"/>
          <w14:textFill>
            <w14:solidFill>
              <w14:schemeClr w14:val="tx1"/>
            </w14:solidFill>
          </w14:textFill>
        </w:rPr>
      </w:pPr>
    </w:p>
    <w:p w14:paraId="03810368">
      <w:pPr>
        <w:widowControl/>
        <w:kinsoku w:val="0"/>
        <w:autoSpaceDE w:val="0"/>
        <w:autoSpaceDN w:val="0"/>
        <w:adjustRightInd w:val="0"/>
        <w:snapToGrid w:val="0"/>
        <w:spacing w:before="156" w:line="360" w:lineRule="auto"/>
        <w:textAlignment w:val="baseline"/>
        <w:rPr>
          <w:rFonts w:ascii="宋体" w:hAnsi="宋体"/>
          <w:color w:val="000000" w:themeColor="text1"/>
          <w:spacing w:val="-1"/>
          <w:sz w:val="24"/>
          <w14:textOutline w14:w="4356" w14:cap="sq" w14:cmpd="sng" w14:algn="ctr">
            <w14:solidFill>
              <w14:srgbClr w14:val="000000"/>
            </w14:solidFill>
            <w14:prstDash w14:val="solid"/>
            <w14:bevel/>
          </w14:textOutline>
          <w14:textFill>
            <w14:solidFill>
              <w14:schemeClr w14:val="tx1"/>
            </w14:solidFill>
          </w14:textFill>
        </w:rPr>
      </w:pPr>
    </w:p>
    <w:p w14:paraId="34B7ACC8">
      <w:pPr>
        <w:spacing w:line="360" w:lineRule="auto"/>
        <w:jc w:val="center"/>
        <w:textAlignment w:val="baseline"/>
        <w:rPr>
          <w:rFonts w:asciiTheme="minorEastAsia" w:hAnsiTheme="minorEastAsia" w:eastAsiaTheme="minorEastAsia" w:cstheme="minorEastAsia"/>
          <w:b/>
          <w:color w:val="000000" w:themeColor="text1"/>
          <w:sz w:val="32"/>
          <w:szCs w:val="32"/>
          <w:shd w:val="clear" w:color="auto" w:fill="FFFFFF"/>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金银湖街违法建设拆除工程</w:t>
      </w:r>
      <w:r>
        <w:rPr>
          <w:rFonts w:hint="eastAsia" w:asciiTheme="minorEastAsia" w:hAnsiTheme="minorEastAsia" w:eastAsiaTheme="minorEastAsia" w:cstheme="minorEastAsia"/>
          <w:b/>
          <w:color w:val="000000" w:themeColor="text1"/>
          <w:sz w:val="32"/>
          <w:szCs w:val="32"/>
          <w:shd w:val="clear" w:color="auto" w:fill="FFFFFF"/>
          <w14:textFill>
            <w14:solidFill>
              <w14:schemeClr w14:val="tx1"/>
            </w14:solidFill>
          </w14:textFill>
        </w:rPr>
        <w:t>需求公示</w:t>
      </w:r>
    </w:p>
    <w:p w14:paraId="34FD4949">
      <w:pPr>
        <w:spacing w:before="323" w:line="185" w:lineRule="auto"/>
        <w:jc w:val="center"/>
        <w:outlineLvl w:val="0"/>
        <w:rPr>
          <w:rFonts w:ascii="宋体" w:hAnsi="宋体"/>
          <w:color w:val="000000" w:themeColor="text1"/>
          <w:spacing w:val="-1"/>
          <w:sz w:val="30"/>
          <w:szCs w:val="30"/>
          <w14:textOutline w14:w="5448" w14:cap="sq" w14:cmpd="sng" w14:algn="ctr">
            <w14:solidFill>
              <w14:srgbClr w14:val="000000"/>
            </w14:solidFill>
            <w14:prstDash w14:val="solid"/>
            <w14:bevel/>
          </w14:textOutline>
          <w14:textFill>
            <w14:solidFill>
              <w14:schemeClr w14:val="tx1"/>
            </w14:solidFill>
          </w14:textFill>
        </w:rPr>
      </w:pPr>
      <w:r>
        <w:rPr>
          <w:rFonts w:hint="eastAsia" w:ascii="宋体" w:hAnsi="宋体"/>
          <w:color w:val="000000" w:themeColor="text1"/>
          <w:spacing w:val="-1"/>
          <w:sz w:val="30"/>
          <w:szCs w:val="30"/>
          <w14:textOutline w14:w="5448" w14:cap="sq" w14:cmpd="sng" w14:algn="ctr">
            <w14:solidFill>
              <w14:srgbClr w14:val="000000"/>
            </w14:solidFill>
            <w14:prstDash w14:val="solid"/>
            <w14:bevel/>
          </w14:textOutline>
          <w14:textFill>
            <w14:solidFill>
              <w14:schemeClr w14:val="tx1"/>
            </w14:solidFill>
          </w14:textFill>
        </w:rPr>
        <w:t>一、项目概况</w:t>
      </w:r>
    </w:p>
    <w:p w14:paraId="35930365">
      <w:pPr>
        <w:pStyle w:val="2"/>
        <w:spacing w:before="78" w:line="219" w:lineRule="auto"/>
        <w:ind w:left="102"/>
        <w:outlineLvl w:val="1"/>
        <w:rPr>
          <w:sz w:val="24"/>
          <w:szCs w:val="24"/>
          <w:lang w:eastAsia="zh-CN"/>
        </w:rPr>
      </w:pPr>
      <w:r>
        <w:rPr>
          <w:rFonts w:hint="eastAsia"/>
          <w:b/>
          <w:bCs/>
          <w:spacing w:val="-4"/>
          <w:sz w:val="24"/>
          <w:szCs w:val="24"/>
          <w:lang w:eastAsia="zh-CN"/>
        </w:rPr>
        <w:t>一、项目基本情况</w:t>
      </w:r>
    </w:p>
    <w:p w14:paraId="5EE45B6D">
      <w:pPr>
        <w:spacing w:before="162"/>
        <w:ind w:left="18" w:right="37" w:firstLine="696" w:firstLineChars="295"/>
        <w:rPr>
          <w:rFonts w:ascii="宋体" w:hAnsi="宋体"/>
          <w:spacing w:val="-2"/>
          <w:sz w:val="24"/>
        </w:rPr>
      </w:pPr>
      <w:r>
        <w:rPr>
          <w:rFonts w:hint="eastAsia" w:ascii="宋体" w:hAnsi="宋体"/>
          <w:spacing w:val="-2"/>
          <w:sz w:val="24"/>
        </w:rPr>
        <w:t>1.项目编号：JYZX-ZFCG-2025-0013A</w:t>
      </w:r>
    </w:p>
    <w:p w14:paraId="0810A039">
      <w:pPr>
        <w:spacing w:before="162"/>
        <w:ind w:left="18" w:right="37" w:firstLine="696" w:firstLineChars="295"/>
        <w:rPr>
          <w:rFonts w:ascii="宋体" w:hAnsi="宋体"/>
          <w:spacing w:val="-2"/>
          <w:sz w:val="24"/>
        </w:rPr>
      </w:pPr>
      <w:r>
        <w:rPr>
          <w:rFonts w:hint="eastAsia" w:ascii="宋体" w:hAnsi="宋体"/>
          <w:spacing w:val="-2"/>
          <w:sz w:val="24"/>
        </w:rPr>
        <w:t xml:space="preserve">2.采购计划备案号：420112-2025-03118  </w:t>
      </w:r>
    </w:p>
    <w:p w14:paraId="6BE9F081">
      <w:pPr>
        <w:spacing w:before="162"/>
        <w:ind w:left="18" w:right="37" w:firstLine="696" w:firstLineChars="295"/>
        <w:rPr>
          <w:rFonts w:ascii="宋体" w:hAnsi="宋体"/>
          <w:spacing w:val="-2"/>
          <w:sz w:val="24"/>
        </w:rPr>
      </w:pPr>
      <w:r>
        <w:rPr>
          <w:rFonts w:hint="eastAsia" w:ascii="宋体" w:hAnsi="宋体"/>
          <w:spacing w:val="-2"/>
          <w:sz w:val="24"/>
        </w:rPr>
        <w:t>3.项目名称：金银湖街违法建设拆除工程</w:t>
      </w:r>
    </w:p>
    <w:p w14:paraId="4FC6FF5E">
      <w:pPr>
        <w:spacing w:before="162"/>
        <w:ind w:left="18" w:right="37" w:firstLine="696" w:firstLineChars="295"/>
        <w:rPr>
          <w:rFonts w:ascii="宋体" w:hAnsi="宋体"/>
          <w:spacing w:val="-2"/>
          <w:sz w:val="24"/>
        </w:rPr>
      </w:pPr>
      <w:r>
        <w:rPr>
          <w:rFonts w:hint="eastAsia" w:ascii="宋体" w:hAnsi="宋体"/>
          <w:spacing w:val="-2"/>
          <w:sz w:val="24"/>
        </w:rPr>
        <w:t>4.采购方式：竞争性磋商</w:t>
      </w:r>
    </w:p>
    <w:p w14:paraId="151B9534">
      <w:pPr>
        <w:spacing w:before="162"/>
        <w:ind w:left="18" w:right="37" w:firstLine="696" w:firstLineChars="295"/>
        <w:rPr>
          <w:rFonts w:ascii="宋体" w:hAnsi="宋体"/>
          <w:spacing w:val="-2"/>
          <w:sz w:val="24"/>
        </w:rPr>
      </w:pPr>
      <w:r>
        <w:rPr>
          <w:rFonts w:hint="eastAsia" w:ascii="宋体" w:hAnsi="宋体"/>
          <w:spacing w:val="-2"/>
          <w:sz w:val="24"/>
        </w:rPr>
        <w:t xml:space="preserve">5.预算金额：192.00 万元 </w:t>
      </w:r>
    </w:p>
    <w:p w14:paraId="4C7E693B">
      <w:pPr>
        <w:spacing w:before="156" w:line="439" w:lineRule="exact"/>
        <w:ind w:left="2138" w:leftChars="344" w:hanging="1416" w:hangingChars="600"/>
        <w:rPr>
          <w:rFonts w:ascii="宋体" w:hAnsi="宋体"/>
          <w:spacing w:val="-2"/>
          <w:sz w:val="24"/>
        </w:rPr>
      </w:pPr>
      <w:r>
        <w:rPr>
          <w:rFonts w:hint="eastAsia" w:ascii="宋体" w:hAnsi="宋体"/>
          <w:spacing w:val="-2"/>
          <w:sz w:val="24"/>
        </w:rPr>
        <w:t xml:space="preserve">6.最高限价：192.00 万元，高于此报价做废标处理。 </w:t>
      </w:r>
    </w:p>
    <w:p w14:paraId="7FD1241E">
      <w:pPr>
        <w:spacing w:before="162"/>
        <w:ind w:left="18" w:right="37" w:firstLine="696" w:firstLineChars="295"/>
        <w:rPr>
          <w:rFonts w:ascii="宋体" w:hAnsi="宋体"/>
          <w:spacing w:val="-2"/>
          <w:sz w:val="24"/>
        </w:rPr>
      </w:pPr>
      <w:r>
        <w:rPr>
          <w:rFonts w:hint="eastAsia" w:ascii="宋体" w:hAnsi="宋体"/>
          <w:spacing w:val="-2"/>
          <w:sz w:val="24"/>
        </w:rPr>
        <w:t>7.采购需求： 详见采购文件第三章项目采购需求。</w:t>
      </w:r>
    </w:p>
    <w:p w14:paraId="6432350C">
      <w:pPr>
        <w:spacing w:before="162"/>
        <w:ind w:left="18" w:right="37" w:firstLine="696" w:firstLineChars="295"/>
        <w:rPr>
          <w:rFonts w:ascii="宋体" w:hAnsi="宋体"/>
          <w:spacing w:val="-2"/>
          <w:sz w:val="24"/>
        </w:rPr>
      </w:pPr>
      <w:r>
        <w:rPr>
          <w:rFonts w:hint="eastAsia" w:ascii="宋体" w:hAnsi="宋体"/>
          <w:spacing w:val="-2"/>
          <w:sz w:val="24"/>
        </w:rPr>
        <w:t>8.合同履行期限：12个月</w:t>
      </w:r>
      <w:r>
        <w:rPr>
          <w:rFonts w:hint="eastAsia" w:ascii="宋体" w:hAnsi="宋体"/>
          <w:spacing w:val="-2"/>
          <w:sz w:val="24"/>
          <w:lang w:eastAsia="zh-Hans"/>
        </w:rPr>
        <w:t>（实际服务期限根据甲方要求执行）</w:t>
      </w:r>
      <w:r>
        <w:rPr>
          <w:rFonts w:hint="eastAsia" w:ascii="宋体" w:hAnsi="宋体"/>
          <w:spacing w:val="-2"/>
          <w:sz w:val="24"/>
        </w:rPr>
        <w:t>。</w:t>
      </w:r>
    </w:p>
    <w:p w14:paraId="51C53FEB">
      <w:pPr>
        <w:spacing w:before="162"/>
        <w:ind w:left="18" w:right="37" w:firstLine="696" w:firstLineChars="295"/>
        <w:rPr>
          <w:rFonts w:ascii="宋体" w:hAnsi="宋体"/>
          <w:spacing w:val="-2"/>
          <w:sz w:val="24"/>
        </w:rPr>
      </w:pPr>
      <w:r>
        <w:rPr>
          <w:rFonts w:hint="eastAsia" w:ascii="宋体" w:hAnsi="宋体"/>
          <w:spacing w:val="-2"/>
          <w:sz w:val="24"/>
        </w:rPr>
        <w:t xml:space="preserve">9.本项目（是/否）接受联合体投标：否 </w:t>
      </w:r>
    </w:p>
    <w:p w14:paraId="386426C7">
      <w:pPr>
        <w:spacing w:before="162"/>
        <w:ind w:left="18" w:right="37" w:firstLine="696" w:firstLineChars="295"/>
        <w:rPr>
          <w:rFonts w:ascii="宋体" w:hAnsi="宋体"/>
          <w:spacing w:val="-2"/>
          <w:sz w:val="24"/>
        </w:rPr>
      </w:pPr>
      <w:r>
        <w:rPr>
          <w:rFonts w:hint="eastAsia" w:ascii="宋体" w:hAnsi="宋体"/>
          <w:spacing w:val="-2"/>
          <w:sz w:val="24"/>
        </w:rPr>
        <w:t>10.是否可采购进口产品：否</w:t>
      </w:r>
    </w:p>
    <w:p w14:paraId="71CD1FD4">
      <w:pPr>
        <w:spacing w:before="162"/>
        <w:ind w:left="18" w:right="37" w:firstLine="696" w:firstLineChars="295"/>
        <w:rPr>
          <w:rFonts w:ascii="宋体" w:hAnsi="宋体"/>
          <w:spacing w:val="-2"/>
          <w:sz w:val="24"/>
        </w:rPr>
      </w:pPr>
      <w:r>
        <w:rPr>
          <w:rFonts w:hint="eastAsia" w:ascii="宋体" w:hAnsi="宋体"/>
          <w:spacing w:val="-2"/>
          <w:sz w:val="24"/>
        </w:rPr>
        <w:t>11.本项目（是/否）接受合同分包：否</w:t>
      </w:r>
    </w:p>
    <w:p w14:paraId="508D12DD">
      <w:pPr>
        <w:spacing w:before="162"/>
        <w:ind w:left="18" w:right="37" w:firstLine="696" w:firstLineChars="295"/>
        <w:rPr>
          <w:rFonts w:ascii="宋体" w:hAnsi="宋体"/>
          <w:spacing w:val="-2"/>
          <w:sz w:val="24"/>
        </w:rPr>
      </w:pPr>
      <w:r>
        <w:rPr>
          <w:rFonts w:hint="eastAsia" w:ascii="宋体" w:hAnsi="宋体"/>
          <w:spacing w:val="-2"/>
          <w:sz w:val="24"/>
        </w:rPr>
        <w:t xml:space="preserve">12.本项目（是/否）专门面向中小微企业：是 </w:t>
      </w:r>
    </w:p>
    <w:p w14:paraId="18748C2E">
      <w:pPr>
        <w:spacing w:before="162"/>
        <w:ind w:left="18" w:right="37" w:firstLine="696" w:firstLineChars="295"/>
        <w:rPr>
          <w:rFonts w:ascii="宋体" w:hAnsi="宋体"/>
          <w:spacing w:val="-2"/>
          <w:sz w:val="24"/>
        </w:rPr>
      </w:pPr>
      <w:r>
        <w:rPr>
          <w:rFonts w:hint="eastAsia" w:ascii="宋体" w:hAnsi="宋体"/>
          <w:spacing w:val="-2"/>
          <w:sz w:val="24"/>
        </w:rPr>
        <w:t>13.面向中小微企业的类型为：中小微企业</w:t>
      </w:r>
    </w:p>
    <w:p w14:paraId="5789EAB7">
      <w:pPr>
        <w:pStyle w:val="2"/>
        <w:spacing w:before="37" w:line="219" w:lineRule="auto"/>
        <w:ind w:left="102"/>
        <w:outlineLvl w:val="1"/>
        <w:rPr>
          <w:sz w:val="24"/>
          <w:szCs w:val="24"/>
          <w:lang w:eastAsia="zh-CN"/>
        </w:rPr>
      </w:pPr>
      <w:bookmarkStart w:id="0" w:name="bookmark6"/>
      <w:bookmarkEnd w:id="0"/>
      <w:bookmarkStart w:id="1" w:name="bookmark5"/>
      <w:bookmarkEnd w:id="1"/>
      <w:r>
        <w:rPr>
          <w:rFonts w:hint="eastAsia"/>
          <w:b/>
          <w:bCs/>
          <w:spacing w:val="-3"/>
          <w:sz w:val="24"/>
          <w:szCs w:val="24"/>
          <w:lang w:eastAsia="zh-CN"/>
        </w:rPr>
        <w:t>二、申请人的资格要求</w:t>
      </w:r>
    </w:p>
    <w:p w14:paraId="58F6F8D0">
      <w:pPr>
        <w:spacing w:before="162"/>
        <w:ind w:left="18" w:right="37" w:firstLine="696" w:firstLineChars="295"/>
        <w:rPr>
          <w:rFonts w:ascii="宋体" w:hAnsi="宋体"/>
          <w:spacing w:val="-2"/>
          <w:sz w:val="24"/>
        </w:rPr>
      </w:pPr>
      <w:r>
        <w:rPr>
          <w:rFonts w:hint="eastAsia" w:ascii="宋体" w:hAnsi="宋体"/>
          <w:spacing w:val="-2"/>
          <w:sz w:val="24"/>
        </w:rPr>
        <w:t>1.供应商资格条件</w:t>
      </w:r>
    </w:p>
    <w:p w14:paraId="3F5B925A">
      <w:pPr>
        <w:spacing w:before="162"/>
        <w:ind w:left="18" w:right="37" w:firstLine="696" w:firstLineChars="295"/>
        <w:rPr>
          <w:rFonts w:ascii="宋体" w:hAnsi="宋体"/>
          <w:spacing w:val="-2"/>
          <w:sz w:val="24"/>
        </w:rPr>
      </w:pPr>
      <w:r>
        <w:rPr>
          <w:rFonts w:hint="eastAsia" w:ascii="宋体" w:hAnsi="宋体"/>
          <w:spacing w:val="-2"/>
          <w:sz w:val="24"/>
        </w:rPr>
        <w:t>（1）满足《中华人民共和国政府采购法》第二十二条规定，即：</w:t>
      </w:r>
    </w:p>
    <w:p w14:paraId="034052BF">
      <w:pPr>
        <w:spacing w:before="162"/>
        <w:ind w:left="18" w:right="37" w:firstLine="696" w:firstLineChars="295"/>
        <w:rPr>
          <w:rFonts w:ascii="宋体" w:hAnsi="宋体"/>
          <w:spacing w:val="-2"/>
          <w:sz w:val="24"/>
        </w:rPr>
      </w:pPr>
      <w:r>
        <w:rPr>
          <w:rFonts w:hint="eastAsia" w:ascii="宋体" w:hAnsi="宋体"/>
          <w:spacing w:val="-2"/>
          <w:sz w:val="24"/>
        </w:rPr>
        <w:t>①具有独立承担民事责任的能力；</w:t>
      </w:r>
    </w:p>
    <w:p w14:paraId="240A19F0">
      <w:pPr>
        <w:spacing w:before="162"/>
        <w:ind w:left="18" w:right="37" w:firstLine="696" w:firstLineChars="295"/>
        <w:rPr>
          <w:rFonts w:ascii="宋体" w:hAnsi="宋体"/>
          <w:spacing w:val="-2"/>
          <w:sz w:val="24"/>
        </w:rPr>
      </w:pPr>
      <w:r>
        <w:rPr>
          <w:rFonts w:hint="eastAsia" w:ascii="宋体" w:hAnsi="宋体"/>
          <w:spacing w:val="-2"/>
          <w:sz w:val="24"/>
        </w:rPr>
        <w:t>②具有良好的商业信誉和健全的财务会计制度；</w:t>
      </w:r>
    </w:p>
    <w:p w14:paraId="0945B2C3">
      <w:pPr>
        <w:spacing w:before="162"/>
        <w:ind w:left="18" w:right="37" w:firstLine="696" w:firstLineChars="295"/>
        <w:rPr>
          <w:rFonts w:ascii="宋体" w:hAnsi="宋体"/>
          <w:spacing w:val="-2"/>
          <w:sz w:val="24"/>
        </w:rPr>
      </w:pPr>
      <w:r>
        <w:rPr>
          <w:rFonts w:hint="eastAsia" w:ascii="宋体" w:hAnsi="宋体"/>
          <w:spacing w:val="-2"/>
          <w:sz w:val="24"/>
        </w:rPr>
        <w:t>③具有履行合同所必需的设备和专业技术能力；</w:t>
      </w:r>
    </w:p>
    <w:p w14:paraId="4112E20C">
      <w:pPr>
        <w:spacing w:before="162"/>
        <w:ind w:left="18" w:right="37" w:firstLine="696" w:firstLineChars="295"/>
        <w:rPr>
          <w:rFonts w:ascii="宋体" w:hAnsi="宋体"/>
          <w:spacing w:val="-2"/>
          <w:sz w:val="24"/>
        </w:rPr>
      </w:pPr>
      <w:r>
        <w:rPr>
          <w:rFonts w:hint="eastAsia" w:ascii="宋体" w:hAnsi="宋体"/>
          <w:spacing w:val="-2"/>
          <w:sz w:val="24"/>
        </w:rPr>
        <w:t>④有依法缴纳税收和社会保障资金的良好记录；</w:t>
      </w:r>
    </w:p>
    <w:p w14:paraId="06434DB2">
      <w:pPr>
        <w:spacing w:before="162"/>
        <w:ind w:left="18" w:right="37" w:firstLine="696" w:firstLineChars="295"/>
        <w:rPr>
          <w:rFonts w:ascii="宋体" w:hAnsi="宋体"/>
          <w:spacing w:val="-2"/>
          <w:sz w:val="24"/>
        </w:rPr>
      </w:pPr>
      <w:r>
        <w:rPr>
          <w:rFonts w:hint="eastAsia" w:ascii="宋体" w:hAnsi="宋体"/>
          <w:spacing w:val="-2"/>
          <w:sz w:val="24"/>
        </w:rPr>
        <w:t>⑤参加政府采购活动前三年内，在经营活动中没有重大违法记录；</w:t>
      </w:r>
    </w:p>
    <w:p w14:paraId="44B76EB2">
      <w:pPr>
        <w:spacing w:before="162"/>
        <w:ind w:left="18" w:right="37" w:firstLine="696" w:firstLineChars="295"/>
        <w:rPr>
          <w:rFonts w:ascii="宋体" w:hAnsi="宋体"/>
          <w:spacing w:val="-2"/>
          <w:sz w:val="24"/>
        </w:rPr>
      </w:pPr>
      <w:r>
        <w:rPr>
          <w:rFonts w:hint="eastAsia" w:ascii="宋体" w:hAnsi="宋体"/>
          <w:spacing w:val="-2"/>
          <w:sz w:val="24"/>
        </w:rPr>
        <w:t>⑥法律、行政法规规定的其他条件。</w:t>
      </w:r>
    </w:p>
    <w:p w14:paraId="279926BC">
      <w:pPr>
        <w:spacing w:before="162"/>
        <w:ind w:left="18" w:right="37" w:firstLine="696" w:firstLineChars="295"/>
        <w:rPr>
          <w:rFonts w:ascii="宋体" w:hAnsi="宋体"/>
          <w:spacing w:val="-2"/>
          <w:sz w:val="24"/>
        </w:rPr>
      </w:pPr>
      <w:r>
        <w:rPr>
          <w:rFonts w:hint="eastAsia" w:ascii="宋体" w:hAnsi="宋体"/>
          <w:spacing w:val="-2"/>
          <w:sz w:val="24"/>
        </w:rPr>
        <w:t>（2）单位负责人为同一人或者存在直接控股、管理关系的不同供应商，不得参加本项目同一合同项下的政府采购活动</w:t>
      </w:r>
    </w:p>
    <w:p w14:paraId="574D6333">
      <w:pPr>
        <w:spacing w:before="162"/>
        <w:ind w:left="18" w:right="37" w:firstLine="696" w:firstLineChars="295"/>
        <w:rPr>
          <w:rFonts w:ascii="宋体" w:hAnsi="宋体"/>
          <w:spacing w:val="-2"/>
          <w:sz w:val="24"/>
        </w:rPr>
      </w:pPr>
      <w:r>
        <w:rPr>
          <w:rFonts w:hint="eastAsia" w:ascii="宋体" w:hAnsi="宋体"/>
          <w:spacing w:val="-2"/>
          <w:sz w:val="24"/>
        </w:rPr>
        <w:t>（3）为本采购项目提供整体设计、规范编制或者项目管理、监理、检测等服务的，不得再参加本项目的其他招标采购活动。</w:t>
      </w:r>
    </w:p>
    <w:p w14:paraId="1387958A">
      <w:pPr>
        <w:spacing w:before="162"/>
        <w:ind w:left="18" w:right="37" w:firstLine="696" w:firstLineChars="295"/>
        <w:rPr>
          <w:rFonts w:ascii="宋体" w:hAnsi="宋体"/>
          <w:spacing w:val="-2"/>
          <w:sz w:val="24"/>
        </w:rPr>
      </w:pPr>
      <w:r>
        <w:rPr>
          <w:rFonts w:hint="eastAsia" w:ascii="宋体" w:hAnsi="宋体"/>
          <w:spacing w:val="-2"/>
          <w:sz w:val="24"/>
        </w:rPr>
        <w:t>（4）未被列入失信被执行人、“重大税收违法失信主体”，未被列入政府采购严重违法失信行为记录名单。</w:t>
      </w:r>
    </w:p>
    <w:p w14:paraId="29043D57">
      <w:pPr>
        <w:spacing w:before="162"/>
        <w:ind w:left="18" w:right="37" w:firstLine="696" w:firstLineChars="295"/>
        <w:rPr>
          <w:rFonts w:ascii="宋体" w:hAnsi="宋体"/>
          <w:spacing w:val="-2"/>
          <w:sz w:val="24"/>
        </w:rPr>
      </w:pPr>
      <w:r>
        <w:rPr>
          <w:rFonts w:hint="eastAsia" w:ascii="宋体" w:hAnsi="宋体"/>
          <w:spacing w:val="-2"/>
          <w:sz w:val="24"/>
        </w:rPr>
        <w:t>（5）本项目不接受联合体形式的投标</w:t>
      </w:r>
    </w:p>
    <w:p w14:paraId="40BBC3A4">
      <w:pPr>
        <w:spacing w:before="162"/>
        <w:ind w:left="18" w:right="37" w:firstLine="696" w:firstLineChars="295"/>
        <w:rPr>
          <w:rFonts w:ascii="宋体" w:hAnsi="宋体"/>
          <w:spacing w:val="-2"/>
          <w:sz w:val="24"/>
        </w:rPr>
      </w:pPr>
      <w:r>
        <w:rPr>
          <w:rFonts w:hint="eastAsia" w:ascii="宋体" w:hAnsi="宋体"/>
          <w:spacing w:val="-2"/>
          <w:sz w:val="24"/>
        </w:rPr>
        <w:t>（6）本项目专门面向中小微企业进行采购活动</w:t>
      </w:r>
    </w:p>
    <w:p w14:paraId="17351A70">
      <w:pPr>
        <w:spacing w:before="162"/>
        <w:ind w:left="18" w:right="37" w:firstLine="696" w:firstLineChars="295"/>
        <w:rPr>
          <w:rFonts w:ascii="宋体" w:hAnsi="宋体"/>
          <w:spacing w:val="-2"/>
          <w:sz w:val="24"/>
        </w:rPr>
      </w:pPr>
      <w:r>
        <w:rPr>
          <w:rFonts w:hint="eastAsia" w:ascii="宋体" w:hAnsi="宋体"/>
          <w:spacing w:val="-2"/>
          <w:sz w:val="24"/>
        </w:rPr>
        <w:t>（7）本项目特定资格要求：投标</w:t>
      </w:r>
      <w:r>
        <w:rPr>
          <w:rFonts w:ascii="宋体" w:hAnsi="宋体"/>
          <w:spacing w:val="-1"/>
          <w:sz w:val="24"/>
        </w:rPr>
        <w:t>供应商须具备有效的建设主管部门颁发的《安全生产许可证》。</w:t>
      </w:r>
    </w:p>
    <w:p w14:paraId="125BC656">
      <w:pPr>
        <w:spacing w:before="85" w:line="185" w:lineRule="auto"/>
        <w:rPr>
          <w:rFonts w:asciiTheme="minorEastAsia" w:hAnsiTheme="minorEastAsia" w:eastAsiaTheme="minorEastAsia" w:cstheme="minorEastAsia"/>
          <w:color w:val="000000" w:themeColor="text1"/>
          <w:spacing w:val="-1"/>
          <w:sz w:val="24"/>
          <w14:textOutline w14:w="4356" w14:cap="sq" w14:cmpd="sng" w14:algn="ctr">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color w:val="000000" w:themeColor="text1"/>
          <w:spacing w:val="-1"/>
          <w:sz w:val="24"/>
          <w14:textOutline w14:w="4356" w14:cap="sq" w14:cmpd="sng" w14:algn="ctr">
            <w14:solidFill>
              <w14:srgbClr w14:val="000000"/>
            </w14:solidFill>
            <w14:prstDash w14:val="solid"/>
            <w14:bevel/>
          </w14:textOutline>
          <w14:textFill>
            <w14:solidFill>
              <w14:schemeClr w14:val="tx1"/>
            </w14:solidFill>
          </w14:textFill>
        </w:rPr>
        <w:t>三、征求意见截止日期</w:t>
      </w:r>
    </w:p>
    <w:p w14:paraId="7020B26B">
      <w:pPr>
        <w:spacing w:line="360" w:lineRule="auto"/>
        <w:ind w:firstLine="371" w:firstLineChars="177"/>
        <w:textAlignment w:val="baseline"/>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shd w:val="clear" w:color="auto" w:fill="FFFFFF"/>
          <w14:textFill>
            <w14:solidFill>
              <w14:schemeClr w14:val="tx1"/>
            </w14:solidFill>
          </w14:textFill>
        </w:rPr>
        <w:t>从2025年11月14日至2022年11月17日</w:t>
      </w:r>
    </w:p>
    <w:p w14:paraId="2F816AB3">
      <w:pPr>
        <w:spacing w:before="85" w:line="185" w:lineRule="auto"/>
        <w:rPr>
          <w:rFonts w:asciiTheme="minorEastAsia" w:hAnsiTheme="minorEastAsia" w:eastAsiaTheme="minorEastAsia" w:cstheme="minorEastAsia"/>
          <w:color w:val="000000" w:themeColor="text1"/>
          <w:spacing w:val="-1"/>
          <w:sz w:val="24"/>
          <w14:textOutline w14:w="4356" w14:cap="sq" w14:cmpd="sng" w14:algn="ctr">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color w:val="000000" w:themeColor="text1"/>
          <w:spacing w:val="-1"/>
          <w:sz w:val="24"/>
          <w14:textOutline w14:w="4356" w14:cap="sq" w14:cmpd="sng" w14:algn="ctr">
            <w14:solidFill>
              <w14:srgbClr w14:val="000000"/>
            </w14:solidFill>
            <w14:prstDash w14:val="solid"/>
            <w14:bevel/>
          </w14:textOutline>
          <w14:textFill>
            <w14:solidFill>
              <w14:schemeClr w14:val="tx1"/>
            </w14:solidFill>
          </w14:textFill>
        </w:rPr>
        <w:t>四、征求意见的提交方式</w:t>
      </w:r>
    </w:p>
    <w:p w14:paraId="394D90F8">
      <w:pPr>
        <w:spacing w:line="360" w:lineRule="auto"/>
        <w:ind w:firstLine="371" w:firstLineChars="177"/>
        <w:textAlignment w:val="baseline"/>
        <w:rPr>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1"/>
          <w:shd w:val="clear" w:color="auto" w:fill="FFFFFF"/>
          <w14:textFill>
            <w14:solidFill>
              <w14:schemeClr w14:val="tx1"/>
            </w14:solidFill>
          </w14:textFill>
        </w:rPr>
        <w:t>对采购需求提出相关意见（应说明理由）应客观公正、实事求是，并在公示期内将相关意见以书面形式（加盖公章）提交至武汉市建业工程咨询有限公司，同时还须将反馈意见的电子文档（word版本）发送至公告指定的电子邮箱274825751@qq.com)，邮件主题注明“（公司名称）关于（项目名称）采购需求反馈意见”，邮件内容应包括供应商名称、供应商联系人姓名、联系方式等内容。</w:t>
      </w:r>
    </w:p>
    <w:p w14:paraId="6426827E">
      <w:pPr>
        <w:spacing w:before="323" w:line="185" w:lineRule="auto"/>
        <w:jc w:val="center"/>
        <w:outlineLvl w:val="0"/>
        <w:rPr>
          <w:rFonts w:ascii="宋体" w:hAnsi="宋体"/>
          <w:color w:val="000000" w:themeColor="text1"/>
          <w:spacing w:val="-1"/>
          <w:sz w:val="30"/>
          <w:szCs w:val="30"/>
          <w14:textOutline w14:w="5448" w14:cap="sq" w14:cmpd="sng" w14:algn="ctr">
            <w14:solidFill>
              <w14:srgbClr w14:val="000000"/>
            </w14:solidFill>
            <w14:prstDash w14:val="solid"/>
            <w14:bevel/>
          </w14:textOutline>
          <w14:textFill>
            <w14:solidFill>
              <w14:schemeClr w14:val="tx1"/>
            </w14:solidFill>
          </w14:textFill>
        </w:rPr>
      </w:pPr>
      <w:r>
        <w:rPr>
          <w:rFonts w:hint="eastAsia" w:ascii="宋体" w:hAnsi="宋体"/>
          <w:color w:val="000000" w:themeColor="text1"/>
          <w:spacing w:val="-1"/>
          <w:sz w:val="30"/>
          <w:szCs w:val="30"/>
          <w14:textOutline w14:w="5448" w14:cap="sq" w14:cmpd="sng" w14:algn="ctr">
            <w14:solidFill>
              <w14:srgbClr w14:val="000000"/>
            </w14:solidFill>
            <w14:prstDash w14:val="solid"/>
            <w14:bevel/>
          </w14:textOutline>
          <w14:textFill>
            <w14:solidFill>
              <w14:schemeClr w14:val="tx1"/>
            </w14:solidFill>
          </w14:textFill>
        </w:rPr>
        <w:t>二、</w:t>
      </w:r>
      <w:r>
        <w:rPr>
          <w:rFonts w:ascii="宋体" w:hAnsi="宋体"/>
          <w:color w:val="000000" w:themeColor="text1"/>
          <w:spacing w:val="-1"/>
          <w:sz w:val="30"/>
          <w:szCs w:val="30"/>
          <w14:textOutline w14:w="5448" w14:cap="sq" w14:cmpd="sng" w14:algn="ctr">
            <w14:solidFill>
              <w14:srgbClr w14:val="000000"/>
            </w14:solidFill>
            <w14:prstDash w14:val="solid"/>
            <w14:bevel/>
          </w14:textOutline>
          <w14:textFill>
            <w14:solidFill>
              <w14:schemeClr w14:val="tx1"/>
            </w14:solidFill>
          </w14:textFill>
        </w:rPr>
        <w:t>釆购需求</w:t>
      </w:r>
    </w:p>
    <w:p w14:paraId="7325BE89">
      <w:pPr>
        <w:widowControl/>
        <w:kinsoku w:val="0"/>
        <w:wordWrap w:val="0"/>
        <w:autoSpaceDE w:val="0"/>
        <w:autoSpaceDN w:val="0"/>
        <w:adjustRightInd w:val="0"/>
        <w:snapToGrid w:val="0"/>
        <w:spacing w:line="460" w:lineRule="exact"/>
        <w:ind w:firstLine="482" w:firstLineChars="200"/>
        <w:textAlignment w:val="baseline"/>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一、项目概况</w:t>
      </w:r>
    </w:p>
    <w:p w14:paraId="2C811591">
      <w:pPr>
        <w:widowControl/>
        <w:kinsoku w:val="0"/>
        <w:wordWrap w:val="0"/>
        <w:autoSpaceDE w:val="0"/>
        <w:autoSpaceDN w:val="0"/>
        <w:adjustRightInd w:val="0"/>
        <w:snapToGrid w:val="0"/>
        <w:spacing w:line="460" w:lineRule="exact"/>
        <w:ind w:firstLine="960" w:firstLineChars="400"/>
        <w:textAlignment w:val="baseline"/>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w:t>
      </w:r>
      <w:r>
        <w:rPr>
          <w:rFonts w:hint="eastAsia" w:asciiTheme="majorEastAsia" w:hAnsiTheme="majorEastAsia" w:eastAsiaTheme="majorEastAsia" w:cstheme="majorEastAsia"/>
          <w:sz w:val="24"/>
          <w:lang w:eastAsia="zh-Hans"/>
        </w:rPr>
        <w:t>项目名称：</w:t>
      </w:r>
      <w:r>
        <w:rPr>
          <w:rFonts w:hint="eastAsia" w:asciiTheme="majorEastAsia" w:hAnsiTheme="majorEastAsia" w:eastAsiaTheme="majorEastAsia" w:cstheme="majorEastAsia"/>
          <w:sz w:val="24"/>
        </w:rPr>
        <w:t>金银湖街违法建设拆除工程</w:t>
      </w:r>
    </w:p>
    <w:p w14:paraId="2E4FFA72">
      <w:pPr>
        <w:widowControl/>
        <w:kinsoku w:val="0"/>
        <w:wordWrap w:val="0"/>
        <w:autoSpaceDE w:val="0"/>
        <w:autoSpaceDN w:val="0"/>
        <w:adjustRightInd w:val="0"/>
        <w:snapToGrid w:val="0"/>
        <w:spacing w:line="460" w:lineRule="exact"/>
        <w:ind w:firstLine="960" w:firstLineChars="400"/>
        <w:textAlignment w:val="baseline"/>
        <w:rPr>
          <w:rFonts w:asciiTheme="majorEastAsia" w:hAnsiTheme="majorEastAsia" w:eastAsiaTheme="majorEastAsia" w:cstheme="majorEastAsia"/>
          <w:sz w:val="24"/>
          <w:lang w:eastAsia="zh-Hans"/>
        </w:rPr>
      </w:pPr>
      <w:r>
        <w:rPr>
          <w:rFonts w:hint="eastAsia" w:asciiTheme="majorEastAsia" w:hAnsiTheme="majorEastAsia" w:eastAsiaTheme="majorEastAsia" w:cstheme="majorEastAsia"/>
          <w:sz w:val="24"/>
        </w:rPr>
        <w:t>2.服务期</w:t>
      </w:r>
      <w:r>
        <w:rPr>
          <w:rFonts w:hint="eastAsia" w:asciiTheme="majorEastAsia" w:hAnsiTheme="majorEastAsia" w:eastAsiaTheme="majorEastAsia" w:cstheme="majorEastAsia"/>
          <w:sz w:val="24"/>
          <w:lang w:eastAsia="zh-Hans"/>
        </w:rPr>
        <w:t>：</w:t>
      </w:r>
      <w:r>
        <w:rPr>
          <w:rFonts w:hint="eastAsia" w:asciiTheme="majorEastAsia" w:hAnsiTheme="majorEastAsia" w:eastAsiaTheme="majorEastAsia" w:cstheme="majorEastAsia"/>
          <w:sz w:val="24"/>
        </w:rPr>
        <w:t>12个月</w:t>
      </w:r>
      <w:r>
        <w:rPr>
          <w:rFonts w:hint="eastAsia" w:asciiTheme="majorEastAsia" w:hAnsiTheme="majorEastAsia" w:eastAsiaTheme="majorEastAsia" w:cstheme="majorEastAsia"/>
          <w:sz w:val="24"/>
          <w:lang w:eastAsia="zh-Hans"/>
        </w:rPr>
        <w:t>（实际服务期限根据甲方要求执行）</w:t>
      </w:r>
    </w:p>
    <w:p w14:paraId="34B5F6B5">
      <w:pPr>
        <w:widowControl/>
        <w:kinsoku w:val="0"/>
        <w:wordWrap w:val="0"/>
        <w:autoSpaceDE w:val="0"/>
        <w:autoSpaceDN w:val="0"/>
        <w:adjustRightInd w:val="0"/>
        <w:snapToGrid w:val="0"/>
        <w:spacing w:line="460" w:lineRule="exact"/>
        <w:ind w:firstLine="960" w:firstLineChars="400"/>
        <w:textAlignment w:val="baseline"/>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3.预算金额：192.00万元</w:t>
      </w:r>
    </w:p>
    <w:p w14:paraId="327EE79C">
      <w:pPr>
        <w:widowControl/>
        <w:kinsoku w:val="0"/>
        <w:wordWrap w:val="0"/>
        <w:autoSpaceDE w:val="0"/>
        <w:autoSpaceDN w:val="0"/>
        <w:adjustRightInd w:val="0"/>
        <w:snapToGrid w:val="0"/>
        <w:spacing w:line="460" w:lineRule="exact"/>
        <w:ind w:firstLine="960" w:firstLineChars="400"/>
        <w:textAlignment w:val="baseline"/>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w:t>
      </w:r>
      <w:r>
        <w:rPr>
          <w:rFonts w:hint="eastAsia" w:asciiTheme="majorEastAsia" w:hAnsiTheme="majorEastAsia" w:eastAsiaTheme="majorEastAsia" w:cstheme="majorEastAsia"/>
          <w:sz w:val="24"/>
          <w:lang w:eastAsia="zh-Hans"/>
        </w:rPr>
        <w:t>付款方式：</w:t>
      </w:r>
      <w:r>
        <w:rPr>
          <w:rFonts w:hint="eastAsia" w:asciiTheme="majorEastAsia" w:hAnsiTheme="majorEastAsia" w:eastAsiaTheme="majorEastAsia" w:cstheme="majorEastAsia"/>
          <w:sz w:val="24"/>
        </w:rPr>
        <w:t>合同签订后支付合同签订金额的40%为预付款，竣工验收合格后支付至合同金额的97%，质保期结束后支付剩余部分。</w:t>
      </w:r>
    </w:p>
    <w:p w14:paraId="0D7129A8">
      <w:pPr>
        <w:widowControl/>
        <w:kinsoku w:val="0"/>
        <w:wordWrap w:val="0"/>
        <w:autoSpaceDE w:val="0"/>
        <w:autoSpaceDN w:val="0"/>
        <w:adjustRightInd w:val="0"/>
        <w:snapToGrid w:val="0"/>
        <w:spacing w:line="460" w:lineRule="exact"/>
        <w:ind w:firstLine="482" w:firstLineChars="200"/>
        <w:textAlignment w:val="baseline"/>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二、具体采购要求</w:t>
      </w:r>
    </w:p>
    <w:p w14:paraId="1CF4A7A2">
      <w:pPr>
        <w:pStyle w:val="6"/>
        <w:shd w:val="clear" w:color="auto" w:fill="FFFFFF"/>
        <w:wordWrap w:val="0"/>
        <w:spacing w:before="0" w:beforeAutospacing="0" w:after="0" w:afterAutospacing="0" w:line="540" w:lineRule="exact"/>
        <w:ind w:firstLine="480" w:firstLineChars="200"/>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为推进辖区违法建设处置工作，现需对金银湖街道辖区内18个社区及辖区工业园区开展整治，对属于“无法采取改正措施消除对规划实施影响情形”的违法建设点位进行拆除施工作业，确保拆除工作依法依规有序实施。具体包括以下内容：</w:t>
      </w:r>
    </w:p>
    <w:p w14:paraId="5B4027FB">
      <w:pPr>
        <w:pStyle w:val="6"/>
        <w:shd w:val="clear" w:color="auto" w:fill="FFFFFF"/>
        <w:wordWrap w:val="0"/>
        <w:spacing w:before="0" w:beforeAutospacing="0" w:after="0" w:afterAutospacing="0" w:line="540" w:lineRule="exact"/>
        <w:ind w:firstLine="480" w:firstLineChars="200"/>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(一)严格违法建设查处。区资建局负责对小区房屋逐栋进行核查认定。区城管局指导街道分类 依法依规处置。依据规划认定意见，按照“应立尽立”的 原则，完成立案工作，按流程依法推进违建处置。</w:t>
      </w:r>
    </w:p>
    <w:p w14:paraId="535F167E">
      <w:pPr>
        <w:pStyle w:val="6"/>
        <w:shd w:val="clear" w:color="auto" w:fill="FFFFFF"/>
        <w:wordWrap w:val="0"/>
        <w:spacing w:before="0" w:beforeAutospacing="0" w:after="0" w:afterAutospacing="0" w:line="540" w:lineRule="exact"/>
        <w:ind w:firstLine="480" w:firstLineChars="200"/>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(二)落实装修项目管控。区资建局拟定小区装饰装修 D 级危房改造管理办法及监管工作流程，明确部门、街道、物业企 业管理职责。</w:t>
      </w:r>
    </w:p>
    <w:p w14:paraId="48916DAA">
      <w:pPr>
        <w:pStyle w:val="6"/>
        <w:shd w:val="clear" w:color="auto" w:fill="FFFFFF"/>
        <w:wordWrap w:val="0"/>
        <w:spacing w:before="0" w:beforeAutospacing="0" w:after="0" w:afterAutospacing="0" w:line="540" w:lineRule="exact"/>
        <w:ind w:firstLine="480" w:firstLineChars="200"/>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(三)规范小区房屋中介活动。区住更局负责对媒体反映的，涉事房屋中介公司加强行业监管，查处违规行为，督促规范经营。</w:t>
      </w:r>
    </w:p>
    <w:p w14:paraId="09940C7F">
      <w:pPr>
        <w:pStyle w:val="6"/>
        <w:shd w:val="clear" w:color="auto" w:fill="FFFFFF"/>
        <w:wordWrap w:val="0"/>
        <w:spacing w:before="0" w:beforeAutospacing="0" w:after="0" w:afterAutospacing="0" w:line="540" w:lineRule="exact"/>
        <w:ind w:firstLine="480" w:firstLineChars="200"/>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（四）工作措施</w:t>
      </w:r>
    </w:p>
    <w:p w14:paraId="79883DC2">
      <w:pPr>
        <w:pStyle w:val="6"/>
        <w:shd w:val="clear" w:color="auto" w:fill="FFFFFF"/>
        <w:wordWrap w:val="0"/>
        <w:spacing w:before="0" w:beforeAutospacing="0" w:after="0" w:afterAutospacing="0" w:line="540" w:lineRule="exact"/>
        <w:ind w:firstLine="480" w:firstLineChars="200"/>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1.全面管控。在小区清查整治期间，对未取得相关装修手续 的一律责令停工，相关问题未完成处置前，一律不得动工。暂停 该小区不动产登记。对已办理首次登记经核查存在违建的别墅，不予办理转移、变更、抵押登记。</w:t>
      </w:r>
    </w:p>
    <w:p w14:paraId="429C676B">
      <w:pPr>
        <w:pStyle w:val="6"/>
        <w:shd w:val="clear" w:color="auto" w:fill="FFFFFF"/>
        <w:wordWrap w:val="0"/>
        <w:spacing w:before="0" w:beforeAutospacing="0" w:after="0" w:afterAutospacing="0" w:line="540" w:lineRule="exact"/>
        <w:ind w:firstLine="480" w:firstLineChars="200"/>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2.摸清底数。对小区212户进行全面摸排，摸清房屋建成年份、管控时间、权属登记、交易流转、社会关系、光伏备案、装 修手续等基本信息，完善“一户一档”信息。区分“入住”“空置(已 装修)”“空置(未装修)”进行分类统计。</w:t>
      </w:r>
    </w:p>
    <w:p w14:paraId="6453938E">
      <w:pPr>
        <w:pStyle w:val="6"/>
        <w:shd w:val="clear" w:color="auto" w:fill="FFFFFF"/>
        <w:wordWrap w:val="0"/>
        <w:spacing w:before="0" w:beforeAutospacing="0" w:after="0" w:afterAutospacing="0" w:line="540" w:lineRule="exact"/>
        <w:ind w:firstLine="480" w:firstLineChars="200"/>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3.分类处置。根据规划部门认定意见，建立分批分类整治台账，即对不存在违建的，加强管控、杜绝新增；对违建情形一般的、尚可采取改正措施的，动员业主限期自拆或进行帮拆，恢复 房屋原貌；对违建情形复杂、无法采取改正措施的，由街道依法立案查处，综合运用拆除、没收等多种执法方式，依法进行处置。</w:t>
      </w:r>
    </w:p>
    <w:p w14:paraId="48E913B4">
      <w:pPr>
        <w:pStyle w:val="6"/>
        <w:shd w:val="clear" w:color="auto" w:fill="FFFFFF"/>
        <w:wordWrap w:val="0"/>
        <w:spacing w:before="0" w:beforeAutospacing="0" w:after="0" w:afterAutospacing="0" w:line="540" w:lineRule="exact"/>
        <w:ind w:firstLine="480" w:firstLineChars="200"/>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4.健全机制。加强住房装修管理，构建“事前审批+事中监管+ 事后验收”的全过程闭环管理机制，从源头管控，防止住房装修乱 象，明确危房改造机制，满足居民现实需求的同时，助力查控违 工作的顺畅开展。严管分布式光伏发电项目，明确准入条件和备 案管理，杜绝违法建设行为。</w:t>
      </w:r>
    </w:p>
    <w:p w14:paraId="608E8C80">
      <w:pPr>
        <w:pStyle w:val="6"/>
        <w:shd w:val="clear" w:color="auto" w:fill="FFFFFF"/>
        <w:wordWrap w:val="0"/>
        <w:spacing w:before="0" w:beforeAutospacing="0" w:after="0" w:afterAutospacing="0" w:line="540" w:lineRule="exact"/>
        <w:ind w:firstLine="480" w:firstLineChars="200"/>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5.综合治理。督促物业公司履职尽责，对履责不力的，按照《物业管理条例》开展行政处罚。依法推进小区业主委员会换届工作， 积极引导、充分发挥业主委员会的监督、沟通、协调、自治作用， 促进小区规范管理。同步开展小区环境综合治理，重点清理脚手 架、清运装修垃圾、归整建筑材料，做到拆一处，清一处，美一 处，保持环境卫生干净整洁。</w:t>
      </w:r>
    </w:p>
    <w:p w14:paraId="106BC4EA">
      <w:pPr>
        <w:pStyle w:val="6"/>
        <w:shd w:val="clear" w:color="auto" w:fill="FFFFFF"/>
        <w:wordWrap w:val="0"/>
        <w:spacing w:before="0" w:beforeAutospacing="0" w:after="0" w:afterAutospacing="0" w:line="540" w:lineRule="exact"/>
        <w:ind w:firstLine="480" w:firstLineChars="200"/>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6.宣传维稳。做好舆情应对、政策宣讲、矛盾排查等工作， 加强与物业公司和相关业主的沟通，有针对性做好重点人群定向 疏导。提前做好风险评估，周密制定整治方案，有效维护违法建 设拆除现场秩序，妥善处置各类突发事件和群访群诉事件。</w:t>
      </w:r>
    </w:p>
    <w:p w14:paraId="4A9840A3">
      <w:pPr>
        <w:widowControl/>
        <w:kinsoku w:val="0"/>
        <w:wordWrap w:val="0"/>
        <w:autoSpaceDE w:val="0"/>
        <w:autoSpaceDN w:val="0"/>
        <w:adjustRightInd w:val="0"/>
        <w:snapToGrid w:val="0"/>
        <w:spacing w:line="460" w:lineRule="exact"/>
        <w:textAlignment w:val="baseline"/>
        <w:rPr>
          <w:rFonts w:asciiTheme="majorEastAsia" w:hAnsiTheme="majorEastAsia" w:eastAsiaTheme="majorEastAsia" w:cstheme="majorEastAsia"/>
          <w:b/>
          <w:bCs/>
          <w:sz w:val="24"/>
        </w:rPr>
      </w:pPr>
      <w:bookmarkStart w:id="2" w:name="_Toc12942"/>
      <w:r>
        <w:rPr>
          <w:rFonts w:hint="eastAsia" w:asciiTheme="majorEastAsia" w:hAnsiTheme="majorEastAsia" w:eastAsiaTheme="majorEastAsia" w:cstheme="majorEastAsia"/>
          <w:b/>
          <w:bCs/>
          <w:sz w:val="24"/>
        </w:rPr>
        <w:t>三、执行的相关标准、规范</w:t>
      </w:r>
      <w:bookmarkEnd w:id="2"/>
    </w:p>
    <w:p w14:paraId="74AAE5D7">
      <w:pPr>
        <w:spacing w:before="294" w:line="288" w:lineRule="auto"/>
        <w:ind w:left="459" w:right="26" w:firstLine="478"/>
        <w:rPr>
          <w:rFonts w:ascii="宋体" w:hAnsi="宋体"/>
          <w:sz w:val="24"/>
        </w:rPr>
      </w:pPr>
      <w:r>
        <w:rPr>
          <w:rFonts w:ascii="宋体" w:hAnsi="宋体"/>
          <w:spacing w:val="-1"/>
          <w:sz w:val="24"/>
        </w:rPr>
        <w:t>1、本项目的材料、设备、施工须达到国家和省、市或行业的现行工程建设标准、规范的要求，且投标人必须无条件配合并接受采购人委托第三方机构的监督审核。</w:t>
      </w:r>
    </w:p>
    <w:p w14:paraId="780AD614">
      <w:pPr>
        <w:spacing w:before="184" w:line="219" w:lineRule="auto"/>
        <w:ind w:left="922"/>
        <w:rPr>
          <w:rFonts w:ascii="宋体" w:hAnsi="宋体"/>
          <w:sz w:val="24"/>
        </w:rPr>
      </w:pPr>
      <w:r>
        <w:rPr>
          <w:rFonts w:ascii="宋体" w:hAnsi="宋体"/>
          <w:spacing w:val="-1"/>
          <w:sz w:val="24"/>
        </w:rPr>
        <w:t>2、根据项目类型，该项工程施工作业还应满足下列标准要求：</w:t>
      </w:r>
    </w:p>
    <w:p w14:paraId="6B995636">
      <w:pPr>
        <w:spacing w:before="181" w:line="219" w:lineRule="auto"/>
        <w:ind w:left="925"/>
        <w:rPr>
          <w:rFonts w:ascii="宋体" w:hAnsi="宋体"/>
          <w:sz w:val="24"/>
        </w:rPr>
      </w:pPr>
      <w:r>
        <w:rPr>
          <w:rFonts w:ascii="宋体" w:hAnsi="宋体"/>
          <w:spacing w:val="-1"/>
          <w:sz w:val="24"/>
        </w:rPr>
        <w:t>《安全防范工程技术标准》 GB50348-2018</w:t>
      </w:r>
    </w:p>
    <w:p w14:paraId="67B0806D">
      <w:pPr>
        <w:spacing w:before="182" w:line="218" w:lineRule="auto"/>
        <w:ind w:left="925"/>
        <w:rPr>
          <w:rFonts w:ascii="宋体" w:hAnsi="宋体"/>
          <w:sz w:val="24"/>
        </w:rPr>
      </w:pPr>
      <w:r>
        <w:rPr>
          <w:rFonts w:ascii="宋体" w:hAnsi="宋体"/>
          <w:spacing w:val="-1"/>
          <w:sz w:val="24"/>
        </w:rPr>
        <w:t>《建筑拆除工程安全技术规范》 JGJ147-2016</w:t>
      </w:r>
    </w:p>
    <w:p w14:paraId="0962E336">
      <w:pPr>
        <w:spacing w:before="182" w:line="362" w:lineRule="auto"/>
        <w:ind w:left="441" w:right="26" w:firstLine="480"/>
        <w:rPr>
          <w:rFonts w:ascii="宋体" w:hAnsi="宋体"/>
          <w:sz w:val="24"/>
        </w:rPr>
      </w:pPr>
      <w:r>
        <w:rPr>
          <w:rFonts w:ascii="宋体" w:hAnsi="宋体"/>
          <w:sz w:val="24"/>
        </w:rPr>
        <w:t>上述标准、规范及规程仅是本工程的最基本依据，并未</w:t>
      </w:r>
      <w:r>
        <w:rPr>
          <w:rFonts w:ascii="宋体" w:hAnsi="宋体"/>
          <w:spacing w:val="-1"/>
          <w:sz w:val="24"/>
        </w:rPr>
        <w:t>包括实施中所涉及的所有标</w:t>
      </w:r>
      <w:r>
        <w:rPr>
          <w:rFonts w:ascii="宋体" w:hAnsi="宋体"/>
          <w:sz w:val="24"/>
        </w:rPr>
        <w:t>准、规范及规程，并且所用标准和技术规范均应为合</w:t>
      </w:r>
      <w:r>
        <w:rPr>
          <w:rFonts w:ascii="宋体" w:hAnsi="宋体"/>
          <w:spacing w:val="-1"/>
          <w:sz w:val="24"/>
        </w:rPr>
        <w:t>同签订之日为止的最新版本。</w:t>
      </w:r>
    </w:p>
    <w:p w14:paraId="34F43822">
      <w:pPr>
        <w:widowControl/>
        <w:kinsoku w:val="0"/>
        <w:wordWrap w:val="0"/>
        <w:autoSpaceDE w:val="0"/>
        <w:autoSpaceDN w:val="0"/>
        <w:adjustRightInd w:val="0"/>
        <w:snapToGrid w:val="0"/>
        <w:spacing w:line="460" w:lineRule="exact"/>
        <w:textAlignment w:val="baseline"/>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四、服务要求：</w:t>
      </w:r>
      <w:bookmarkStart w:id="3" w:name="_Toc13004"/>
    </w:p>
    <w:bookmarkEnd w:id="3"/>
    <w:p w14:paraId="340FA0EB">
      <w:pPr>
        <w:pStyle w:val="5"/>
        <w:widowControl/>
        <w:ind w:left="368" w:leftChars="175" w:firstLine="482" w:firstLineChars="200"/>
        <w:outlineLvl w:val="1"/>
        <w:rPr>
          <w:rFonts w:hint="default" w:asciiTheme="majorEastAsia" w:hAnsiTheme="majorEastAsia" w:eastAsiaTheme="majorEastAsia" w:cstheme="majorEastAsia"/>
          <w:b/>
          <w:bCs/>
          <w:kern w:val="2"/>
        </w:rPr>
      </w:pPr>
    </w:p>
    <w:p w14:paraId="01398763">
      <w:pPr>
        <w:pStyle w:val="5"/>
        <w:widowControl/>
        <w:ind w:firstLine="480" w:firstLineChars="200"/>
        <w:outlineLvl w:val="1"/>
        <w:rPr>
          <w:rFonts w:hint="default" w:asciiTheme="majorEastAsia" w:hAnsiTheme="majorEastAsia" w:eastAsiaTheme="majorEastAsia" w:cstheme="majorEastAsia"/>
        </w:rPr>
      </w:pPr>
      <w:r>
        <w:rPr>
          <w:rFonts w:asciiTheme="majorEastAsia" w:hAnsiTheme="majorEastAsia" w:eastAsiaTheme="majorEastAsia" w:cstheme="majorEastAsia"/>
          <w:kern w:val="2"/>
        </w:rPr>
        <w:t>（一）技</w:t>
      </w:r>
      <w:r>
        <w:rPr>
          <w:rFonts w:asciiTheme="majorEastAsia" w:hAnsiTheme="majorEastAsia" w:eastAsiaTheme="majorEastAsia" w:cstheme="majorEastAsia"/>
        </w:rPr>
        <w:t>术要求</w:t>
      </w:r>
    </w:p>
    <w:p w14:paraId="269CAAEC">
      <w:pPr>
        <w:spacing w:before="293" w:line="219" w:lineRule="auto"/>
        <w:ind w:firstLine="468" w:firstLineChars="200"/>
        <w:rPr>
          <w:rFonts w:ascii="宋体" w:hAnsi="宋体"/>
          <w:sz w:val="24"/>
        </w:rPr>
      </w:pPr>
      <w:r>
        <w:rPr>
          <w:rFonts w:ascii="宋体" w:hAnsi="宋体"/>
          <w:spacing w:val="-3"/>
          <w:sz w:val="24"/>
        </w:rPr>
        <w:t>一）工作内容</w:t>
      </w:r>
    </w:p>
    <w:p w14:paraId="51A77ADC">
      <w:pPr>
        <w:spacing w:before="180" w:line="219" w:lineRule="auto"/>
        <w:ind w:left="937"/>
        <w:rPr>
          <w:rFonts w:ascii="宋体" w:hAnsi="宋体"/>
          <w:sz w:val="24"/>
        </w:rPr>
      </w:pPr>
      <w:r>
        <w:rPr>
          <w:rFonts w:ascii="宋体" w:hAnsi="宋体"/>
          <w:spacing w:val="-1"/>
          <w:sz w:val="24"/>
        </w:rPr>
        <w:t>1、主要工作内容为：突击拆违及采购人指定的其他</w:t>
      </w:r>
      <w:r>
        <w:rPr>
          <w:rFonts w:hint="eastAsia" w:ascii="宋体" w:hAnsi="宋体"/>
          <w:spacing w:val="-1"/>
          <w:sz w:val="24"/>
        </w:rPr>
        <w:t>拆除</w:t>
      </w:r>
      <w:r>
        <w:rPr>
          <w:rFonts w:ascii="宋体" w:hAnsi="宋体"/>
          <w:spacing w:val="-1"/>
          <w:sz w:val="24"/>
        </w:rPr>
        <w:t>任务等。</w:t>
      </w:r>
    </w:p>
    <w:p w14:paraId="4DAC7831">
      <w:pPr>
        <w:spacing w:before="184" w:line="220" w:lineRule="auto"/>
        <w:ind w:left="922"/>
        <w:rPr>
          <w:rFonts w:ascii="宋体" w:hAnsi="宋体"/>
          <w:sz w:val="24"/>
        </w:rPr>
      </w:pPr>
      <w:r>
        <w:rPr>
          <w:rFonts w:ascii="宋体" w:hAnsi="宋体"/>
          <w:spacing w:val="-1"/>
          <w:sz w:val="24"/>
        </w:rPr>
        <w:t>2、主要工作范围为甲方指定地点。</w:t>
      </w:r>
    </w:p>
    <w:p w14:paraId="0FDDEAC8">
      <w:pPr>
        <w:spacing w:before="180" w:line="219" w:lineRule="auto"/>
        <w:ind w:firstLine="468" w:firstLineChars="200"/>
        <w:rPr>
          <w:rFonts w:ascii="宋体" w:hAnsi="宋体"/>
          <w:sz w:val="24"/>
        </w:rPr>
      </w:pPr>
      <w:r>
        <w:rPr>
          <w:rFonts w:ascii="宋体" w:hAnsi="宋体"/>
          <w:spacing w:val="-3"/>
          <w:sz w:val="24"/>
        </w:rPr>
        <w:t>二）服务要求</w:t>
      </w:r>
    </w:p>
    <w:p w14:paraId="1686F4BA">
      <w:pPr>
        <w:spacing w:before="183" w:line="359" w:lineRule="auto"/>
        <w:ind w:left="439" w:right="26" w:firstLine="497"/>
        <w:rPr>
          <w:rFonts w:ascii="宋体" w:hAnsi="宋体"/>
          <w:sz w:val="24"/>
        </w:rPr>
      </w:pPr>
      <w:r>
        <w:rPr>
          <w:rFonts w:ascii="宋体" w:hAnsi="宋体"/>
          <w:spacing w:val="-1"/>
          <w:sz w:val="24"/>
        </w:rPr>
        <w:t>1、作业前期，各有关部门征收各种费用，除文件规定应由采购人支付外，均由成交供</w:t>
      </w:r>
      <w:r>
        <w:rPr>
          <w:rFonts w:ascii="宋体" w:hAnsi="宋体"/>
          <w:spacing w:val="-2"/>
          <w:sz w:val="24"/>
        </w:rPr>
        <w:t>应商承担。</w:t>
      </w:r>
    </w:p>
    <w:p w14:paraId="0E87DD07">
      <w:pPr>
        <w:spacing w:before="1" w:line="360" w:lineRule="auto"/>
        <w:ind w:right="26" w:firstLine="720" w:firstLineChars="300"/>
        <w:rPr>
          <w:rFonts w:ascii="宋体" w:hAnsi="宋体"/>
          <w:spacing w:val="6"/>
          <w:sz w:val="24"/>
        </w:rPr>
      </w:pPr>
      <w:r>
        <w:rPr>
          <w:rFonts w:ascii="宋体" w:hAnsi="宋体"/>
          <w:sz w:val="24"/>
        </w:rPr>
        <w:t>2、采购人若有突击拆违整治需要时，成交供应商应针</w:t>
      </w:r>
      <w:r>
        <w:rPr>
          <w:rFonts w:ascii="宋体" w:hAnsi="宋体"/>
          <w:spacing w:val="-1"/>
          <w:sz w:val="24"/>
        </w:rPr>
        <w:t>对此项目配备项目负责人，且具</w:t>
      </w:r>
      <w:r>
        <w:rPr>
          <w:rFonts w:hint="eastAsia" w:ascii="宋体" w:hAnsi="宋体"/>
          <w:spacing w:val="-1"/>
          <w:sz w:val="24"/>
        </w:rPr>
        <w:t>类似工程经验</w:t>
      </w:r>
      <w:r>
        <w:rPr>
          <w:rFonts w:ascii="宋体" w:hAnsi="宋体"/>
          <w:spacing w:val="-1"/>
          <w:sz w:val="24"/>
        </w:rPr>
        <w:t>，且能调动不少于30作业人员即时参与完成</w:t>
      </w:r>
      <w:r>
        <w:rPr>
          <w:rFonts w:ascii="宋体" w:hAnsi="宋体"/>
          <w:spacing w:val="-2"/>
          <w:sz w:val="24"/>
        </w:rPr>
        <w:t xml:space="preserve">任务的能力。 </w:t>
      </w:r>
      <w:r>
        <w:rPr>
          <w:rFonts w:ascii="宋体" w:hAnsi="宋体"/>
          <w:b/>
          <w:bCs/>
          <w:spacing w:val="-2"/>
          <w:sz w:val="24"/>
        </w:rPr>
        <w:t>(</w:t>
      </w:r>
      <w:r>
        <w:rPr>
          <w:rFonts w:ascii="宋体" w:hAnsi="宋体"/>
          <w:b/>
          <w:bCs/>
          <w:sz w:val="24"/>
        </w:rPr>
        <w:t xml:space="preserve"> </w:t>
      </w:r>
      <w:r>
        <w:rPr>
          <w:rFonts w:ascii="宋体" w:hAnsi="宋体"/>
          <w:b/>
          <w:bCs/>
          <w:spacing w:val="-2"/>
          <w:sz w:val="24"/>
        </w:rPr>
        <w:t>★注：供应商须提供书面承诺及经济处罚</w:t>
      </w:r>
      <w:r>
        <w:rPr>
          <w:rFonts w:ascii="宋体" w:hAnsi="宋体"/>
          <w:b/>
          <w:bCs/>
          <w:spacing w:val="6"/>
          <w:sz w:val="24"/>
        </w:rPr>
        <w:t>）</w:t>
      </w:r>
      <w:r>
        <w:rPr>
          <w:rFonts w:ascii="宋体" w:hAnsi="宋体"/>
          <w:spacing w:val="1"/>
          <w:sz w:val="24"/>
        </w:rPr>
        <w:t xml:space="preserve"> </w:t>
      </w:r>
    </w:p>
    <w:p w14:paraId="09956DF6">
      <w:pPr>
        <w:spacing w:before="1" w:line="360" w:lineRule="auto"/>
        <w:ind w:right="359" w:firstLine="714" w:firstLineChars="300"/>
        <w:rPr>
          <w:rFonts w:ascii="宋体" w:hAnsi="宋体"/>
          <w:sz w:val="24"/>
        </w:rPr>
      </w:pPr>
      <w:r>
        <w:rPr>
          <w:rFonts w:ascii="宋体" w:hAnsi="宋体"/>
          <w:spacing w:val="-1"/>
          <w:sz w:val="24"/>
        </w:rPr>
        <w:t>3、成交供应商应常备拆违常用机械设备，包括但不限于清单中机械设备；</w:t>
      </w:r>
    </w:p>
    <w:p w14:paraId="039D684B">
      <w:pPr>
        <w:spacing w:before="181" w:line="219" w:lineRule="auto"/>
        <w:ind w:left="479" w:firstLine="238" w:firstLineChars="100"/>
        <w:rPr>
          <w:rFonts w:ascii="宋体" w:hAnsi="宋体"/>
          <w:sz w:val="24"/>
        </w:rPr>
      </w:pPr>
      <w:r>
        <w:rPr>
          <w:rFonts w:ascii="宋体" w:hAnsi="宋体"/>
          <w:spacing w:val="-1"/>
          <w:sz w:val="24"/>
        </w:rPr>
        <w:t>4、按照要求承担各项环境突击整治施工；</w:t>
      </w:r>
    </w:p>
    <w:p w14:paraId="3FE89E86">
      <w:pPr>
        <w:spacing w:before="179" w:line="313" w:lineRule="auto"/>
        <w:ind w:firstLine="792" w:firstLineChars="330"/>
        <w:rPr>
          <w:rFonts w:ascii="宋体" w:hAnsi="宋体"/>
          <w:sz w:val="24"/>
        </w:rPr>
      </w:pPr>
      <w:r>
        <w:rPr>
          <w:rFonts w:ascii="宋体" w:hAnsi="宋体"/>
          <w:sz w:val="24"/>
        </w:rPr>
        <w:t>5、供应商应根据采购文件要求的方案配备相应人</w:t>
      </w:r>
      <w:r>
        <w:rPr>
          <w:rFonts w:ascii="宋体" w:hAnsi="宋体"/>
          <w:spacing w:val="-1"/>
          <w:sz w:val="24"/>
        </w:rPr>
        <w:t>员、使用机械、材料等，严格按照规</w:t>
      </w:r>
      <w:r>
        <w:rPr>
          <w:rFonts w:ascii="宋体" w:hAnsi="宋体"/>
          <w:sz w:val="24"/>
        </w:rPr>
        <w:t>章制度操作设备，并做好设备运行记录，确保人身和设备安全；在</w:t>
      </w:r>
      <w:r>
        <w:rPr>
          <w:rFonts w:ascii="宋体" w:hAnsi="宋体"/>
          <w:spacing w:val="-1"/>
          <w:sz w:val="24"/>
        </w:rPr>
        <w:t>维护期内成交供应商对</w:t>
      </w:r>
      <w:r>
        <w:rPr>
          <w:rFonts w:ascii="宋体" w:hAnsi="宋体"/>
          <w:sz w:val="24"/>
        </w:rPr>
        <w:t>在该维护过程中出现的任何事故承担全部责任，采购人</w:t>
      </w:r>
      <w:r>
        <w:rPr>
          <w:rFonts w:ascii="宋体" w:hAnsi="宋体"/>
          <w:spacing w:val="-1"/>
          <w:sz w:val="24"/>
        </w:rPr>
        <w:t>不承担任何连带责任；</w:t>
      </w:r>
    </w:p>
    <w:p w14:paraId="1752625F">
      <w:pPr>
        <w:spacing w:before="181" w:line="219" w:lineRule="auto"/>
        <w:ind w:left="482" w:firstLine="238" w:firstLineChars="100"/>
        <w:rPr>
          <w:rFonts w:ascii="宋体" w:hAnsi="宋体"/>
          <w:sz w:val="24"/>
        </w:rPr>
      </w:pPr>
      <w:r>
        <w:rPr>
          <w:rFonts w:ascii="宋体" w:hAnsi="宋体"/>
          <w:spacing w:val="-1"/>
          <w:sz w:val="24"/>
        </w:rPr>
        <w:t>6、违规处理：成交供应商出现下列情形之一的，将被取消资格：</w:t>
      </w:r>
    </w:p>
    <w:p w14:paraId="0282BBC5">
      <w:pPr>
        <w:spacing w:before="184" w:line="217" w:lineRule="auto"/>
        <w:ind w:left="479"/>
        <w:rPr>
          <w:rFonts w:ascii="宋体" w:hAnsi="宋体"/>
          <w:sz w:val="24"/>
        </w:rPr>
      </w:pPr>
      <w:r>
        <w:rPr>
          <w:rFonts w:ascii="宋体" w:hAnsi="宋体"/>
          <w:sz w:val="24"/>
        </w:rPr>
        <w:t>①通过弄虚作假、挂靠、提供不真实信息资</w:t>
      </w:r>
      <w:r>
        <w:rPr>
          <w:rFonts w:ascii="宋体" w:hAnsi="宋体"/>
          <w:spacing w:val="-1"/>
          <w:sz w:val="24"/>
        </w:rPr>
        <w:t>料的方式成为成交人；</w:t>
      </w:r>
    </w:p>
    <w:p w14:paraId="68642F9A">
      <w:pPr>
        <w:spacing w:before="183" w:line="217" w:lineRule="auto"/>
        <w:ind w:left="479"/>
        <w:rPr>
          <w:rFonts w:ascii="宋体" w:hAnsi="宋体"/>
          <w:sz w:val="24"/>
        </w:rPr>
      </w:pPr>
      <w:r>
        <w:rPr>
          <w:rFonts w:ascii="宋体" w:hAnsi="宋体"/>
          <w:sz w:val="24"/>
        </w:rPr>
        <w:t>②违反有关法律、法规，被司法机关、行政管理监督部门或行业</w:t>
      </w:r>
      <w:r>
        <w:rPr>
          <w:rFonts w:ascii="宋体" w:hAnsi="宋体"/>
          <w:spacing w:val="-1"/>
          <w:sz w:val="24"/>
        </w:rPr>
        <w:t>协会处罚或处理的；</w:t>
      </w:r>
    </w:p>
    <w:p w14:paraId="60AD485D">
      <w:pPr>
        <w:spacing w:before="186" w:line="217" w:lineRule="auto"/>
        <w:ind w:left="479"/>
        <w:rPr>
          <w:rFonts w:ascii="宋体" w:hAnsi="宋体"/>
          <w:sz w:val="24"/>
        </w:rPr>
      </w:pPr>
      <w:r>
        <w:rPr>
          <w:rFonts w:ascii="宋体" w:hAnsi="宋体"/>
          <w:spacing w:val="-1"/>
          <w:sz w:val="24"/>
        </w:rPr>
        <w:t>③与项目单位或相关方弄虚作假，串通舞弊的；</w:t>
      </w:r>
    </w:p>
    <w:p w14:paraId="2F2777B5">
      <w:pPr>
        <w:spacing w:before="182" w:line="290" w:lineRule="auto"/>
        <w:ind w:left="4" w:right="120" w:firstLine="474"/>
        <w:rPr>
          <w:rFonts w:ascii="宋体" w:hAnsi="宋体"/>
          <w:sz w:val="24"/>
        </w:rPr>
      </w:pPr>
      <w:r>
        <w:rPr>
          <w:rFonts w:ascii="宋体" w:hAnsi="宋体"/>
          <w:sz w:val="24"/>
        </w:rPr>
        <w:t>④无不可抗力因素拒绝接受委托项目，或取得采购人采购合同后</w:t>
      </w:r>
      <w:r>
        <w:rPr>
          <w:rFonts w:ascii="宋体" w:hAnsi="宋体"/>
          <w:spacing w:val="-1"/>
          <w:sz w:val="24"/>
        </w:rPr>
        <w:t>，拒绝或转让其应履</w:t>
      </w:r>
      <w:r>
        <w:rPr>
          <w:rFonts w:ascii="宋体" w:hAnsi="宋体"/>
          <w:spacing w:val="-2"/>
          <w:sz w:val="24"/>
        </w:rPr>
        <w:t>行的合同义务的；</w:t>
      </w:r>
    </w:p>
    <w:p w14:paraId="704FE0AA">
      <w:pPr>
        <w:spacing w:before="181" w:line="217" w:lineRule="auto"/>
        <w:ind w:left="479"/>
        <w:rPr>
          <w:rFonts w:ascii="宋体" w:hAnsi="宋体"/>
          <w:sz w:val="24"/>
        </w:rPr>
      </w:pPr>
      <w:r>
        <w:rPr>
          <w:rFonts w:ascii="宋体" w:hAnsi="宋体"/>
          <w:spacing w:val="-1"/>
          <w:sz w:val="24"/>
        </w:rPr>
        <w:t>⑤违反廉政纪律的；</w:t>
      </w:r>
    </w:p>
    <w:p w14:paraId="4120841C">
      <w:pPr>
        <w:spacing w:before="186" w:line="217" w:lineRule="auto"/>
        <w:ind w:left="479"/>
        <w:rPr>
          <w:rFonts w:ascii="宋体" w:hAnsi="宋体"/>
          <w:sz w:val="24"/>
        </w:rPr>
      </w:pPr>
      <w:r>
        <w:rPr>
          <w:rFonts w:ascii="宋体" w:hAnsi="宋体"/>
          <w:spacing w:val="-1"/>
          <w:sz w:val="24"/>
        </w:rPr>
        <w:t>⑥有其他违法、违规行为。</w:t>
      </w:r>
    </w:p>
    <w:p w14:paraId="76F702AE">
      <w:pPr>
        <w:spacing w:before="184" w:line="288" w:lineRule="auto"/>
        <w:ind w:left="20" w:right="120" w:firstLine="770" w:firstLineChars="321"/>
        <w:rPr>
          <w:rFonts w:ascii="宋体" w:hAnsi="宋体"/>
          <w:sz w:val="24"/>
        </w:rPr>
      </w:pPr>
      <w:r>
        <w:rPr>
          <w:rFonts w:ascii="宋体" w:hAnsi="宋体"/>
          <w:sz w:val="24"/>
        </w:rPr>
        <w:t>7、以上均服从采购人安排及时组织施工人员及</w:t>
      </w:r>
      <w:r>
        <w:rPr>
          <w:rFonts w:ascii="宋体" w:hAnsi="宋体"/>
          <w:spacing w:val="-1"/>
          <w:sz w:val="24"/>
        </w:rPr>
        <w:t>机械， 在规定的时间范围内到达现场</w:t>
      </w:r>
      <w:r>
        <w:rPr>
          <w:rFonts w:ascii="宋体" w:hAnsi="宋体"/>
          <w:spacing w:val="-4"/>
          <w:sz w:val="24"/>
        </w:rPr>
        <w:t>,待现场明确突击施工方案后，严格按照要求流程规范实施。</w:t>
      </w:r>
    </w:p>
    <w:p w14:paraId="4F16EA9A">
      <w:pPr>
        <w:spacing w:before="187" w:line="290" w:lineRule="auto"/>
        <w:ind w:left="26" w:right="9" w:firstLine="758" w:firstLineChars="316"/>
        <w:rPr>
          <w:rFonts w:ascii="宋体" w:hAnsi="宋体"/>
          <w:b/>
          <w:bCs/>
          <w:sz w:val="24"/>
        </w:rPr>
      </w:pPr>
      <w:r>
        <w:rPr>
          <w:rFonts w:ascii="宋体" w:hAnsi="宋体"/>
          <w:sz w:val="24"/>
        </w:rPr>
        <w:t>8、在接到甲方通知后及时进行响应，30</w:t>
      </w:r>
      <w:r>
        <w:rPr>
          <w:rFonts w:ascii="宋体" w:hAnsi="宋体"/>
          <w:spacing w:val="-1"/>
          <w:sz w:val="24"/>
        </w:rPr>
        <w:t>分钟内到达现场。</w:t>
      </w:r>
      <w:r>
        <w:rPr>
          <w:rFonts w:ascii="宋体" w:hAnsi="宋体"/>
          <w:b/>
          <w:bCs/>
          <w:spacing w:val="-1"/>
          <w:sz w:val="24"/>
        </w:rPr>
        <w:t>(★提供相应处罚措施承诺</w:t>
      </w:r>
      <w:r>
        <w:rPr>
          <w:rFonts w:ascii="宋体" w:hAnsi="宋体"/>
          <w:b/>
          <w:bCs/>
          <w:sz w:val="24"/>
        </w:rPr>
        <w:t>)</w:t>
      </w:r>
    </w:p>
    <w:p w14:paraId="129846C5">
      <w:pPr>
        <w:spacing w:before="177" w:line="219" w:lineRule="auto"/>
        <w:ind w:left="492"/>
        <w:rPr>
          <w:rFonts w:ascii="宋体" w:hAnsi="宋体"/>
          <w:sz w:val="24"/>
        </w:rPr>
      </w:pPr>
      <w:r>
        <w:rPr>
          <w:rFonts w:ascii="宋体" w:hAnsi="宋体"/>
          <w:spacing w:val="-3"/>
          <w:sz w:val="24"/>
        </w:rPr>
        <w:t>三）服务标准要求</w:t>
      </w:r>
    </w:p>
    <w:p w14:paraId="74693117">
      <w:pPr>
        <w:spacing w:before="184" w:line="288" w:lineRule="auto"/>
        <w:ind w:firstLine="491"/>
        <w:rPr>
          <w:rFonts w:ascii="宋体" w:hAnsi="宋体"/>
          <w:sz w:val="24"/>
        </w:rPr>
      </w:pPr>
      <w:r>
        <w:rPr>
          <w:rFonts w:ascii="宋体" w:hAnsi="宋体"/>
          <w:spacing w:val="-1"/>
          <w:sz w:val="24"/>
        </w:rPr>
        <w:t>（1）工程量清单中以项为计量单位的项目，报价应包含为完成该项目而必须实施的全</w:t>
      </w:r>
      <w:r>
        <w:rPr>
          <w:rFonts w:ascii="宋体" w:hAnsi="宋体"/>
          <w:spacing w:val="-4"/>
          <w:sz w:val="24"/>
        </w:rPr>
        <w:t>部相关内容，由供应商综合考虑、</w:t>
      </w:r>
      <w:r>
        <w:rPr>
          <w:rFonts w:ascii="宋体" w:hAnsi="宋体"/>
          <w:spacing w:val="-54"/>
          <w:sz w:val="24"/>
        </w:rPr>
        <w:t xml:space="preserve"> </w:t>
      </w:r>
      <w:r>
        <w:rPr>
          <w:rFonts w:ascii="宋体" w:hAnsi="宋体"/>
          <w:spacing w:val="-4"/>
          <w:sz w:val="24"/>
        </w:rPr>
        <w:t>自行报价；</w:t>
      </w:r>
    </w:p>
    <w:p w14:paraId="520C0B7C">
      <w:pPr>
        <w:spacing w:before="183" w:line="289" w:lineRule="auto"/>
        <w:ind w:left="2" w:firstLine="489"/>
        <w:rPr>
          <w:rFonts w:ascii="宋体" w:hAnsi="宋体"/>
          <w:sz w:val="24"/>
        </w:rPr>
      </w:pPr>
      <w:r>
        <w:rPr>
          <w:rFonts w:ascii="宋体" w:hAnsi="宋体"/>
          <w:spacing w:val="-1"/>
          <w:sz w:val="24"/>
        </w:rPr>
        <w:t>（</w:t>
      </w:r>
      <w:r>
        <w:rPr>
          <w:rFonts w:hint="eastAsia" w:ascii="宋体" w:hAnsi="宋体"/>
          <w:spacing w:val="-1"/>
          <w:sz w:val="24"/>
        </w:rPr>
        <w:t>2</w:t>
      </w:r>
      <w:r>
        <w:rPr>
          <w:rFonts w:ascii="宋体" w:hAnsi="宋体"/>
          <w:spacing w:val="-1"/>
          <w:sz w:val="24"/>
        </w:rPr>
        <w:t>）成交后成交供应商严格按照工程量清单中的技术要求施工，施工过程中未经采购人许可（以书面形式为准</w:t>
      </w:r>
      <w:r>
        <w:rPr>
          <w:rFonts w:ascii="宋体" w:hAnsi="宋体"/>
          <w:spacing w:val="15"/>
          <w:sz w:val="24"/>
        </w:rPr>
        <w:t>），</w:t>
      </w:r>
      <w:r>
        <w:rPr>
          <w:rFonts w:ascii="宋体" w:hAnsi="宋体"/>
          <w:spacing w:val="-1"/>
          <w:sz w:val="24"/>
        </w:rPr>
        <w:t>出现的任何形式的增项、变更由成交供应商自</w:t>
      </w:r>
      <w:r>
        <w:rPr>
          <w:rFonts w:ascii="宋体" w:hAnsi="宋体"/>
          <w:spacing w:val="-2"/>
          <w:sz w:val="24"/>
        </w:rPr>
        <w:t>行承担责任；</w:t>
      </w:r>
    </w:p>
    <w:p w14:paraId="10CEAF9A">
      <w:pPr>
        <w:spacing w:before="182" w:line="219" w:lineRule="auto"/>
        <w:ind w:left="492"/>
        <w:rPr>
          <w:rFonts w:ascii="宋体" w:hAnsi="宋体"/>
          <w:sz w:val="24"/>
        </w:rPr>
      </w:pPr>
      <w:r>
        <w:rPr>
          <w:rFonts w:ascii="宋体" w:hAnsi="宋体"/>
          <w:spacing w:val="-1"/>
          <w:sz w:val="24"/>
        </w:rPr>
        <w:t>（</w:t>
      </w:r>
      <w:r>
        <w:rPr>
          <w:rFonts w:hint="eastAsia" w:ascii="宋体" w:hAnsi="宋体"/>
          <w:spacing w:val="-1"/>
          <w:sz w:val="24"/>
        </w:rPr>
        <w:t>3</w:t>
      </w:r>
      <w:r>
        <w:rPr>
          <w:rFonts w:ascii="宋体" w:hAnsi="宋体"/>
          <w:spacing w:val="-1"/>
          <w:sz w:val="24"/>
        </w:rPr>
        <w:t>）安全施工要求：按行业安全施工规范，达到安全施工要求；</w:t>
      </w:r>
    </w:p>
    <w:p w14:paraId="70B7CAF7">
      <w:pPr>
        <w:spacing w:before="183" w:line="333" w:lineRule="auto"/>
        <w:ind w:left="2" w:firstLine="489"/>
        <w:rPr>
          <w:rFonts w:ascii="宋体" w:hAnsi="宋体"/>
          <w:sz w:val="24"/>
        </w:rPr>
      </w:pPr>
      <w:r>
        <w:rPr>
          <w:rFonts w:ascii="宋体" w:hAnsi="宋体"/>
          <w:spacing w:val="-1"/>
          <w:sz w:val="24"/>
        </w:rPr>
        <w:t>（5）成交供应商在施工过程中不得以任何理由拖欠农民工资，对于成交供应商拖欠工</w:t>
      </w:r>
      <w:r>
        <w:rPr>
          <w:rFonts w:ascii="宋体" w:hAnsi="宋体"/>
          <w:sz w:val="24"/>
        </w:rPr>
        <w:t>资引起的劳动纠纷及其他情况所负的法律责任，由成交供应</w:t>
      </w:r>
      <w:r>
        <w:rPr>
          <w:rFonts w:ascii="宋体" w:hAnsi="宋体"/>
          <w:spacing w:val="-1"/>
          <w:sz w:val="24"/>
        </w:rPr>
        <w:t>商承担，且由此造成的对采购</w:t>
      </w:r>
      <w:r>
        <w:rPr>
          <w:rFonts w:ascii="宋体" w:hAnsi="宋体"/>
          <w:sz w:val="24"/>
        </w:rPr>
        <w:t>人不良影响，应由成交供应商负责消除，采购人有权因其拖</w:t>
      </w:r>
      <w:r>
        <w:rPr>
          <w:rFonts w:ascii="宋体" w:hAnsi="宋体"/>
          <w:spacing w:val="-1"/>
          <w:sz w:val="24"/>
        </w:rPr>
        <w:t>欠农民工工资对成交供应商进行处罚（包括但不限于扣除质保金等</w:t>
      </w:r>
      <w:r>
        <w:rPr>
          <w:rFonts w:ascii="宋体" w:hAnsi="宋体"/>
          <w:spacing w:val="12"/>
          <w:sz w:val="24"/>
        </w:rPr>
        <w:t>），</w:t>
      </w:r>
      <w:r>
        <w:rPr>
          <w:rFonts w:ascii="宋体" w:hAnsi="宋体"/>
          <w:spacing w:val="-1"/>
          <w:sz w:val="24"/>
        </w:rPr>
        <w:t>或解除合同</w:t>
      </w:r>
      <w:r>
        <w:rPr>
          <w:rFonts w:hint="eastAsia" w:ascii="宋体" w:hAnsi="宋体"/>
          <w:spacing w:val="-1"/>
          <w:sz w:val="24"/>
        </w:rPr>
        <w:t>。（</w:t>
      </w:r>
      <w:r>
        <w:rPr>
          <w:rFonts w:ascii="宋体" w:hAnsi="宋体"/>
          <w:spacing w:val="-1"/>
          <w:sz w:val="24"/>
        </w:rPr>
        <w:t>★</w:t>
      </w:r>
      <w:r>
        <w:rPr>
          <w:rFonts w:ascii="宋体" w:hAnsi="宋体"/>
          <w:b/>
          <w:bCs/>
          <w:spacing w:val="-1"/>
          <w:sz w:val="24"/>
        </w:rPr>
        <w:t>须提供</w:t>
      </w:r>
      <w:r>
        <w:rPr>
          <w:rFonts w:hint="eastAsia" w:ascii="宋体" w:hAnsi="宋体"/>
          <w:b/>
          <w:bCs/>
          <w:spacing w:val="-1"/>
          <w:sz w:val="24"/>
        </w:rPr>
        <w:t>相关</w:t>
      </w:r>
      <w:r>
        <w:rPr>
          <w:rFonts w:ascii="宋体" w:hAnsi="宋体"/>
          <w:b/>
          <w:bCs/>
          <w:spacing w:val="-1"/>
          <w:sz w:val="24"/>
        </w:rPr>
        <w:t>承诺，未提供作无效投标处</w:t>
      </w:r>
      <w:r>
        <w:rPr>
          <w:rFonts w:ascii="宋体" w:hAnsi="宋体"/>
          <w:b/>
          <w:bCs/>
          <w:spacing w:val="-6"/>
          <w:sz w:val="24"/>
        </w:rPr>
        <w:t>理</w:t>
      </w:r>
      <w:r>
        <w:rPr>
          <w:rFonts w:hint="eastAsia" w:ascii="宋体" w:hAnsi="宋体"/>
          <w:spacing w:val="-1"/>
          <w:sz w:val="24"/>
        </w:rPr>
        <w:t>）</w:t>
      </w:r>
      <w:r>
        <w:rPr>
          <w:rFonts w:ascii="宋体" w:hAnsi="宋体"/>
          <w:spacing w:val="-6"/>
          <w:sz w:val="24"/>
        </w:rPr>
        <w:t>。</w:t>
      </w:r>
    </w:p>
    <w:p w14:paraId="5C9BFB26">
      <w:pPr>
        <w:spacing w:before="48" w:line="331" w:lineRule="auto"/>
        <w:ind w:right="-17" w:rightChars="-8" w:firstLine="476" w:firstLineChars="200"/>
        <w:rPr>
          <w:rFonts w:ascii="宋体" w:hAnsi="宋体"/>
          <w:spacing w:val="-5"/>
          <w:sz w:val="24"/>
        </w:rPr>
      </w:pPr>
      <w:r>
        <w:rPr>
          <w:rFonts w:ascii="宋体" w:hAnsi="宋体"/>
          <w:spacing w:val="-1"/>
          <w:sz w:val="24"/>
        </w:rPr>
        <w:t>（6）施工过程中杜绝伤亡事故发生。在施工过程中如发生伤亡等事故由成交供应商负</w:t>
      </w:r>
      <w:r>
        <w:rPr>
          <w:rFonts w:ascii="宋体" w:hAnsi="宋体"/>
          <w:sz w:val="24"/>
        </w:rPr>
        <w:t>责处理并承担所有损失。成交供应商所有管理或施工人</w:t>
      </w:r>
      <w:r>
        <w:rPr>
          <w:rFonts w:ascii="宋体" w:hAnsi="宋体"/>
          <w:spacing w:val="-1"/>
          <w:sz w:val="24"/>
        </w:rPr>
        <w:t>员均与成交供应商发生聘用或劳动</w:t>
      </w:r>
      <w:r>
        <w:rPr>
          <w:rFonts w:ascii="宋体" w:hAnsi="宋体"/>
          <w:sz w:val="24"/>
        </w:rPr>
        <w:t>关系，与采购人不存在任何人事、聘用或劳动关系。成</w:t>
      </w:r>
      <w:r>
        <w:rPr>
          <w:rFonts w:ascii="宋体" w:hAnsi="宋体"/>
          <w:spacing w:val="-1"/>
          <w:sz w:val="24"/>
        </w:rPr>
        <w:t>交供应商所有管理人员或施工人员</w:t>
      </w:r>
      <w:r>
        <w:rPr>
          <w:rFonts w:ascii="宋体" w:hAnsi="宋体"/>
          <w:sz w:val="24"/>
        </w:rPr>
        <w:t>与成交供应商发生的劳动、工伤事故等矛盾和纠纷，均</w:t>
      </w:r>
      <w:r>
        <w:rPr>
          <w:rFonts w:ascii="宋体" w:hAnsi="宋体"/>
          <w:spacing w:val="-1"/>
          <w:sz w:val="24"/>
        </w:rPr>
        <w:t>由成交供应商自行解决并承担所有</w:t>
      </w:r>
      <w:r>
        <w:rPr>
          <w:rFonts w:ascii="宋体" w:hAnsi="宋体"/>
          <w:spacing w:val="-5"/>
          <w:sz w:val="24"/>
        </w:rPr>
        <w:t>责任。</w:t>
      </w:r>
      <w:r>
        <w:rPr>
          <w:rFonts w:hint="eastAsia" w:ascii="宋体" w:hAnsi="宋体"/>
          <w:spacing w:val="-5"/>
          <w:sz w:val="24"/>
        </w:rPr>
        <w:t xml:space="preserve"> </w:t>
      </w:r>
      <w:r>
        <w:rPr>
          <w:rFonts w:hint="eastAsia" w:ascii="宋体" w:hAnsi="宋体"/>
          <w:spacing w:val="-1"/>
          <w:sz w:val="24"/>
        </w:rPr>
        <w:t>（</w:t>
      </w:r>
      <w:r>
        <w:rPr>
          <w:rFonts w:ascii="宋体" w:hAnsi="宋体"/>
          <w:spacing w:val="-1"/>
          <w:sz w:val="24"/>
        </w:rPr>
        <w:t>★</w:t>
      </w:r>
      <w:r>
        <w:rPr>
          <w:rFonts w:ascii="宋体" w:hAnsi="宋体"/>
          <w:b/>
          <w:bCs/>
          <w:spacing w:val="-1"/>
          <w:sz w:val="24"/>
        </w:rPr>
        <w:t>须提供</w:t>
      </w:r>
      <w:r>
        <w:rPr>
          <w:rFonts w:hint="eastAsia" w:ascii="宋体" w:hAnsi="宋体"/>
          <w:b/>
          <w:bCs/>
          <w:spacing w:val="-1"/>
          <w:sz w:val="24"/>
        </w:rPr>
        <w:t>相关</w:t>
      </w:r>
      <w:r>
        <w:rPr>
          <w:rFonts w:ascii="宋体" w:hAnsi="宋体"/>
          <w:b/>
          <w:bCs/>
          <w:spacing w:val="-1"/>
          <w:sz w:val="24"/>
        </w:rPr>
        <w:t>承诺，未提供作无效投标处</w:t>
      </w:r>
      <w:r>
        <w:rPr>
          <w:rFonts w:ascii="宋体" w:hAnsi="宋体"/>
          <w:b/>
          <w:bCs/>
          <w:spacing w:val="-6"/>
          <w:sz w:val="24"/>
        </w:rPr>
        <w:t>理</w:t>
      </w:r>
      <w:r>
        <w:rPr>
          <w:rFonts w:hint="eastAsia" w:ascii="宋体" w:hAnsi="宋体"/>
          <w:spacing w:val="-1"/>
          <w:sz w:val="24"/>
        </w:rPr>
        <w:t>）</w:t>
      </w:r>
      <w:r>
        <w:rPr>
          <w:rFonts w:ascii="宋体" w:hAnsi="宋体"/>
          <w:spacing w:val="-6"/>
          <w:sz w:val="24"/>
        </w:rPr>
        <w:t>。</w:t>
      </w:r>
      <w:r>
        <w:rPr>
          <w:rFonts w:hint="eastAsia" w:ascii="宋体" w:hAnsi="宋体"/>
          <w:spacing w:val="-5"/>
          <w:sz w:val="24"/>
        </w:rPr>
        <w:t xml:space="preserve"> </w:t>
      </w:r>
    </w:p>
    <w:p w14:paraId="665A83D6">
      <w:pPr>
        <w:spacing w:before="183" w:line="333" w:lineRule="auto"/>
        <w:ind w:left="2" w:firstLine="489"/>
        <w:rPr>
          <w:rFonts w:ascii="宋体" w:hAnsi="宋体"/>
          <w:sz w:val="24"/>
        </w:rPr>
      </w:pPr>
      <w:r>
        <w:rPr>
          <w:rFonts w:ascii="宋体" w:hAnsi="宋体"/>
          <w:spacing w:val="-1"/>
          <w:sz w:val="24"/>
        </w:rPr>
        <w:t>（7）成交供应商应安排人员值守，一旦发生相关材料、设备被盗等情况，一切损失由成交供应商承担</w:t>
      </w:r>
      <w:r>
        <w:rPr>
          <w:rFonts w:hint="eastAsia" w:ascii="宋体" w:hAnsi="宋体"/>
          <w:spacing w:val="-1"/>
          <w:sz w:val="24"/>
        </w:rPr>
        <w:t>。（</w:t>
      </w:r>
      <w:r>
        <w:rPr>
          <w:rFonts w:ascii="宋体" w:hAnsi="宋体"/>
          <w:spacing w:val="-1"/>
          <w:sz w:val="24"/>
        </w:rPr>
        <w:t>★</w:t>
      </w:r>
      <w:r>
        <w:rPr>
          <w:rFonts w:ascii="宋体" w:hAnsi="宋体"/>
          <w:b/>
          <w:bCs/>
          <w:spacing w:val="-1"/>
          <w:sz w:val="24"/>
        </w:rPr>
        <w:t>须提供</w:t>
      </w:r>
      <w:r>
        <w:rPr>
          <w:rFonts w:hint="eastAsia" w:ascii="宋体" w:hAnsi="宋体"/>
          <w:b/>
          <w:bCs/>
          <w:spacing w:val="-1"/>
          <w:sz w:val="24"/>
        </w:rPr>
        <w:t>相关</w:t>
      </w:r>
      <w:r>
        <w:rPr>
          <w:rFonts w:ascii="宋体" w:hAnsi="宋体"/>
          <w:b/>
          <w:bCs/>
          <w:spacing w:val="-1"/>
          <w:sz w:val="24"/>
        </w:rPr>
        <w:t>承诺，未提供作无效投标处</w:t>
      </w:r>
      <w:r>
        <w:rPr>
          <w:rFonts w:ascii="宋体" w:hAnsi="宋体"/>
          <w:b/>
          <w:bCs/>
          <w:spacing w:val="-6"/>
          <w:sz w:val="24"/>
        </w:rPr>
        <w:t>理</w:t>
      </w:r>
      <w:r>
        <w:rPr>
          <w:rFonts w:hint="eastAsia" w:ascii="宋体" w:hAnsi="宋体"/>
          <w:spacing w:val="-1"/>
          <w:sz w:val="24"/>
        </w:rPr>
        <w:t>）</w:t>
      </w:r>
      <w:r>
        <w:rPr>
          <w:rFonts w:ascii="宋体" w:hAnsi="宋体"/>
          <w:spacing w:val="-6"/>
          <w:sz w:val="24"/>
        </w:rPr>
        <w:t>。</w:t>
      </w:r>
    </w:p>
    <w:p w14:paraId="6CF43354">
      <w:pPr>
        <w:spacing w:before="179" w:line="324" w:lineRule="auto"/>
        <w:ind w:right="-17" w:rightChars="-8" w:firstLine="476" w:firstLineChars="200"/>
        <w:rPr>
          <w:rFonts w:ascii="宋体" w:hAnsi="宋体"/>
          <w:sz w:val="24"/>
        </w:rPr>
      </w:pPr>
      <w:r>
        <w:rPr>
          <w:rFonts w:ascii="宋体" w:hAnsi="宋体"/>
          <w:spacing w:val="-1"/>
          <w:sz w:val="24"/>
        </w:rPr>
        <w:t>（8）人员要求：①所有拆除及相关人员需购买意外伤害保险；购置相应工作服，要求</w:t>
      </w:r>
      <w:r>
        <w:rPr>
          <w:rFonts w:ascii="宋体" w:hAnsi="宋体"/>
          <w:sz w:val="24"/>
        </w:rPr>
        <w:t>所有员工统一着装上岗；②政治可靠、品德端正；身体健康；无传</w:t>
      </w:r>
      <w:r>
        <w:rPr>
          <w:rFonts w:ascii="宋体" w:hAnsi="宋体"/>
          <w:spacing w:val="-1"/>
          <w:sz w:val="24"/>
        </w:rPr>
        <w:t>染性疾病；签订合同前</w:t>
      </w:r>
      <w:r>
        <w:rPr>
          <w:rFonts w:ascii="宋体" w:hAnsi="宋体"/>
          <w:sz w:val="24"/>
        </w:rPr>
        <w:t>提供所有拟派人员的体检报告；对待工作有责任心及耐心；③个</w:t>
      </w:r>
      <w:r>
        <w:rPr>
          <w:rFonts w:ascii="宋体" w:hAnsi="宋体"/>
          <w:spacing w:val="-1"/>
          <w:sz w:val="24"/>
        </w:rPr>
        <w:t>人资料真实，无不良恶习</w:t>
      </w:r>
      <w:r>
        <w:rPr>
          <w:rFonts w:ascii="宋体" w:hAnsi="宋体"/>
          <w:spacing w:val="-5"/>
          <w:sz w:val="24"/>
        </w:rPr>
        <w:t>,未参加非法组织，无违法犯罪记录。</w:t>
      </w:r>
    </w:p>
    <w:p w14:paraId="41706DFF">
      <w:pPr>
        <w:spacing w:before="183" w:line="290" w:lineRule="auto"/>
        <w:ind w:right="-17" w:rightChars="-8" w:firstLine="476" w:firstLineChars="200"/>
        <w:rPr>
          <w:rFonts w:ascii="宋体" w:hAnsi="宋体"/>
          <w:sz w:val="24"/>
        </w:rPr>
      </w:pPr>
      <w:r>
        <w:rPr>
          <w:rFonts w:ascii="宋体" w:hAnsi="宋体"/>
          <w:spacing w:val="-1"/>
          <w:sz w:val="24"/>
        </w:rPr>
        <w:t>（9）成交供应商应有能力为采购人提供专业的法律团队服务，负责拆违过程中发生的相关纠纷、仲裁、诉讼等事宜。</w:t>
      </w:r>
    </w:p>
    <w:p w14:paraId="2D6714DA">
      <w:pPr>
        <w:spacing w:before="180" w:line="313" w:lineRule="auto"/>
        <w:ind w:right="-17" w:rightChars="-8" w:firstLine="476" w:firstLineChars="200"/>
        <w:rPr>
          <w:rFonts w:ascii="宋体" w:hAnsi="宋体"/>
          <w:sz w:val="24"/>
        </w:rPr>
      </w:pPr>
      <w:r>
        <w:rPr>
          <w:rFonts w:ascii="宋体" w:hAnsi="宋体"/>
          <w:spacing w:val="-1"/>
          <w:sz w:val="24"/>
        </w:rPr>
        <w:t>（10）所有人员需经采购人认可后方可入职上岗工作。拟投入人员工作时间服从采购</w:t>
      </w:r>
      <w:r>
        <w:rPr>
          <w:rFonts w:ascii="宋体" w:hAnsi="宋体"/>
          <w:sz w:val="24"/>
        </w:rPr>
        <w:t>人安排，且符合国家有关规定。供应商针对项目实际情况，制</w:t>
      </w:r>
      <w:r>
        <w:rPr>
          <w:rFonts w:ascii="宋体" w:hAnsi="宋体"/>
          <w:spacing w:val="-1"/>
          <w:sz w:val="24"/>
        </w:rPr>
        <w:t>定项目服务质量控制原则、质量检查流程、切实可行的保障措施。</w:t>
      </w:r>
    </w:p>
    <w:p w14:paraId="60A96DB2">
      <w:pPr>
        <w:spacing w:before="182" w:line="288" w:lineRule="auto"/>
        <w:ind w:right="-17" w:rightChars="-8" w:firstLine="476" w:firstLineChars="200"/>
        <w:rPr>
          <w:rFonts w:ascii="宋体" w:hAnsi="宋体"/>
          <w:sz w:val="24"/>
        </w:rPr>
      </w:pPr>
      <w:r>
        <w:rPr>
          <w:rFonts w:ascii="宋体" w:hAnsi="宋体"/>
          <w:spacing w:val="-1"/>
          <w:sz w:val="24"/>
        </w:rPr>
        <w:t>（11）成交供应商按照采购人要求负责对管理服务人员的管理，针对本项目成立专门</w:t>
      </w:r>
      <w:r>
        <w:rPr>
          <w:rFonts w:ascii="宋体" w:hAnsi="宋体"/>
          <w:spacing w:val="-2"/>
          <w:sz w:val="24"/>
        </w:rPr>
        <w:t>的管理小组，负责与采购人对接本项目相关的工作。</w:t>
      </w:r>
    </w:p>
    <w:p w14:paraId="2BB639AD">
      <w:pPr>
        <w:spacing w:before="184" w:line="220" w:lineRule="auto"/>
        <w:ind w:right="-17" w:rightChars="-8" w:firstLine="472" w:firstLineChars="200"/>
        <w:rPr>
          <w:rFonts w:ascii="宋体" w:hAnsi="宋体"/>
          <w:sz w:val="24"/>
        </w:rPr>
      </w:pPr>
      <w:r>
        <w:rPr>
          <w:rFonts w:ascii="宋体" w:hAnsi="宋体"/>
          <w:spacing w:val="-2"/>
          <w:sz w:val="24"/>
        </w:rPr>
        <w:t>（12）其他未尽事宜合同中约定。</w:t>
      </w:r>
    </w:p>
    <w:p w14:paraId="0F7C8851">
      <w:pPr>
        <w:spacing w:before="97" w:line="219" w:lineRule="auto"/>
        <w:ind w:left="1086"/>
        <w:outlineLvl w:val="1"/>
        <w:rPr>
          <w:rFonts w:asciiTheme="majorEastAsia" w:hAnsiTheme="majorEastAsia" w:eastAsiaTheme="majorEastAsia" w:cstheme="majorEastAsia"/>
          <w:b/>
          <w:bCs/>
          <w:sz w:val="24"/>
        </w:rPr>
      </w:pPr>
    </w:p>
    <w:p w14:paraId="26D75137">
      <w:pPr>
        <w:spacing w:before="97" w:line="219" w:lineRule="auto"/>
        <w:outlineLvl w:val="1"/>
        <w:rPr>
          <w:rFonts w:ascii="宋体" w:hAnsi="宋体"/>
          <w:sz w:val="30"/>
          <w:szCs w:val="30"/>
        </w:rPr>
      </w:pPr>
      <w:r>
        <w:rPr>
          <w:rFonts w:hint="eastAsia" w:asciiTheme="majorEastAsia" w:hAnsiTheme="majorEastAsia" w:eastAsiaTheme="majorEastAsia" w:cstheme="majorEastAsia"/>
          <w:sz w:val="24"/>
        </w:rPr>
        <w:t>（二）、</w:t>
      </w:r>
      <w:r>
        <w:rPr>
          <w:rFonts w:ascii="宋体" w:hAnsi="宋体"/>
          <w:spacing w:val="-9"/>
          <w:sz w:val="30"/>
          <w:szCs w:val="30"/>
        </w:rPr>
        <w:t>商务要求</w:t>
      </w:r>
    </w:p>
    <w:p w14:paraId="427CDDB4">
      <w:pPr>
        <w:spacing w:before="70"/>
      </w:pPr>
    </w:p>
    <w:p w14:paraId="45676FBA">
      <w:pPr>
        <w:spacing w:before="69"/>
      </w:pPr>
    </w:p>
    <w:tbl>
      <w:tblPr>
        <w:tblStyle w:val="17"/>
        <w:tblW w:w="500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55"/>
        <w:gridCol w:w="1514"/>
        <w:gridCol w:w="6146"/>
      </w:tblGrid>
      <w:tr w14:paraId="2505A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394" w:type="pct"/>
            <w:shd w:val="clear" w:color="auto" w:fill="F0F0F0"/>
          </w:tcPr>
          <w:p w14:paraId="79B3ED8D">
            <w:pPr>
              <w:pStyle w:val="16"/>
              <w:spacing w:before="128" w:line="229" w:lineRule="auto"/>
              <w:ind w:left="221"/>
              <w:rPr>
                <w:sz w:val="20"/>
                <w:szCs w:val="20"/>
              </w:rPr>
            </w:pPr>
            <w:r>
              <w:rPr>
                <w:b/>
                <w:bCs/>
                <w:spacing w:val="4"/>
                <w:sz w:val="20"/>
                <w:szCs w:val="20"/>
              </w:rPr>
              <w:t>序号</w:t>
            </w:r>
          </w:p>
        </w:tc>
        <w:tc>
          <w:tcPr>
            <w:tcW w:w="910" w:type="pct"/>
            <w:shd w:val="clear" w:color="auto" w:fill="F0F0F0"/>
          </w:tcPr>
          <w:p w14:paraId="6609ED37">
            <w:pPr>
              <w:pStyle w:val="16"/>
              <w:spacing w:before="195" w:line="228" w:lineRule="auto"/>
              <w:ind w:left="569"/>
              <w:rPr>
                <w:sz w:val="20"/>
                <w:szCs w:val="20"/>
              </w:rPr>
            </w:pPr>
            <w:r>
              <w:rPr>
                <w:b/>
                <w:bCs/>
                <w:spacing w:val="5"/>
                <w:sz w:val="20"/>
                <w:szCs w:val="20"/>
              </w:rPr>
              <w:t>商务条款</w:t>
            </w:r>
          </w:p>
        </w:tc>
        <w:tc>
          <w:tcPr>
            <w:tcW w:w="3694" w:type="pct"/>
            <w:shd w:val="clear" w:color="auto" w:fill="F0F0F0"/>
          </w:tcPr>
          <w:p w14:paraId="106253C3">
            <w:pPr>
              <w:pStyle w:val="16"/>
              <w:spacing w:before="195" w:line="229" w:lineRule="auto"/>
              <w:ind w:left="2537"/>
              <w:rPr>
                <w:sz w:val="20"/>
                <w:szCs w:val="20"/>
              </w:rPr>
            </w:pPr>
            <w:r>
              <w:rPr>
                <w:b/>
                <w:bCs/>
                <w:spacing w:val="-3"/>
                <w:sz w:val="20"/>
                <w:szCs w:val="20"/>
              </w:rPr>
              <w:t>要</w:t>
            </w:r>
            <w:r>
              <w:rPr>
                <w:spacing w:val="8"/>
                <w:sz w:val="20"/>
                <w:szCs w:val="20"/>
              </w:rPr>
              <w:t xml:space="preserve">    </w:t>
            </w:r>
            <w:r>
              <w:rPr>
                <w:b/>
                <w:bCs/>
                <w:spacing w:val="-3"/>
                <w:sz w:val="20"/>
                <w:szCs w:val="20"/>
              </w:rPr>
              <w:t>求</w:t>
            </w:r>
          </w:p>
        </w:tc>
      </w:tr>
      <w:tr w14:paraId="712E2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394" w:type="pct"/>
          </w:tcPr>
          <w:p w14:paraId="2D85FB03">
            <w:pPr>
              <w:spacing w:line="256" w:lineRule="auto"/>
              <w:jc w:val="center"/>
              <w:rPr>
                <w:rFonts w:ascii="Arial"/>
              </w:rPr>
            </w:pPr>
          </w:p>
          <w:p w14:paraId="71E6857D">
            <w:pPr>
              <w:pStyle w:val="16"/>
              <w:spacing w:before="65" w:line="270" w:lineRule="exact"/>
              <w:ind w:left="397"/>
              <w:jc w:val="center"/>
              <w:rPr>
                <w:sz w:val="20"/>
                <w:szCs w:val="20"/>
              </w:rPr>
            </w:pPr>
            <w:r>
              <w:rPr>
                <w:position w:val="1"/>
                <w:sz w:val="20"/>
                <w:szCs w:val="20"/>
              </w:rPr>
              <w:t>1</w:t>
            </w:r>
          </w:p>
        </w:tc>
        <w:tc>
          <w:tcPr>
            <w:tcW w:w="910" w:type="pct"/>
          </w:tcPr>
          <w:p w14:paraId="084A7A02">
            <w:pPr>
              <w:pStyle w:val="16"/>
              <w:spacing w:before="65" w:line="228" w:lineRule="auto"/>
              <w:ind w:left="9"/>
              <w:jc w:val="center"/>
              <w:rPr>
                <w:spacing w:val="7"/>
                <w:sz w:val="20"/>
                <w:szCs w:val="20"/>
                <w:lang w:eastAsia="zh-CN"/>
              </w:rPr>
            </w:pPr>
            <w:r>
              <w:rPr>
                <w:spacing w:val="7"/>
                <w:sz w:val="20"/>
                <w:szCs w:val="20"/>
                <w:lang w:eastAsia="zh-CN"/>
              </w:rPr>
              <w:t>合同履行期限</w:t>
            </w:r>
          </w:p>
          <w:p w14:paraId="75F77177">
            <w:pPr>
              <w:pStyle w:val="16"/>
              <w:spacing w:before="65" w:line="228" w:lineRule="auto"/>
              <w:ind w:left="9"/>
              <w:jc w:val="center"/>
              <w:rPr>
                <w:spacing w:val="7"/>
                <w:sz w:val="20"/>
                <w:szCs w:val="20"/>
                <w:lang w:eastAsia="zh-CN"/>
              </w:rPr>
            </w:pPr>
            <w:r>
              <w:rPr>
                <w:spacing w:val="7"/>
                <w:sz w:val="20"/>
                <w:szCs w:val="20"/>
                <w:lang w:eastAsia="zh-CN"/>
              </w:rPr>
              <w:t>（服务期）</w:t>
            </w:r>
          </w:p>
        </w:tc>
        <w:tc>
          <w:tcPr>
            <w:tcW w:w="3694" w:type="pct"/>
          </w:tcPr>
          <w:p w14:paraId="236140DE">
            <w:pPr>
              <w:pStyle w:val="16"/>
              <w:spacing w:before="65" w:line="228" w:lineRule="auto"/>
              <w:ind w:left="9"/>
              <w:jc w:val="left"/>
              <w:rPr>
                <w:spacing w:val="7"/>
                <w:sz w:val="20"/>
                <w:szCs w:val="20"/>
                <w:lang w:eastAsia="zh-CN"/>
              </w:rPr>
            </w:pPr>
            <w:r>
              <w:rPr>
                <w:spacing w:val="7"/>
                <w:sz w:val="20"/>
                <w:szCs w:val="20"/>
              </w:rPr>
              <w:t>合同签订后</w:t>
            </w:r>
            <w:r>
              <w:rPr>
                <w:rFonts w:hint="eastAsia"/>
                <w:spacing w:val="7"/>
                <w:sz w:val="20"/>
                <w:szCs w:val="20"/>
                <w:lang w:eastAsia="zh-CN"/>
              </w:rPr>
              <w:t>365日历天</w:t>
            </w:r>
          </w:p>
        </w:tc>
      </w:tr>
      <w:tr w14:paraId="3AF85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94" w:type="pct"/>
          </w:tcPr>
          <w:p w14:paraId="15D74074">
            <w:pPr>
              <w:spacing w:line="247" w:lineRule="auto"/>
              <w:rPr>
                <w:rFonts w:ascii="Arial"/>
              </w:rPr>
            </w:pPr>
          </w:p>
          <w:p w14:paraId="4706C15E">
            <w:pPr>
              <w:spacing w:line="248" w:lineRule="auto"/>
              <w:rPr>
                <w:rFonts w:ascii="Arial"/>
              </w:rPr>
            </w:pPr>
          </w:p>
          <w:p w14:paraId="2EEB4520">
            <w:pPr>
              <w:spacing w:line="248" w:lineRule="auto"/>
              <w:rPr>
                <w:rFonts w:ascii="Arial"/>
              </w:rPr>
            </w:pPr>
          </w:p>
          <w:p w14:paraId="43C87DCE">
            <w:pPr>
              <w:spacing w:line="248" w:lineRule="auto"/>
              <w:rPr>
                <w:rFonts w:ascii="Arial"/>
              </w:rPr>
            </w:pPr>
          </w:p>
          <w:p w14:paraId="5BCC6091">
            <w:pPr>
              <w:spacing w:line="248" w:lineRule="auto"/>
              <w:rPr>
                <w:rFonts w:ascii="Arial"/>
              </w:rPr>
            </w:pPr>
          </w:p>
          <w:p w14:paraId="46660F64">
            <w:pPr>
              <w:pStyle w:val="16"/>
              <w:spacing w:before="65" w:line="270" w:lineRule="exact"/>
              <w:ind w:left="385"/>
              <w:rPr>
                <w:sz w:val="20"/>
                <w:szCs w:val="20"/>
              </w:rPr>
            </w:pPr>
            <w:r>
              <w:rPr>
                <w:position w:val="1"/>
                <w:sz w:val="20"/>
                <w:szCs w:val="20"/>
              </w:rPr>
              <w:t>2</w:t>
            </w:r>
          </w:p>
        </w:tc>
        <w:tc>
          <w:tcPr>
            <w:tcW w:w="910" w:type="pct"/>
          </w:tcPr>
          <w:p w14:paraId="3E370122">
            <w:pPr>
              <w:spacing w:line="249" w:lineRule="auto"/>
              <w:rPr>
                <w:rFonts w:ascii="Arial"/>
              </w:rPr>
            </w:pPr>
          </w:p>
          <w:p w14:paraId="20B990F4">
            <w:pPr>
              <w:spacing w:line="249" w:lineRule="auto"/>
              <w:rPr>
                <w:rFonts w:ascii="Arial"/>
              </w:rPr>
            </w:pPr>
          </w:p>
          <w:p w14:paraId="1D28F9AF">
            <w:pPr>
              <w:spacing w:line="249" w:lineRule="auto"/>
              <w:rPr>
                <w:rFonts w:ascii="Arial"/>
              </w:rPr>
            </w:pPr>
          </w:p>
          <w:p w14:paraId="74DA43E9">
            <w:pPr>
              <w:pStyle w:val="16"/>
              <w:spacing w:before="65" w:line="226" w:lineRule="auto"/>
              <w:ind w:left="563"/>
              <w:rPr>
                <w:sz w:val="20"/>
                <w:szCs w:val="20"/>
              </w:rPr>
            </w:pPr>
            <w:r>
              <w:rPr>
                <w:spacing w:val="7"/>
                <w:sz w:val="20"/>
                <w:szCs w:val="20"/>
              </w:rPr>
              <w:t>报价方式</w:t>
            </w:r>
          </w:p>
        </w:tc>
        <w:tc>
          <w:tcPr>
            <w:tcW w:w="3694" w:type="pct"/>
          </w:tcPr>
          <w:p w14:paraId="69EFAB9E">
            <w:pPr>
              <w:pStyle w:val="16"/>
              <w:spacing w:before="63" w:line="377" w:lineRule="auto"/>
              <w:ind w:left="24" w:right="51" w:firstLine="8"/>
              <w:rPr>
                <w:sz w:val="20"/>
                <w:szCs w:val="20"/>
                <w:lang w:eastAsia="zh-CN"/>
              </w:rPr>
            </w:pPr>
            <w:r>
              <w:rPr>
                <w:spacing w:val="9"/>
                <w:sz w:val="20"/>
                <w:szCs w:val="20"/>
                <w:lang w:eastAsia="zh-CN"/>
              </w:rPr>
              <w:t>以招标控制单价为基准，按照整体单价折扣（%）进行报价。本次拆违服务招标，投标报价应包含但不限于人员工资、社保（五险）、车辆费用、</w:t>
            </w:r>
            <w:r>
              <w:rPr>
                <w:spacing w:val="10"/>
                <w:sz w:val="20"/>
                <w:szCs w:val="20"/>
                <w:lang w:eastAsia="zh-CN"/>
              </w:rPr>
              <w:t>工具、耗材、材料费、管理费及税金等与</w:t>
            </w:r>
            <w:r>
              <w:rPr>
                <w:rFonts w:hint="eastAsia"/>
                <w:spacing w:val="10"/>
                <w:sz w:val="20"/>
                <w:szCs w:val="20"/>
                <w:lang w:eastAsia="zh-CN"/>
              </w:rPr>
              <w:t>完成</w:t>
            </w:r>
            <w:r>
              <w:rPr>
                <w:spacing w:val="10"/>
                <w:sz w:val="20"/>
                <w:szCs w:val="20"/>
                <w:lang w:eastAsia="zh-CN"/>
              </w:rPr>
              <w:t>本招</w:t>
            </w:r>
            <w:r>
              <w:rPr>
                <w:spacing w:val="9"/>
                <w:sz w:val="20"/>
                <w:szCs w:val="20"/>
                <w:lang w:eastAsia="zh-CN"/>
              </w:rPr>
              <w:t>标内容全部工作所需的一切费用，对在</w:t>
            </w:r>
            <w:r>
              <w:rPr>
                <w:spacing w:val="10"/>
                <w:sz w:val="20"/>
                <w:szCs w:val="20"/>
                <w:lang w:eastAsia="zh-CN"/>
              </w:rPr>
              <w:t>合同实施过程中可能发生的其它费用（如：人员工资</w:t>
            </w:r>
            <w:r>
              <w:rPr>
                <w:spacing w:val="9"/>
                <w:sz w:val="20"/>
                <w:szCs w:val="20"/>
                <w:lang w:eastAsia="zh-CN"/>
              </w:rPr>
              <w:t>、社保五险因国家政策调整等因素</w:t>
            </w:r>
            <w:r>
              <w:rPr>
                <w:spacing w:val="16"/>
                <w:sz w:val="20"/>
                <w:szCs w:val="20"/>
                <w:lang w:eastAsia="zh-CN"/>
              </w:rPr>
              <w:t>），</w:t>
            </w:r>
            <w:r>
              <w:rPr>
                <w:spacing w:val="9"/>
                <w:sz w:val="20"/>
                <w:szCs w:val="20"/>
                <w:lang w:eastAsia="zh-CN"/>
              </w:rPr>
              <w:t>采购人将不予支付。本项目总经费限额为人民币</w:t>
            </w:r>
            <w:r>
              <w:rPr>
                <w:rFonts w:hint="eastAsia"/>
                <w:spacing w:val="9"/>
                <w:sz w:val="20"/>
                <w:szCs w:val="20"/>
                <w:lang w:eastAsia="zh-CN"/>
              </w:rPr>
              <w:t>192万元</w:t>
            </w:r>
            <w:r>
              <w:rPr>
                <w:spacing w:val="9"/>
                <w:sz w:val="20"/>
                <w:szCs w:val="20"/>
                <w:lang w:eastAsia="zh-CN"/>
              </w:rPr>
              <w:t>，即本项目合同执行期满前采购人的实际结算总金额达到</w:t>
            </w:r>
            <w:r>
              <w:rPr>
                <w:rFonts w:hint="eastAsia"/>
                <w:spacing w:val="9"/>
                <w:sz w:val="20"/>
                <w:szCs w:val="20"/>
                <w:lang w:eastAsia="zh-CN"/>
              </w:rPr>
              <w:t>192万元</w:t>
            </w:r>
            <w:r>
              <w:rPr>
                <w:spacing w:val="9"/>
                <w:sz w:val="20"/>
                <w:szCs w:val="20"/>
                <w:lang w:eastAsia="zh-CN"/>
              </w:rPr>
              <w:t>后，采购人不再额外支付任何费用。</w:t>
            </w:r>
            <w:r>
              <w:rPr>
                <w:b/>
                <w:bCs/>
                <w:spacing w:val="9"/>
                <w:sz w:val="20"/>
                <w:szCs w:val="20"/>
                <w:lang w:eastAsia="zh-CN"/>
              </w:rPr>
              <w:t>★成交</w:t>
            </w:r>
            <w:r>
              <w:rPr>
                <w:b/>
                <w:bCs/>
                <w:spacing w:val="10"/>
                <w:sz w:val="20"/>
                <w:szCs w:val="20"/>
                <w:lang w:eastAsia="zh-CN"/>
              </w:rPr>
              <w:t>供应商须书面承诺</w:t>
            </w:r>
            <w:r>
              <w:rPr>
                <w:rFonts w:hint="eastAsia"/>
                <w:b/>
                <w:bCs/>
                <w:spacing w:val="10"/>
                <w:sz w:val="20"/>
                <w:szCs w:val="20"/>
                <w:lang w:eastAsia="zh-CN"/>
              </w:rPr>
              <w:t>：</w:t>
            </w:r>
            <w:r>
              <w:rPr>
                <w:b/>
                <w:bCs/>
                <w:spacing w:val="10"/>
                <w:sz w:val="20"/>
                <w:szCs w:val="20"/>
                <w:lang w:eastAsia="zh-CN"/>
              </w:rPr>
              <w:t>在合同执行期内保质保量完成拆除</w:t>
            </w:r>
            <w:r>
              <w:rPr>
                <w:b/>
                <w:bCs/>
                <w:spacing w:val="9"/>
                <w:sz w:val="20"/>
                <w:szCs w:val="20"/>
                <w:lang w:eastAsia="zh-CN"/>
              </w:rPr>
              <w:t>任务，并在实际结算总金额达到</w:t>
            </w:r>
            <w:r>
              <w:rPr>
                <w:b/>
                <w:bCs/>
                <w:spacing w:val="8"/>
                <w:sz w:val="20"/>
                <w:szCs w:val="20"/>
                <w:lang w:eastAsia="zh-CN"/>
              </w:rPr>
              <w:t>限额后，不得再向采购人收取任何费用。</w:t>
            </w:r>
          </w:p>
        </w:tc>
      </w:tr>
      <w:tr w14:paraId="7111F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394" w:type="pct"/>
          </w:tcPr>
          <w:p w14:paraId="121B4F2F">
            <w:pPr>
              <w:pStyle w:val="16"/>
              <w:spacing w:before="184" w:line="268" w:lineRule="exact"/>
              <w:ind w:left="386"/>
              <w:rPr>
                <w:sz w:val="20"/>
                <w:szCs w:val="20"/>
              </w:rPr>
            </w:pPr>
            <w:r>
              <w:rPr>
                <w:position w:val="1"/>
                <w:sz w:val="20"/>
                <w:szCs w:val="20"/>
              </w:rPr>
              <w:t>3</w:t>
            </w:r>
          </w:p>
        </w:tc>
        <w:tc>
          <w:tcPr>
            <w:tcW w:w="910" w:type="pct"/>
          </w:tcPr>
          <w:p w14:paraId="55B12754">
            <w:pPr>
              <w:pStyle w:val="16"/>
              <w:spacing w:before="183" w:line="228" w:lineRule="auto"/>
              <w:ind w:left="385"/>
              <w:rPr>
                <w:sz w:val="20"/>
                <w:szCs w:val="20"/>
              </w:rPr>
            </w:pPr>
            <w:r>
              <w:rPr>
                <w:spacing w:val="6"/>
                <w:sz w:val="20"/>
                <w:szCs w:val="20"/>
              </w:rPr>
              <w:t>结算方式</w:t>
            </w:r>
          </w:p>
        </w:tc>
        <w:tc>
          <w:tcPr>
            <w:tcW w:w="3694" w:type="pct"/>
          </w:tcPr>
          <w:p w14:paraId="3A0053B7">
            <w:pPr>
              <w:pStyle w:val="16"/>
              <w:spacing w:before="114" w:line="226" w:lineRule="auto"/>
              <w:ind w:left="8"/>
              <w:rPr>
                <w:sz w:val="20"/>
                <w:szCs w:val="20"/>
                <w:lang w:eastAsia="zh-CN"/>
              </w:rPr>
            </w:pPr>
            <w:r>
              <w:rPr>
                <w:spacing w:val="9"/>
                <w:sz w:val="20"/>
                <w:szCs w:val="20"/>
                <w:lang w:eastAsia="zh-CN"/>
              </w:rPr>
              <w:t>据实结算，结算价=招标控制单价*折扣*实际工作量，最终结算金额不超过采购预算。</w:t>
            </w:r>
          </w:p>
        </w:tc>
      </w:tr>
      <w:tr w14:paraId="51545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2" w:hRule="atLeast"/>
        </w:trPr>
        <w:tc>
          <w:tcPr>
            <w:tcW w:w="394" w:type="pct"/>
          </w:tcPr>
          <w:p w14:paraId="0A4ABAE8">
            <w:pPr>
              <w:spacing w:line="397" w:lineRule="auto"/>
              <w:rPr>
                <w:rFonts w:ascii="Arial"/>
              </w:rPr>
            </w:pPr>
          </w:p>
          <w:p w14:paraId="2D734E89">
            <w:pPr>
              <w:pStyle w:val="16"/>
              <w:spacing w:before="65" w:line="270" w:lineRule="exact"/>
              <w:ind w:left="377"/>
              <w:rPr>
                <w:sz w:val="20"/>
                <w:szCs w:val="20"/>
              </w:rPr>
            </w:pPr>
            <w:r>
              <w:rPr>
                <w:position w:val="1"/>
                <w:sz w:val="20"/>
                <w:szCs w:val="20"/>
              </w:rPr>
              <w:t>4</w:t>
            </w:r>
          </w:p>
        </w:tc>
        <w:tc>
          <w:tcPr>
            <w:tcW w:w="910" w:type="pct"/>
          </w:tcPr>
          <w:p w14:paraId="28CCDD9A">
            <w:pPr>
              <w:spacing w:line="397" w:lineRule="auto"/>
              <w:rPr>
                <w:rFonts w:ascii="Arial"/>
              </w:rPr>
            </w:pPr>
          </w:p>
          <w:p w14:paraId="41308F70">
            <w:pPr>
              <w:pStyle w:val="16"/>
              <w:spacing w:before="65" w:line="228" w:lineRule="auto"/>
              <w:ind w:left="485"/>
              <w:rPr>
                <w:sz w:val="20"/>
                <w:szCs w:val="20"/>
              </w:rPr>
            </w:pPr>
            <w:r>
              <w:rPr>
                <w:spacing w:val="7"/>
                <w:sz w:val="20"/>
                <w:szCs w:val="20"/>
              </w:rPr>
              <w:t>付款方式</w:t>
            </w:r>
          </w:p>
        </w:tc>
        <w:tc>
          <w:tcPr>
            <w:tcW w:w="3694" w:type="pct"/>
          </w:tcPr>
          <w:p w14:paraId="72839220">
            <w:pPr>
              <w:pStyle w:val="16"/>
              <w:spacing w:before="193" w:line="378" w:lineRule="auto"/>
              <w:ind w:left="7" w:right="157" w:firstLine="3"/>
              <w:rPr>
                <w:sz w:val="20"/>
                <w:szCs w:val="20"/>
                <w:lang w:eastAsia="zh-CN"/>
              </w:rPr>
            </w:pPr>
            <w:r>
              <w:rPr>
                <w:spacing w:val="10"/>
                <w:sz w:val="20"/>
                <w:szCs w:val="20"/>
                <w:lang w:eastAsia="zh-CN"/>
              </w:rPr>
              <w:t>按照季度支付，成交供应商向采购方提交下列文件材料，</w:t>
            </w:r>
            <w:r>
              <w:rPr>
                <w:spacing w:val="9"/>
                <w:sz w:val="20"/>
                <w:szCs w:val="20"/>
                <w:lang w:eastAsia="zh-CN"/>
              </w:rPr>
              <w:t>经采购方审核无误后支付采</w:t>
            </w:r>
            <w:r>
              <w:rPr>
                <w:spacing w:val="4"/>
                <w:sz w:val="20"/>
                <w:szCs w:val="20"/>
                <w:lang w:eastAsia="zh-CN"/>
              </w:rPr>
              <w:t>购资金：</w:t>
            </w:r>
            <w:r>
              <w:rPr>
                <w:spacing w:val="-32"/>
                <w:sz w:val="20"/>
                <w:szCs w:val="20"/>
                <w:lang w:eastAsia="zh-CN"/>
              </w:rPr>
              <w:t xml:space="preserve"> </w:t>
            </w:r>
            <w:r>
              <w:rPr>
                <w:spacing w:val="4"/>
                <w:sz w:val="20"/>
                <w:szCs w:val="20"/>
                <w:lang w:eastAsia="zh-CN"/>
              </w:rPr>
              <w:t>(1)经采购方确认的发票；</w:t>
            </w:r>
            <w:r>
              <w:rPr>
                <w:spacing w:val="-41"/>
                <w:sz w:val="20"/>
                <w:szCs w:val="20"/>
                <w:lang w:eastAsia="zh-CN"/>
              </w:rPr>
              <w:t xml:space="preserve"> </w:t>
            </w:r>
            <w:r>
              <w:rPr>
                <w:spacing w:val="4"/>
                <w:sz w:val="20"/>
                <w:szCs w:val="20"/>
                <w:lang w:eastAsia="zh-CN"/>
              </w:rPr>
              <w:t>(2)经采购方确认的服务验收单；</w:t>
            </w:r>
            <w:r>
              <w:rPr>
                <w:spacing w:val="-44"/>
                <w:sz w:val="20"/>
                <w:szCs w:val="20"/>
                <w:lang w:eastAsia="zh-CN"/>
              </w:rPr>
              <w:t xml:space="preserve"> </w:t>
            </w:r>
            <w:r>
              <w:rPr>
                <w:spacing w:val="4"/>
                <w:sz w:val="20"/>
                <w:szCs w:val="20"/>
                <w:lang w:eastAsia="zh-CN"/>
              </w:rPr>
              <w:t>(3)其他材料。</w:t>
            </w:r>
          </w:p>
        </w:tc>
      </w:tr>
    </w:tbl>
    <w:p w14:paraId="7B8A1C0E">
      <w:pPr>
        <w:spacing w:before="333" w:line="219" w:lineRule="auto"/>
        <w:ind w:firstLine="293" w:firstLineChars="100"/>
        <w:outlineLvl w:val="1"/>
        <w:rPr>
          <w:rFonts w:ascii="宋体" w:hAnsi="宋体"/>
          <w:sz w:val="30"/>
          <w:szCs w:val="30"/>
        </w:rPr>
      </w:pPr>
      <w:bookmarkStart w:id="4" w:name="_Toc3596"/>
      <w:r>
        <w:rPr>
          <w:rFonts w:hint="eastAsia" w:ascii="宋体" w:hAnsi="宋体"/>
          <w:b/>
          <w:bCs/>
          <w:spacing w:val="-4"/>
          <w:sz w:val="30"/>
          <w:szCs w:val="30"/>
        </w:rPr>
        <w:t>四、</w:t>
      </w:r>
      <w:r>
        <w:rPr>
          <w:rFonts w:ascii="宋体" w:hAnsi="宋体"/>
          <w:b/>
          <w:bCs/>
          <w:spacing w:val="-4"/>
          <w:sz w:val="30"/>
          <w:szCs w:val="30"/>
        </w:rPr>
        <w:t>采购标的的验收标准</w:t>
      </w:r>
      <w:bookmarkEnd w:id="4"/>
    </w:p>
    <w:p w14:paraId="008A5DD3">
      <w:pPr>
        <w:widowControl/>
        <w:kinsoku w:val="0"/>
        <w:autoSpaceDE w:val="0"/>
        <w:autoSpaceDN w:val="0"/>
        <w:adjustRightInd w:val="0"/>
        <w:snapToGrid w:val="0"/>
        <w:spacing w:before="289" w:line="300" w:lineRule="exact"/>
        <w:ind w:right="159"/>
        <w:textAlignment w:val="baseline"/>
        <w:rPr>
          <w:rFonts w:ascii="宋体" w:hAnsi="宋体"/>
          <w:spacing w:val="10"/>
          <w:sz w:val="24"/>
        </w:rPr>
      </w:pPr>
      <w:r>
        <w:rPr>
          <w:rFonts w:ascii="宋体" w:hAnsi="宋体"/>
          <w:spacing w:val="10"/>
          <w:sz w:val="24"/>
        </w:rPr>
        <w:t>采购人按照国家及行业现行有关标准或者规范及相关考核标准及磋商文件规定约定的技术要求和商务要求内容对工程质量进行验收。</w:t>
      </w:r>
    </w:p>
    <w:p w14:paraId="0A183F25">
      <w:pPr>
        <w:spacing w:before="289" w:line="504" w:lineRule="auto"/>
        <w:ind w:left="686" w:right="827" w:firstLine="418"/>
        <w:rPr>
          <w:rFonts w:ascii="宋体" w:hAnsi="宋体"/>
          <w:b/>
          <w:bCs/>
          <w:spacing w:val="-7"/>
          <w:sz w:val="28"/>
          <w:szCs w:val="28"/>
        </w:rPr>
      </w:pPr>
    </w:p>
    <w:p w14:paraId="63034DC1">
      <w:pPr>
        <w:spacing w:before="289" w:line="504" w:lineRule="auto"/>
        <w:ind w:right="827"/>
        <w:rPr>
          <w:rFonts w:ascii="宋体" w:hAnsi="宋体"/>
          <w:b/>
          <w:bCs/>
          <w:spacing w:val="-7"/>
          <w:sz w:val="28"/>
          <w:szCs w:val="28"/>
        </w:rPr>
      </w:pPr>
      <w:r>
        <w:rPr>
          <w:rFonts w:ascii="宋体" w:hAnsi="宋体"/>
          <w:b/>
          <w:bCs/>
          <w:spacing w:val="-7"/>
          <w:sz w:val="28"/>
          <w:szCs w:val="28"/>
        </w:rPr>
        <w:t>附</w:t>
      </w:r>
      <w:r>
        <w:rPr>
          <w:rFonts w:hint="eastAsia" w:ascii="宋体" w:hAnsi="宋体"/>
          <w:b/>
          <w:bCs/>
          <w:spacing w:val="-7"/>
          <w:sz w:val="28"/>
          <w:szCs w:val="28"/>
        </w:rPr>
        <w:t>：采购限价明细</w:t>
      </w:r>
      <w:r>
        <w:rPr>
          <w:rFonts w:ascii="宋体" w:hAnsi="宋体"/>
          <w:b/>
          <w:bCs/>
          <w:spacing w:val="-7"/>
          <w:sz w:val="28"/>
          <w:szCs w:val="28"/>
        </w:rPr>
        <w:t>：</w:t>
      </w:r>
    </w:p>
    <w:tbl>
      <w:tblPr>
        <w:tblStyle w:val="7"/>
        <w:tblW w:w="9137" w:type="dxa"/>
        <w:tblInd w:w="96" w:type="dxa"/>
        <w:tblLayout w:type="fixed"/>
        <w:tblCellMar>
          <w:top w:w="0" w:type="dxa"/>
          <w:left w:w="108" w:type="dxa"/>
          <w:bottom w:w="0" w:type="dxa"/>
          <w:right w:w="108" w:type="dxa"/>
        </w:tblCellMar>
      </w:tblPr>
      <w:tblGrid>
        <w:gridCol w:w="620"/>
        <w:gridCol w:w="2297"/>
        <w:gridCol w:w="2894"/>
        <w:gridCol w:w="1663"/>
        <w:gridCol w:w="1663"/>
      </w:tblGrid>
      <w:tr w14:paraId="1D066810">
        <w:tblPrEx>
          <w:tblCellMar>
            <w:top w:w="0" w:type="dxa"/>
            <w:left w:w="108" w:type="dxa"/>
            <w:bottom w:w="0" w:type="dxa"/>
            <w:right w:w="108" w:type="dxa"/>
          </w:tblCellMar>
        </w:tblPrEx>
        <w:trPr>
          <w:trHeight w:val="176" w:hRule="atLeast"/>
        </w:trPr>
        <w:tc>
          <w:tcPr>
            <w:tcW w:w="620" w:type="dxa"/>
            <w:tcBorders>
              <w:top w:val="single" w:color="000000" w:sz="8" w:space="0"/>
              <w:left w:val="single" w:color="000000" w:sz="8" w:space="0"/>
              <w:bottom w:val="single" w:color="000000" w:sz="8" w:space="0"/>
              <w:right w:val="single" w:color="000000" w:sz="4" w:space="0"/>
            </w:tcBorders>
            <w:shd w:val="clear" w:color="auto" w:fill="auto"/>
            <w:noWrap/>
            <w:vAlign w:val="center"/>
          </w:tcPr>
          <w:p w14:paraId="44B98017">
            <w:pPr>
              <w:widowControl/>
              <w:jc w:val="center"/>
              <w:textAlignment w:val="center"/>
              <w:rPr>
                <w:rFonts w:ascii="宋体" w:hAnsi="宋体"/>
                <w:color w:val="000000"/>
                <w:sz w:val="24"/>
              </w:rPr>
            </w:pPr>
            <w:r>
              <w:rPr>
                <w:rFonts w:hint="eastAsia" w:ascii="宋体" w:hAnsi="宋体"/>
                <w:snapToGrid w:val="0"/>
                <w:color w:val="000000"/>
                <w:kern w:val="0"/>
                <w:sz w:val="24"/>
                <w:lang w:bidi="ar"/>
              </w:rPr>
              <w:t>序号</w:t>
            </w:r>
          </w:p>
        </w:tc>
        <w:tc>
          <w:tcPr>
            <w:tcW w:w="2297"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31194F92">
            <w:pPr>
              <w:widowControl/>
              <w:jc w:val="center"/>
              <w:textAlignment w:val="center"/>
              <w:rPr>
                <w:rFonts w:ascii="宋体" w:hAnsi="宋体"/>
                <w:color w:val="000000"/>
                <w:sz w:val="24"/>
              </w:rPr>
            </w:pPr>
            <w:r>
              <w:rPr>
                <w:rFonts w:hint="eastAsia" w:ascii="宋体" w:hAnsi="宋体"/>
                <w:snapToGrid w:val="0"/>
                <w:color w:val="000000"/>
                <w:kern w:val="0"/>
                <w:sz w:val="24"/>
                <w:lang w:bidi="ar"/>
              </w:rPr>
              <w:t>拆除类型</w:t>
            </w:r>
          </w:p>
        </w:tc>
        <w:tc>
          <w:tcPr>
            <w:tcW w:w="2894"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06885DD7">
            <w:pPr>
              <w:widowControl/>
              <w:jc w:val="center"/>
              <w:textAlignment w:val="center"/>
              <w:rPr>
                <w:rFonts w:ascii="宋体" w:hAnsi="宋体"/>
                <w:color w:val="000000"/>
                <w:sz w:val="24"/>
              </w:rPr>
            </w:pPr>
            <w:r>
              <w:rPr>
                <w:rFonts w:hint="eastAsia" w:ascii="宋体" w:hAnsi="宋体"/>
                <w:snapToGrid w:val="0"/>
                <w:color w:val="000000"/>
                <w:kern w:val="0"/>
                <w:sz w:val="24"/>
                <w:lang w:bidi="ar"/>
              </w:rPr>
              <w:t>全费用综合单价（元）</w:t>
            </w:r>
          </w:p>
        </w:tc>
        <w:tc>
          <w:tcPr>
            <w:tcW w:w="1663"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20511512">
            <w:pPr>
              <w:widowControl/>
              <w:jc w:val="center"/>
              <w:textAlignment w:val="center"/>
              <w:rPr>
                <w:rFonts w:ascii="宋体" w:hAnsi="宋体"/>
                <w:snapToGrid w:val="0"/>
                <w:color w:val="000000"/>
                <w:kern w:val="0"/>
                <w:sz w:val="24"/>
                <w:lang w:bidi="ar"/>
              </w:rPr>
            </w:pPr>
            <w:r>
              <w:rPr>
                <w:rFonts w:hint="eastAsia" w:ascii="宋体" w:hAnsi="宋体"/>
                <w:snapToGrid w:val="0"/>
                <w:color w:val="000000"/>
                <w:kern w:val="0"/>
                <w:sz w:val="24"/>
                <w:lang w:bidi="ar"/>
              </w:rPr>
              <w:t>面积（m²）</w:t>
            </w:r>
          </w:p>
        </w:tc>
        <w:tc>
          <w:tcPr>
            <w:tcW w:w="1663"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5720401B">
            <w:pPr>
              <w:widowControl/>
              <w:jc w:val="center"/>
              <w:textAlignment w:val="center"/>
              <w:rPr>
                <w:rFonts w:ascii="宋体" w:hAnsi="宋体"/>
                <w:snapToGrid w:val="0"/>
                <w:color w:val="000000"/>
                <w:kern w:val="0"/>
                <w:sz w:val="24"/>
                <w:lang w:bidi="ar"/>
              </w:rPr>
            </w:pPr>
            <w:r>
              <w:rPr>
                <w:rFonts w:hint="eastAsia" w:ascii="宋体" w:hAnsi="宋体"/>
                <w:snapToGrid w:val="0"/>
                <w:color w:val="000000"/>
                <w:kern w:val="0"/>
                <w:sz w:val="24"/>
                <w:lang w:bidi="ar"/>
              </w:rPr>
              <w:t>合价 (元)</w:t>
            </w:r>
          </w:p>
        </w:tc>
      </w:tr>
      <w:tr w14:paraId="7E085ACE">
        <w:tblPrEx>
          <w:tblCellMar>
            <w:top w:w="0" w:type="dxa"/>
            <w:left w:w="108" w:type="dxa"/>
            <w:bottom w:w="0" w:type="dxa"/>
            <w:right w:w="108" w:type="dxa"/>
          </w:tblCellMar>
        </w:tblPrEx>
        <w:trPr>
          <w:trHeight w:val="204" w:hRule="atLeast"/>
        </w:trPr>
        <w:tc>
          <w:tcPr>
            <w:tcW w:w="620" w:type="dxa"/>
            <w:tcBorders>
              <w:top w:val="nil"/>
              <w:left w:val="single" w:color="000000" w:sz="8" w:space="0"/>
              <w:bottom w:val="single" w:color="000000" w:sz="4" w:space="0"/>
              <w:right w:val="single" w:color="000000" w:sz="4" w:space="0"/>
            </w:tcBorders>
            <w:shd w:val="clear" w:color="auto" w:fill="FFFFFF"/>
            <w:vAlign w:val="center"/>
          </w:tcPr>
          <w:p w14:paraId="7B668AC6">
            <w:pPr>
              <w:widowControl/>
              <w:jc w:val="center"/>
              <w:textAlignment w:val="center"/>
              <w:rPr>
                <w:rFonts w:ascii="宋体" w:hAnsi="宋体"/>
                <w:color w:val="000000"/>
                <w:sz w:val="24"/>
              </w:rPr>
            </w:pPr>
            <w:r>
              <w:rPr>
                <w:rFonts w:hint="eastAsia" w:ascii="宋体" w:hAnsi="宋体"/>
                <w:snapToGrid w:val="0"/>
                <w:color w:val="000000"/>
                <w:kern w:val="0"/>
                <w:sz w:val="24"/>
                <w:lang w:bidi="ar"/>
              </w:rPr>
              <w:t>1</w:t>
            </w:r>
          </w:p>
        </w:tc>
        <w:tc>
          <w:tcPr>
            <w:tcW w:w="2297" w:type="dxa"/>
            <w:tcBorders>
              <w:top w:val="nil"/>
              <w:left w:val="single" w:color="000000" w:sz="4" w:space="0"/>
              <w:bottom w:val="single" w:color="000000" w:sz="4" w:space="0"/>
              <w:right w:val="single" w:color="000000" w:sz="4" w:space="0"/>
            </w:tcBorders>
            <w:shd w:val="clear" w:color="auto" w:fill="FFFFFF"/>
            <w:vAlign w:val="center"/>
          </w:tcPr>
          <w:p w14:paraId="45D2C599">
            <w:pPr>
              <w:widowControl/>
              <w:jc w:val="center"/>
              <w:textAlignment w:val="center"/>
              <w:rPr>
                <w:rFonts w:ascii="宋体" w:hAnsi="宋体"/>
                <w:color w:val="000000"/>
                <w:sz w:val="24"/>
              </w:rPr>
            </w:pPr>
            <w:r>
              <w:rPr>
                <w:rFonts w:hint="eastAsia" w:ascii="宋体" w:hAnsi="宋体"/>
                <w:snapToGrid w:val="0"/>
                <w:color w:val="000000"/>
                <w:kern w:val="0"/>
                <w:sz w:val="24"/>
                <w:lang w:bidi="ar"/>
              </w:rPr>
              <w:t>阳光房</w:t>
            </w:r>
          </w:p>
        </w:tc>
        <w:tc>
          <w:tcPr>
            <w:tcW w:w="2894" w:type="dxa"/>
            <w:tcBorders>
              <w:top w:val="nil"/>
              <w:left w:val="single" w:color="000000" w:sz="4" w:space="0"/>
              <w:bottom w:val="single" w:color="000000" w:sz="4" w:space="0"/>
              <w:right w:val="single" w:color="000000" w:sz="4" w:space="0"/>
            </w:tcBorders>
            <w:shd w:val="clear" w:color="auto" w:fill="FFFFFF"/>
            <w:vAlign w:val="center"/>
          </w:tcPr>
          <w:p w14:paraId="08E07928">
            <w:pPr>
              <w:widowControl/>
              <w:jc w:val="center"/>
              <w:textAlignment w:val="center"/>
              <w:rPr>
                <w:rFonts w:ascii="宋体" w:hAnsi="宋体"/>
                <w:color w:val="000000"/>
                <w:sz w:val="24"/>
              </w:rPr>
            </w:pPr>
            <w:r>
              <w:rPr>
                <w:rFonts w:hint="eastAsia" w:ascii="宋体" w:hAnsi="宋体"/>
                <w:snapToGrid w:val="0"/>
                <w:color w:val="000000"/>
                <w:kern w:val="0"/>
                <w:sz w:val="24"/>
                <w:lang w:bidi="ar"/>
              </w:rPr>
              <w:t>182.4</w:t>
            </w:r>
          </w:p>
        </w:tc>
        <w:tc>
          <w:tcPr>
            <w:tcW w:w="1663" w:type="dxa"/>
            <w:tcBorders>
              <w:top w:val="nil"/>
              <w:left w:val="single" w:color="000000" w:sz="4" w:space="0"/>
              <w:bottom w:val="single" w:color="000000" w:sz="4" w:space="0"/>
              <w:right w:val="single" w:color="000000" w:sz="4" w:space="0"/>
            </w:tcBorders>
            <w:shd w:val="clear" w:color="auto" w:fill="FFFFFF"/>
            <w:vAlign w:val="center"/>
          </w:tcPr>
          <w:p w14:paraId="6AA007AF">
            <w:pPr>
              <w:widowControl/>
              <w:jc w:val="center"/>
              <w:textAlignment w:val="center"/>
              <w:rPr>
                <w:rFonts w:ascii="宋体" w:hAnsi="宋体"/>
                <w:snapToGrid w:val="0"/>
                <w:color w:val="000000"/>
                <w:kern w:val="0"/>
                <w:sz w:val="24"/>
                <w:lang w:bidi="ar"/>
              </w:rPr>
            </w:pPr>
            <w:r>
              <w:rPr>
                <w:rFonts w:hint="eastAsia" w:ascii="宋体" w:hAnsi="宋体"/>
                <w:snapToGrid w:val="0"/>
                <w:color w:val="000000"/>
                <w:kern w:val="0"/>
                <w:sz w:val="24"/>
                <w:lang w:bidi="ar"/>
              </w:rPr>
              <w:t>1000</w:t>
            </w:r>
          </w:p>
        </w:tc>
        <w:tc>
          <w:tcPr>
            <w:tcW w:w="1663" w:type="dxa"/>
            <w:tcBorders>
              <w:top w:val="nil"/>
              <w:left w:val="single" w:color="000000" w:sz="4" w:space="0"/>
              <w:bottom w:val="single" w:color="000000" w:sz="4" w:space="0"/>
              <w:right w:val="single" w:color="000000" w:sz="4" w:space="0"/>
            </w:tcBorders>
            <w:shd w:val="clear" w:color="auto" w:fill="FFFFFF"/>
            <w:vAlign w:val="center"/>
          </w:tcPr>
          <w:p w14:paraId="609ADFD6">
            <w:pPr>
              <w:widowControl/>
              <w:jc w:val="center"/>
              <w:textAlignment w:val="center"/>
              <w:rPr>
                <w:rFonts w:ascii="宋体" w:hAnsi="宋体"/>
                <w:snapToGrid w:val="0"/>
                <w:color w:val="000000"/>
                <w:kern w:val="0"/>
                <w:sz w:val="24"/>
                <w:lang w:bidi="ar"/>
              </w:rPr>
            </w:pPr>
            <w:r>
              <w:rPr>
                <w:rFonts w:hint="eastAsia" w:ascii="宋体" w:hAnsi="宋体"/>
                <w:snapToGrid w:val="0"/>
                <w:color w:val="000000"/>
                <w:kern w:val="0"/>
                <w:sz w:val="24"/>
                <w:lang w:bidi="ar"/>
              </w:rPr>
              <w:t>182400</w:t>
            </w:r>
          </w:p>
        </w:tc>
      </w:tr>
      <w:tr w14:paraId="66ECBF1A">
        <w:tblPrEx>
          <w:tblCellMar>
            <w:top w:w="0" w:type="dxa"/>
            <w:left w:w="108" w:type="dxa"/>
            <w:bottom w:w="0" w:type="dxa"/>
            <w:right w:w="108" w:type="dxa"/>
          </w:tblCellMar>
        </w:tblPrEx>
        <w:trPr>
          <w:trHeight w:val="202" w:hRule="atLeast"/>
        </w:trPr>
        <w:tc>
          <w:tcPr>
            <w:tcW w:w="62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6A7354D">
            <w:pPr>
              <w:widowControl/>
              <w:jc w:val="center"/>
              <w:textAlignment w:val="center"/>
              <w:rPr>
                <w:rFonts w:ascii="宋体" w:hAnsi="宋体"/>
                <w:color w:val="000000"/>
                <w:sz w:val="24"/>
              </w:rPr>
            </w:pPr>
            <w:r>
              <w:rPr>
                <w:rFonts w:hint="eastAsia" w:ascii="宋体" w:hAnsi="宋体"/>
                <w:snapToGrid w:val="0"/>
                <w:color w:val="000000"/>
                <w:kern w:val="0"/>
                <w:sz w:val="24"/>
                <w:lang w:bidi="ar"/>
              </w:rPr>
              <w:t>2</w:t>
            </w:r>
          </w:p>
        </w:tc>
        <w:tc>
          <w:tcPr>
            <w:tcW w:w="22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B8BE7">
            <w:pPr>
              <w:widowControl/>
              <w:jc w:val="center"/>
              <w:textAlignment w:val="center"/>
              <w:rPr>
                <w:rFonts w:ascii="宋体" w:hAnsi="宋体"/>
                <w:color w:val="000000"/>
                <w:sz w:val="24"/>
              </w:rPr>
            </w:pPr>
            <w:r>
              <w:rPr>
                <w:rFonts w:hint="eastAsia" w:ascii="宋体" w:hAnsi="宋体"/>
                <w:snapToGrid w:val="0"/>
                <w:color w:val="000000"/>
                <w:kern w:val="0"/>
                <w:sz w:val="24"/>
                <w:lang w:bidi="ar"/>
              </w:rPr>
              <w:t>太阳能光伏板</w:t>
            </w:r>
          </w:p>
        </w:tc>
        <w:tc>
          <w:tcPr>
            <w:tcW w:w="2894" w:type="dxa"/>
            <w:tcBorders>
              <w:top w:val="nil"/>
              <w:left w:val="single" w:color="000000" w:sz="4" w:space="0"/>
              <w:bottom w:val="single" w:color="000000" w:sz="4" w:space="0"/>
              <w:right w:val="single" w:color="000000" w:sz="4" w:space="0"/>
            </w:tcBorders>
            <w:shd w:val="clear" w:color="auto" w:fill="FFFFFF"/>
            <w:vAlign w:val="center"/>
          </w:tcPr>
          <w:p w14:paraId="7B19A9F8">
            <w:pPr>
              <w:widowControl/>
              <w:jc w:val="center"/>
              <w:textAlignment w:val="center"/>
              <w:rPr>
                <w:rFonts w:ascii="宋体" w:hAnsi="宋体"/>
                <w:color w:val="000000"/>
                <w:sz w:val="24"/>
              </w:rPr>
            </w:pPr>
            <w:r>
              <w:rPr>
                <w:rFonts w:hint="eastAsia" w:ascii="宋体" w:hAnsi="宋体"/>
                <w:snapToGrid w:val="0"/>
                <w:color w:val="000000"/>
                <w:kern w:val="0"/>
                <w:sz w:val="24"/>
                <w:lang w:bidi="ar"/>
              </w:rPr>
              <w:t>268.8</w:t>
            </w:r>
          </w:p>
        </w:tc>
        <w:tc>
          <w:tcPr>
            <w:tcW w:w="1663" w:type="dxa"/>
            <w:tcBorders>
              <w:top w:val="nil"/>
              <w:left w:val="single" w:color="000000" w:sz="4" w:space="0"/>
              <w:bottom w:val="single" w:color="000000" w:sz="4" w:space="0"/>
              <w:right w:val="single" w:color="000000" w:sz="4" w:space="0"/>
            </w:tcBorders>
            <w:shd w:val="clear" w:color="auto" w:fill="FFFFFF"/>
            <w:vAlign w:val="center"/>
          </w:tcPr>
          <w:p w14:paraId="741B81FD">
            <w:pPr>
              <w:widowControl/>
              <w:jc w:val="center"/>
              <w:textAlignment w:val="center"/>
              <w:rPr>
                <w:rFonts w:ascii="宋体" w:hAnsi="宋体"/>
                <w:snapToGrid w:val="0"/>
                <w:color w:val="000000"/>
                <w:kern w:val="0"/>
                <w:sz w:val="24"/>
                <w:lang w:bidi="ar"/>
              </w:rPr>
            </w:pPr>
            <w:r>
              <w:rPr>
                <w:rFonts w:hint="eastAsia" w:ascii="宋体" w:hAnsi="宋体"/>
                <w:snapToGrid w:val="0"/>
                <w:color w:val="000000"/>
                <w:kern w:val="0"/>
                <w:sz w:val="24"/>
                <w:lang w:bidi="ar"/>
              </w:rPr>
              <w:t>1000</w:t>
            </w:r>
          </w:p>
        </w:tc>
        <w:tc>
          <w:tcPr>
            <w:tcW w:w="1663" w:type="dxa"/>
            <w:tcBorders>
              <w:top w:val="nil"/>
              <w:left w:val="single" w:color="000000" w:sz="4" w:space="0"/>
              <w:bottom w:val="single" w:color="000000" w:sz="4" w:space="0"/>
              <w:right w:val="single" w:color="000000" w:sz="4" w:space="0"/>
            </w:tcBorders>
            <w:shd w:val="clear" w:color="auto" w:fill="FFFFFF"/>
            <w:vAlign w:val="center"/>
          </w:tcPr>
          <w:p w14:paraId="28AE1762">
            <w:pPr>
              <w:widowControl/>
              <w:jc w:val="center"/>
              <w:textAlignment w:val="center"/>
              <w:rPr>
                <w:rFonts w:ascii="宋体" w:hAnsi="宋体"/>
                <w:snapToGrid w:val="0"/>
                <w:color w:val="000000"/>
                <w:kern w:val="0"/>
                <w:sz w:val="24"/>
                <w:lang w:bidi="ar"/>
              </w:rPr>
            </w:pPr>
            <w:r>
              <w:rPr>
                <w:rFonts w:hint="eastAsia" w:ascii="宋体" w:hAnsi="宋体"/>
                <w:snapToGrid w:val="0"/>
                <w:color w:val="000000"/>
                <w:kern w:val="0"/>
                <w:sz w:val="24"/>
                <w:lang w:bidi="ar"/>
              </w:rPr>
              <w:t>268800</w:t>
            </w:r>
          </w:p>
        </w:tc>
      </w:tr>
      <w:tr w14:paraId="7F811E7B">
        <w:tblPrEx>
          <w:tblCellMar>
            <w:top w:w="0" w:type="dxa"/>
            <w:left w:w="108" w:type="dxa"/>
            <w:bottom w:w="0" w:type="dxa"/>
            <w:right w:w="108" w:type="dxa"/>
          </w:tblCellMar>
        </w:tblPrEx>
        <w:trPr>
          <w:trHeight w:val="202" w:hRule="atLeast"/>
        </w:trPr>
        <w:tc>
          <w:tcPr>
            <w:tcW w:w="62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1E4E660">
            <w:pPr>
              <w:widowControl/>
              <w:jc w:val="center"/>
              <w:textAlignment w:val="center"/>
              <w:rPr>
                <w:rFonts w:ascii="宋体" w:hAnsi="宋体"/>
                <w:color w:val="000000"/>
                <w:sz w:val="24"/>
              </w:rPr>
            </w:pPr>
            <w:r>
              <w:rPr>
                <w:rFonts w:hint="eastAsia" w:ascii="宋体" w:hAnsi="宋体"/>
                <w:snapToGrid w:val="0"/>
                <w:color w:val="000000"/>
                <w:kern w:val="0"/>
                <w:sz w:val="24"/>
                <w:lang w:bidi="ar"/>
              </w:rPr>
              <w:t>3</w:t>
            </w:r>
          </w:p>
        </w:tc>
        <w:tc>
          <w:tcPr>
            <w:tcW w:w="22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FEB27">
            <w:pPr>
              <w:widowControl/>
              <w:jc w:val="center"/>
              <w:textAlignment w:val="center"/>
              <w:rPr>
                <w:rFonts w:ascii="宋体" w:hAnsi="宋体"/>
                <w:color w:val="000000"/>
                <w:sz w:val="24"/>
              </w:rPr>
            </w:pPr>
            <w:r>
              <w:rPr>
                <w:rFonts w:hint="eastAsia" w:ascii="宋体" w:hAnsi="宋体"/>
                <w:snapToGrid w:val="0"/>
                <w:color w:val="000000"/>
                <w:kern w:val="0"/>
                <w:sz w:val="24"/>
                <w:lang w:bidi="ar"/>
              </w:rPr>
              <w:t>棚、亭、桥等景观类构筑物</w:t>
            </w:r>
          </w:p>
        </w:tc>
        <w:tc>
          <w:tcPr>
            <w:tcW w:w="2894" w:type="dxa"/>
            <w:tcBorders>
              <w:top w:val="nil"/>
              <w:left w:val="single" w:color="000000" w:sz="4" w:space="0"/>
              <w:bottom w:val="single" w:color="000000" w:sz="4" w:space="0"/>
              <w:right w:val="single" w:color="000000" w:sz="4" w:space="0"/>
            </w:tcBorders>
            <w:shd w:val="clear" w:color="auto" w:fill="FFFFFF"/>
            <w:vAlign w:val="center"/>
          </w:tcPr>
          <w:p w14:paraId="1332E0E3">
            <w:pPr>
              <w:widowControl/>
              <w:jc w:val="center"/>
              <w:textAlignment w:val="center"/>
              <w:rPr>
                <w:rFonts w:ascii="宋体" w:hAnsi="宋体"/>
                <w:color w:val="000000"/>
                <w:sz w:val="24"/>
              </w:rPr>
            </w:pPr>
            <w:r>
              <w:rPr>
                <w:rFonts w:hint="eastAsia" w:ascii="宋体" w:hAnsi="宋体"/>
                <w:snapToGrid w:val="0"/>
                <w:color w:val="000000"/>
                <w:kern w:val="0"/>
                <w:sz w:val="24"/>
                <w:lang w:bidi="ar"/>
              </w:rPr>
              <w:t>144</w:t>
            </w:r>
          </w:p>
        </w:tc>
        <w:tc>
          <w:tcPr>
            <w:tcW w:w="1663" w:type="dxa"/>
            <w:tcBorders>
              <w:top w:val="nil"/>
              <w:left w:val="single" w:color="000000" w:sz="4" w:space="0"/>
              <w:bottom w:val="single" w:color="000000" w:sz="4" w:space="0"/>
              <w:right w:val="single" w:color="000000" w:sz="4" w:space="0"/>
            </w:tcBorders>
            <w:shd w:val="clear" w:color="auto" w:fill="FFFFFF"/>
            <w:vAlign w:val="center"/>
          </w:tcPr>
          <w:p w14:paraId="4DD16E42">
            <w:pPr>
              <w:widowControl/>
              <w:jc w:val="center"/>
              <w:textAlignment w:val="center"/>
              <w:rPr>
                <w:rFonts w:ascii="宋体" w:hAnsi="宋体"/>
                <w:snapToGrid w:val="0"/>
                <w:color w:val="000000"/>
                <w:kern w:val="0"/>
                <w:sz w:val="24"/>
                <w:lang w:bidi="ar"/>
              </w:rPr>
            </w:pPr>
            <w:r>
              <w:rPr>
                <w:rFonts w:hint="eastAsia" w:ascii="宋体" w:hAnsi="宋体"/>
                <w:snapToGrid w:val="0"/>
                <w:color w:val="000000"/>
                <w:kern w:val="0"/>
                <w:sz w:val="24"/>
                <w:lang w:bidi="ar"/>
              </w:rPr>
              <w:t>1000</w:t>
            </w:r>
          </w:p>
        </w:tc>
        <w:tc>
          <w:tcPr>
            <w:tcW w:w="1663" w:type="dxa"/>
            <w:tcBorders>
              <w:top w:val="nil"/>
              <w:left w:val="single" w:color="000000" w:sz="4" w:space="0"/>
              <w:bottom w:val="single" w:color="000000" w:sz="4" w:space="0"/>
              <w:right w:val="single" w:color="000000" w:sz="4" w:space="0"/>
            </w:tcBorders>
            <w:shd w:val="clear" w:color="auto" w:fill="FFFFFF"/>
            <w:vAlign w:val="center"/>
          </w:tcPr>
          <w:p w14:paraId="27DD31EE">
            <w:pPr>
              <w:widowControl/>
              <w:jc w:val="center"/>
              <w:textAlignment w:val="center"/>
              <w:rPr>
                <w:rFonts w:ascii="宋体" w:hAnsi="宋体"/>
                <w:snapToGrid w:val="0"/>
                <w:color w:val="000000"/>
                <w:kern w:val="0"/>
                <w:sz w:val="24"/>
                <w:lang w:bidi="ar"/>
              </w:rPr>
            </w:pPr>
            <w:r>
              <w:rPr>
                <w:rFonts w:hint="eastAsia" w:ascii="宋体" w:hAnsi="宋体"/>
                <w:snapToGrid w:val="0"/>
                <w:color w:val="000000"/>
                <w:kern w:val="0"/>
                <w:sz w:val="24"/>
                <w:lang w:bidi="ar"/>
              </w:rPr>
              <w:t>144000</w:t>
            </w:r>
          </w:p>
        </w:tc>
      </w:tr>
      <w:tr w14:paraId="0AD7B98A">
        <w:tblPrEx>
          <w:tblCellMar>
            <w:top w:w="0" w:type="dxa"/>
            <w:left w:w="108" w:type="dxa"/>
            <w:bottom w:w="0" w:type="dxa"/>
            <w:right w:w="108" w:type="dxa"/>
          </w:tblCellMar>
        </w:tblPrEx>
        <w:trPr>
          <w:trHeight w:val="202" w:hRule="atLeast"/>
        </w:trPr>
        <w:tc>
          <w:tcPr>
            <w:tcW w:w="62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E9670AC">
            <w:pPr>
              <w:widowControl/>
              <w:jc w:val="center"/>
              <w:textAlignment w:val="center"/>
              <w:rPr>
                <w:rFonts w:ascii="宋体" w:hAnsi="宋体"/>
                <w:color w:val="000000"/>
                <w:sz w:val="24"/>
              </w:rPr>
            </w:pPr>
            <w:r>
              <w:rPr>
                <w:rFonts w:hint="eastAsia" w:ascii="宋体" w:hAnsi="宋体"/>
                <w:snapToGrid w:val="0"/>
                <w:color w:val="000000"/>
                <w:kern w:val="0"/>
                <w:sz w:val="24"/>
                <w:lang w:bidi="ar"/>
              </w:rPr>
              <w:t>4</w:t>
            </w:r>
          </w:p>
        </w:tc>
        <w:tc>
          <w:tcPr>
            <w:tcW w:w="22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93037">
            <w:pPr>
              <w:widowControl/>
              <w:jc w:val="center"/>
              <w:textAlignment w:val="center"/>
              <w:rPr>
                <w:rFonts w:ascii="宋体" w:hAnsi="宋体"/>
                <w:color w:val="000000"/>
                <w:sz w:val="24"/>
              </w:rPr>
            </w:pPr>
            <w:r>
              <w:rPr>
                <w:rFonts w:hint="eastAsia" w:ascii="宋体" w:hAnsi="宋体"/>
                <w:snapToGrid w:val="0"/>
                <w:color w:val="000000"/>
                <w:kern w:val="0"/>
                <w:sz w:val="24"/>
                <w:lang w:bidi="ar"/>
              </w:rPr>
              <w:t>房屋延伸门廊类结构物</w:t>
            </w:r>
          </w:p>
        </w:tc>
        <w:tc>
          <w:tcPr>
            <w:tcW w:w="2894" w:type="dxa"/>
            <w:tcBorders>
              <w:top w:val="nil"/>
              <w:left w:val="single" w:color="000000" w:sz="4" w:space="0"/>
              <w:bottom w:val="single" w:color="000000" w:sz="4" w:space="0"/>
              <w:right w:val="single" w:color="000000" w:sz="4" w:space="0"/>
            </w:tcBorders>
            <w:shd w:val="clear" w:color="auto" w:fill="FFFFFF"/>
            <w:vAlign w:val="center"/>
          </w:tcPr>
          <w:p w14:paraId="2567069D">
            <w:pPr>
              <w:widowControl/>
              <w:jc w:val="center"/>
              <w:textAlignment w:val="center"/>
              <w:rPr>
                <w:rFonts w:ascii="宋体" w:hAnsi="宋体"/>
                <w:color w:val="000000"/>
                <w:sz w:val="24"/>
              </w:rPr>
            </w:pPr>
            <w:r>
              <w:rPr>
                <w:rFonts w:hint="eastAsia" w:ascii="宋体" w:hAnsi="宋体"/>
                <w:snapToGrid w:val="0"/>
                <w:color w:val="000000"/>
                <w:kern w:val="0"/>
                <w:sz w:val="24"/>
                <w:lang w:bidi="ar"/>
              </w:rPr>
              <w:t>192</w:t>
            </w:r>
          </w:p>
        </w:tc>
        <w:tc>
          <w:tcPr>
            <w:tcW w:w="1663" w:type="dxa"/>
            <w:tcBorders>
              <w:top w:val="nil"/>
              <w:left w:val="single" w:color="000000" w:sz="4" w:space="0"/>
              <w:bottom w:val="single" w:color="000000" w:sz="4" w:space="0"/>
              <w:right w:val="single" w:color="000000" w:sz="4" w:space="0"/>
            </w:tcBorders>
            <w:shd w:val="clear" w:color="auto" w:fill="FFFFFF"/>
            <w:vAlign w:val="center"/>
          </w:tcPr>
          <w:p w14:paraId="40A11123">
            <w:pPr>
              <w:widowControl/>
              <w:jc w:val="center"/>
              <w:textAlignment w:val="center"/>
              <w:rPr>
                <w:rFonts w:ascii="宋体" w:hAnsi="宋体"/>
                <w:snapToGrid w:val="0"/>
                <w:color w:val="000000"/>
                <w:kern w:val="0"/>
                <w:sz w:val="24"/>
                <w:lang w:bidi="ar"/>
              </w:rPr>
            </w:pPr>
            <w:r>
              <w:rPr>
                <w:rFonts w:hint="eastAsia" w:ascii="宋体" w:hAnsi="宋体"/>
                <w:snapToGrid w:val="0"/>
                <w:color w:val="000000"/>
                <w:kern w:val="0"/>
                <w:sz w:val="24"/>
                <w:lang w:bidi="ar"/>
              </w:rPr>
              <w:t>1060</w:t>
            </w:r>
          </w:p>
        </w:tc>
        <w:tc>
          <w:tcPr>
            <w:tcW w:w="1663" w:type="dxa"/>
            <w:tcBorders>
              <w:top w:val="nil"/>
              <w:left w:val="single" w:color="000000" w:sz="4" w:space="0"/>
              <w:bottom w:val="single" w:color="000000" w:sz="4" w:space="0"/>
              <w:right w:val="single" w:color="000000" w:sz="4" w:space="0"/>
            </w:tcBorders>
            <w:shd w:val="clear" w:color="auto" w:fill="FFFFFF"/>
            <w:vAlign w:val="center"/>
          </w:tcPr>
          <w:p w14:paraId="0CC4484A">
            <w:pPr>
              <w:widowControl/>
              <w:jc w:val="center"/>
              <w:textAlignment w:val="center"/>
              <w:rPr>
                <w:rFonts w:ascii="宋体" w:hAnsi="宋体"/>
                <w:snapToGrid w:val="0"/>
                <w:color w:val="000000"/>
                <w:kern w:val="0"/>
                <w:sz w:val="24"/>
                <w:lang w:bidi="ar"/>
              </w:rPr>
            </w:pPr>
            <w:r>
              <w:rPr>
                <w:rFonts w:hint="eastAsia" w:ascii="宋体" w:hAnsi="宋体"/>
                <w:snapToGrid w:val="0"/>
                <w:color w:val="000000"/>
                <w:kern w:val="0"/>
                <w:sz w:val="24"/>
                <w:lang w:bidi="ar"/>
              </w:rPr>
              <w:t>203520</w:t>
            </w:r>
          </w:p>
        </w:tc>
      </w:tr>
      <w:tr w14:paraId="0A0D483B">
        <w:tblPrEx>
          <w:tblCellMar>
            <w:top w:w="0" w:type="dxa"/>
            <w:left w:w="108" w:type="dxa"/>
            <w:bottom w:w="0" w:type="dxa"/>
            <w:right w:w="108" w:type="dxa"/>
          </w:tblCellMar>
        </w:tblPrEx>
        <w:trPr>
          <w:trHeight w:val="202" w:hRule="atLeast"/>
        </w:trPr>
        <w:tc>
          <w:tcPr>
            <w:tcW w:w="62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0DEACB9">
            <w:pPr>
              <w:widowControl/>
              <w:jc w:val="center"/>
              <w:textAlignment w:val="center"/>
              <w:rPr>
                <w:rFonts w:ascii="宋体" w:hAnsi="宋体"/>
                <w:color w:val="000000"/>
                <w:sz w:val="24"/>
              </w:rPr>
            </w:pPr>
            <w:r>
              <w:rPr>
                <w:rFonts w:hint="eastAsia" w:ascii="宋体" w:hAnsi="宋体"/>
                <w:snapToGrid w:val="0"/>
                <w:color w:val="000000"/>
                <w:kern w:val="0"/>
                <w:sz w:val="24"/>
                <w:lang w:bidi="ar"/>
              </w:rPr>
              <w:t>5</w:t>
            </w:r>
          </w:p>
        </w:tc>
        <w:tc>
          <w:tcPr>
            <w:tcW w:w="22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56A5E">
            <w:pPr>
              <w:widowControl/>
              <w:jc w:val="center"/>
              <w:textAlignment w:val="center"/>
              <w:rPr>
                <w:rFonts w:ascii="宋体" w:hAnsi="宋体"/>
                <w:color w:val="000000"/>
                <w:sz w:val="24"/>
              </w:rPr>
            </w:pPr>
            <w:r>
              <w:rPr>
                <w:rFonts w:hint="eastAsia" w:ascii="宋体" w:hAnsi="宋体"/>
                <w:snapToGrid w:val="0"/>
                <w:color w:val="000000"/>
                <w:kern w:val="0"/>
                <w:sz w:val="24"/>
                <w:lang w:bidi="ar"/>
              </w:rPr>
              <w:t>砖混（框架）   结构房</w:t>
            </w:r>
          </w:p>
        </w:tc>
        <w:tc>
          <w:tcPr>
            <w:tcW w:w="2894" w:type="dxa"/>
            <w:tcBorders>
              <w:top w:val="nil"/>
              <w:left w:val="single" w:color="000000" w:sz="4" w:space="0"/>
              <w:bottom w:val="single" w:color="000000" w:sz="4" w:space="0"/>
              <w:right w:val="single" w:color="000000" w:sz="4" w:space="0"/>
            </w:tcBorders>
            <w:shd w:val="clear" w:color="auto" w:fill="FFFFFF"/>
            <w:vAlign w:val="center"/>
          </w:tcPr>
          <w:p w14:paraId="142891B1">
            <w:pPr>
              <w:widowControl/>
              <w:jc w:val="center"/>
              <w:textAlignment w:val="center"/>
              <w:rPr>
                <w:rFonts w:ascii="宋体" w:hAnsi="宋体"/>
                <w:color w:val="000000"/>
                <w:sz w:val="24"/>
              </w:rPr>
            </w:pPr>
            <w:r>
              <w:rPr>
                <w:rFonts w:hint="eastAsia" w:ascii="宋体" w:hAnsi="宋体"/>
                <w:snapToGrid w:val="0"/>
                <w:color w:val="000000"/>
                <w:kern w:val="0"/>
                <w:sz w:val="24"/>
                <w:lang w:bidi="ar"/>
              </w:rPr>
              <w:t>336</w:t>
            </w:r>
          </w:p>
        </w:tc>
        <w:tc>
          <w:tcPr>
            <w:tcW w:w="1663" w:type="dxa"/>
            <w:tcBorders>
              <w:top w:val="nil"/>
              <w:left w:val="single" w:color="000000" w:sz="4" w:space="0"/>
              <w:bottom w:val="single" w:color="000000" w:sz="4" w:space="0"/>
              <w:right w:val="single" w:color="000000" w:sz="4" w:space="0"/>
            </w:tcBorders>
            <w:shd w:val="clear" w:color="auto" w:fill="FFFFFF"/>
            <w:vAlign w:val="center"/>
          </w:tcPr>
          <w:p w14:paraId="7FF18A2E">
            <w:pPr>
              <w:widowControl/>
              <w:jc w:val="center"/>
              <w:textAlignment w:val="center"/>
              <w:rPr>
                <w:rFonts w:ascii="宋体" w:hAnsi="宋体"/>
                <w:snapToGrid w:val="0"/>
                <w:color w:val="000000"/>
                <w:kern w:val="0"/>
                <w:sz w:val="24"/>
                <w:lang w:bidi="ar"/>
              </w:rPr>
            </w:pPr>
            <w:r>
              <w:rPr>
                <w:rFonts w:hint="eastAsia" w:ascii="宋体" w:hAnsi="宋体"/>
                <w:snapToGrid w:val="0"/>
                <w:color w:val="000000"/>
                <w:kern w:val="0"/>
                <w:sz w:val="24"/>
                <w:lang w:bidi="ar"/>
              </w:rPr>
              <w:t>1880</w:t>
            </w:r>
          </w:p>
        </w:tc>
        <w:tc>
          <w:tcPr>
            <w:tcW w:w="1663" w:type="dxa"/>
            <w:tcBorders>
              <w:top w:val="nil"/>
              <w:left w:val="single" w:color="000000" w:sz="4" w:space="0"/>
              <w:bottom w:val="single" w:color="000000" w:sz="4" w:space="0"/>
              <w:right w:val="single" w:color="000000" w:sz="4" w:space="0"/>
            </w:tcBorders>
            <w:shd w:val="clear" w:color="auto" w:fill="FFFFFF"/>
            <w:vAlign w:val="center"/>
          </w:tcPr>
          <w:p w14:paraId="2764A9A2">
            <w:pPr>
              <w:widowControl/>
              <w:jc w:val="center"/>
              <w:textAlignment w:val="center"/>
              <w:rPr>
                <w:rFonts w:ascii="宋体" w:hAnsi="宋体"/>
                <w:snapToGrid w:val="0"/>
                <w:color w:val="000000"/>
                <w:kern w:val="0"/>
                <w:sz w:val="24"/>
                <w:lang w:bidi="ar"/>
              </w:rPr>
            </w:pPr>
            <w:r>
              <w:rPr>
                <w:rFonts w:hint="eastAsia" w:ascii="宋体" w:hAnsi="宋体"/>
                <w:snapToGrid w:val="0"/>
                <w:color w:val="000000"/>
                <w:kern w:val="0"/>
                <w:sz w:val="24"/>
                <w:lang w:bidi="ar"/>
              </w:rPr>
              <w:t>631680</w:t>
            </w:r>
          </w:p>
        </w:tc>
      </w:tr>
      <w:tr w14:paraId="40BD7862">
        <w:tblPrEx>
          <w:tblCellMar>
            <w:top w:w="0" w:type="dxa"/>
            <w:left w:w="108" w:type="dxa"/>
            <w:bottom w:w="0" w:type="dxa"/>
            <w:right w:w="108" w:type="dxa"/>
          </w:tblCellMar>
        </w:tblPrEx>
        <w:trPr>
          <w:trHeight w:val="202" w:hRule="atLeast"/>
        </w:trPr>
        <w:tc>
          <w:tcPr>
            <w:tcW w:w="62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3A30D94">
            <w:pPr>
              <w:widowControl/>
              <w:jc w:val="center"/>
              <w:textAlignment w:val="center"/>
              <w:rPr>
                <w:rFonts w:ascii="宋体" w:hAnsi="宋体"/>
                <w:color w:val="000000"/>
                <w:sz w:val="24"/>
              </w:rPr>
            </w:pPr>
            <w:r>
              <w:rPr>
                <w:rFonts w:hint="eastAsia" w:ascii="宋体" w:hAnsi="宋体"/>
                <w:snapToGrid w:val="0"/>
                <w:color w:val="000000"/>
                <w:kern w:val="0"/>
                <w:sz w:val="24"/>
                <w:lang w:bidi="ar"/>
              </w:rPr>
              <w:t>6</w:t>
            </w:r>
          </w:p>
        </w:tc>
        <w:tc>
          <w:tcPr>
            <w:tcW w:w="22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0A492">
            <w:pPr>
              <w:widowControl/>
              <w:jc w:val="center"/>
              <w:textAlignment w:val="center"/>
              <w:rPr>
                <w:rFonts w:ascii="宋体" w:hAnsi="宋体"/>
                <w:color w:val="000000"/>
                <w:sz w:val="24"/>
              </w:rPr>
            </w:pPr>
            <w:r>
              <w:rPr>
                <w:rFonts w:hint="eastAsia" w:ascii="宋体" w:hAnsi="宋体"/>
                <w:snapToGrid w:val="0"/>
                <w:color w:val="000000"/>
                <w:kern w:val="0"/>
                <w:sz w:val="24"/>
                <w:lang w:bidi="ar"/>
              </w:rPr>
              <w:t>待建房屋（脚手架、围护结构）</w:t>
            </w:r>
          </w:p>
        </w:tc>
        <w:tc>
          <w:tcPr>
            <w:tcW w:w="2894" w:type="dxa"/>
            <w:tcBorders>
              <w:top w:val="nil"/>
              <w:left w:val="single" w:color="000000" w:sz="4" w:space="0"/>
              <w:bottom w:val="single" w:color="000000" w:sz="4" w:space="0"/>
              <w:right w:val="single" w:color="000000" w:sz="4" w:space="0"/>
            </w:tcBorders>
            <w:shd w:val="clear" w:color="auto" w:fill="FFFFFF"/>
            <w:vAlign w:val="center"/>
          </w:tcPr>
          <w:p w14:paraId="31C1CEB2">
            <w:pPr>
              <w:widowControl/>
              <w:jc w:val="center"/>
              <w:textAlignment w:val="center"/>
              <w:rPr>
                <w:rFonts w:ascii="宋体" w:hAnsi="宋体"/>
                <w:color w:val="000000"/>
                <w:sz w:val="24"/>
              </w:rPr>
            </w:pPr>
            <w:r>
              <w:rPr>
                <w:rFonts w:hint="eastAsia" w:ascii="宋体" w:hAnsi="宋体"/>
                <w:snapToGrid w:val="0"/>
                <w:color w:val="000000"/>
                <w:kern w:val="0"/>
                <w:sz w:val="24"/>
                <w:lang w:bidi="ar"/>
              </w:rPr>
              <w:t>153.6</w:t>
            </w:r>
          </w:p>
        </w:tc>
        <w:tc>
          <w:tcPr>
            <w:tcW w:w="1663" w:type="dxa"/>
            <w:tcBorders>
              <w:top w:val="nil"/>
              <w:left w:val="single" w:color="000000" w:sz="4" w:space="0"/>
              <w:bottom w:val="single" w:color="000000" w:sz="4" w:space="0"/>
              <w:right w:val="single" w:color="000000" w:sz="4" w:space="0"/>
            </w:tcBorders>
            <w:shd w:val="clear" w:color="auto" w:fill="FFFFFF"/>
            <w:vAlign w:val="center"/>
          </w:tcPr>
          <w:p w14:paraId="7313A7B2">
            <w:pPr>
              <w:widowControl/>
              <w:jc w:val="center"/>
              <w:textAlignment w:val="center"/>
              <w:rPr>
                <w:rFonts w:ascii="宋体" w:hAnsi="宋体"/>
                <w:snapToGrid w:val="0"/>
                <w:color w:val="000000"/>
                <w:kern w:val="0"/>
                <w:sz w:val="24"/>
                <w:lang w:bidi="ar"/>
              </w:rPr>
            </w:pPr>
            <w:r>
              <w:rPr>
                <w:rFonts w:hint="eastAsia" w:ascii="宋体" w:hAnsi="宋体"/>
                <w:snapToGrid w:val="0"/>
                <w:color w:val="000000"/>
                <w:kern w:val="0"/>
                <w:sz w:val="24"/>
                <w:lang w:bidi="ar"/>
              </w:rPr>
              <w:t>1000</w:t>
            </w:r>
          </w:p>
        </w:tc>
        <w:tc>
          <w:tcPr>
            <w:tcW w:w="1663" w:type="dxa"/>
            <w:tcBorders>
              <w:top w:val="nil"/>
              <w:left w:val="single" w:color="000000" w:sz="4" w:space="0"/>
              <w:bottom w:val="single" w:color="000000" w:sz="4" w:space="0"/>
              <w:right w:val="single" w:color="000000" w:sz="4" w:space="0"/>
            </w:tcBorders>
            <w:shd w:val="clear" w:color="auto" w:fill="FFFFFF"/>
            <w:vAlign w:val="center"/>
          </w:tcPr>
          <w:p w14:paraId="52347FCD">
            <w:pPr>
              <w:widowControl/>
              <w:jc w:val="center"/>
              <w:textAlignment w:val="center"/>
              <w:rPr>
                <w:rFonts w:ascii="宋体" w:hAnsi="宋体"/>
                <w:snapToGrid w:val="0"/>
                <w:color w:val="000000"/>
                <w:kern w:val="0"/>
                <w:sz w:val="24"/>
                <w:lang w:bidi="ar"/>
              </w:rPr>
            </w:pPr>
            <w:r>
              <w:rPr>
                <w:rFonts w:hint="eastAsia" w:ascii="宋体" w:hAnsi="宋体"/>
                <w:snapToGrid w:val="0"/>
                <w:color w:val="000000"/>
                <w:kern w:val="0"/>
                <w:sz w:val="24"/>
                <w:lang w:bidi="ar"/>
              </w:rPr>
              <w:t>153600</w:t>
            </w:r>
          </w:p>
        </w:tc>
      </w:tr>
      <w:tr w14:paraId="5E0E23AB">
        <w:tblPrEx>
          <w:tblCellMar>
            <w:top w:w="0" w:type="dxa"/>
            <w:left w:w="108" w:type="dxa"/>
            <w:bottom w:w="0" w:type="dxa"/>
            <w:right w:w="108" w:type="dxa"/>
          </w:tblCellMar>
        </w:tblPrEx>
        <w:trPr>
          <w:trHeight w:val="202" w:hRule="atLeast"/>
        </w:trPr>
        <w:tc>
          <w:tcPr>
            <w:tcW w:w="62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E63676A">
            <w:pPr>
              <w:widowControl/>
              <w:jc w:val="center"/>
              <w:textAlignment w:val="center"/>
              <w:rPr>
                <w:rFonts w:ascii="宋体" w:hAnsi="宋体"/>
                <w:color w:val="000000"/>
                <w:sz w:val="24"/>
              </w:rPr>
            </w:pPr>
            <w:r>
              <w:rPr>
                <w:rFonts w:hint="eastAsia" w:ascii="宋体" w:hAnsi="宋体"/>
                <w:snapToGrid w:val="0"/>
                <w:color w:val="000000"/>
                <w:kern w:val="0"/>
                <w:sz w:val="24"/>
                <w:lang w:bidi="ar"/>
              </w:rPr>
              <w:t>7</w:t>
            </w:r>
          </w:p>
        </w:tc>
        <w:tc>
          <w:tcPr>
            <w:tcW w:w="22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EC1BC">
            <w:pPr>
              <w:widowControl/>
              <w:jc w:val="center"/>
              <w:textAlignment w:val="center"/>
              <w:rPr>
                <w:rFonts w:ascii="宋体" w:hAnsi="宋体"/>
                <w:color w:val="000000"/>
                <w:sz w:val="24"/>
              </w:rPr>
            </w:pPr>
            <w:r>
              <w:rPr>
                <w:rFonts w:hint="eastAsia" w:ascii="宋体" w:hAnsi="宋体"/>
                <w:snapToGrid w:val="0"/>
                <w:color w:val="000000"/>
                <w:kern w:val="0"/>
                <w:sz w:val="24"/>
                <w:lang w:bidi="ar"/>
              </w:rPr>
              <w:t>院墙</w:t>
            </w:r>
          </w:p>
        </w:tc>
        <w:tc>
          <w:tcPr>
            <w:tcW w:w="2894" w:type="dxa"/>
            <w:tcBorders>
              <w:top w:val="nil"/>
              <w:left w:val="single" w:color="000000" w:sz="4" w:space="0"/>
              <w:bottom w:val="single" w:color="000000" w:sz="4" w:space="0"/>
              <w:right w:val="single" w:color="000000" w:sz="4" w:space="0"/>
            </w:tcBorders>
            <w:shd w:val="clear" w:color="auto" w:fill="FFFFFF"/>
            <w:vAlign w:val="center"/>
          </w:tcPr>
          <w:p w14:paraId="5DF7AA1F">
            <w:pPr>
              <w:widowControl/>
              <w:jc w:val="center"/>
              <w:textAlignment w:val="center"/>
              <w:rPr>
                <w:rFonts w:ascii="宋体" w:hAnsi="宋体"/>
                <w:color w:val="000000"/>
                <w:sz w:val="24"/>
              </w:rPr>
            </w:pPr>
            <w:r>
              <w:rPr>
                <w:rFonts w:hint="eastAsia" w:ascii="宋体" w:hAnsi="宋体"/>
                <w:snapToGrid w:val="0"/>
                <w:color w:val="000000"/>
                <w:kern w:val="0"/>
                <w:sz w:val="24"/>
                <w:lang w:bidi="ar"/>
              </w:rPr>
              <w:t>76.8</w:t>
            </w:r>
          </w:p>
        </w:tc>
        <w:tc>
          <w:tcPr>
            <w:tcW w:w="1663" w:type="dxa"/>
            <w:tcBorders>
              <w:top w:val="nil"/>
              <w:left w:val="single" w:color="000000" w:sz="4" w:space="0"/>
              <w:bottom w:val="single" w:color="000000" w:sz="4" w:space="0"/>
              <w:right w:val="single" w:color="000000" w:sz="4" w:space="0"/>
            </w:tcBorders>
            <w:shd w:val="clear" w:color="auto" w:fill="FFFFFF"/>
            <w:vAlign w:val="center"/>
          </w:tcPr>
          <w:p w14:paraId="19D15844">
            <w:pPr>
              <w:widowControl/>
              <w:jc w:val="center"/>
              <w:textAlignment w:val="center"/>
              <w:rPr>
                <w:rFonts w:ascii="宋体" w:hAnsi="宋体"/>
                <w:snapToGrid w:val="0"/>
                <w:color w:val="000000"/>
                <w:kern w:val="0"/>
                <w:sz w:val="24"/>
                <w:lang w:bidi="ar"/>
              </w:rPr>
            </w:pPr>
            <w:r>
              <w:rPr>
                <w:rFonts w:hint="eastAsia" w:ascii="宋体" w:hAnsi="宋体"/>
                <w:snapToGrid w:val="0"/>
                <w:color w:val="000000"/>
                <w:kern w:val="0"/>
                <w:sz w:val="24"/>
                <w:lang w:bidi="ar"/>
              </w:rPr>
              <w:t>1000</w:t>
            </w:r>
          </w:p>
        </w:tc>
        <w:tc>
          <w:tcPr>
            <w:tcW w:w="1663" w:type="dxa"/>
            <w:tcBorders>
              <w:top w:val="nil"/>
              <w:left w:val="single" w:color="000000" w:sz="4" w:space="0"/>
              <w:bottom w:val="single" w:color="000000" w:sz="4" w:space="0"/>
              <w:right w:val="single" w:color="000000" w:sz="4" w:space="0"/>
            </w:tcBorders>
            <w:shd w:val="clear" w:color="auto" w:fill="FFFFFF"/>
            <w:vAlign w:val="center"/>
          </w:tcPr>
          <w:p w14:paraId="02E7424F">
            <w:pPr>
              <w:widowControl/>
              <w:jc w:val="center"/>
              <w:textAlignment w:val="center"/>
              <w:rPr>
                <w:rFonts w:ascii="宋体" w:hAnsi="宋体"/>
                <w:snapToGrid w:val="0"/>
                <w:color w:val="000000"/>
                <w:kern w:val="0"/>
                <w:sz w:val="24"/>
                <w:lang w:bidi="ar"/>
              </w:rPr>
            </w:pPr>
            <w:r>
              <w:rPr>
                <w:rFonts w:hint="eastAsia" w:ascii="宋体" w:hAnsi="宋体"/>
                <w:snapToGrid w:val="0"/>
                <w:color w:val="000000"/>
                <w:kern w:val="0"/>
                <w:sz w:val="24"/>
                <w:lang w:bidi="ar"/>
              </w:rPr>
              <w:t>76800</w:t>
            </w:r>
          </w:p>
        </w:tc>
      </w:tr>
      <w:tr w14:paraId="4075AF2B">
        <w:tblPrEx>
          <w:tblCellMar>
            <w:top w:w="0" w:type="dxa"/>
            <w:left w:w="108" w:type="dxa"/>
            <w:bottom w:w="0" w:type="dxa"/>
            <w:right w:w="108" w:type="dxa"/>
          </w:tblCellMar>
        </w:tblPrEx>
        <w:trPr>
          <w:trHeight w:val="202" w:hRule="atLeast"/>
        </w:trPr>
        <w:tc>
          <w:tcPr>
            <w:tcW w:w="62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EAB8A20">
            <w:pPr>
              <w:widowControl/>
              <w:jc w:val="center"/>
              <w:textAlignment w:val="center"/>
              <w:rPr>
                <w:rFonts w:ascii="宋体" w:hAnsi="宋体"/>
                <w:color w:val="000000"/>
                <w:sz w:val="24"/>
              </w:rPr>
            </w:pPr>
            <w:r>
              <w:rPr>
                <w:rFonts w:hint="eastAsia" w:ascii="宋体" w:hAnsi="宋体"/>
                <w:snapToGrid w:val="0"/>
                <w:color w:val="000000"/>
                <w:kern w:val="0"/>
                <w:sz w:val="24"/>
                <w:lang w:bidi="ar"/>
              </w:rPr>
              <w:t>8</w:t>
            </w:r>
          </w:p>
        </w:tc>
        <w:tc>
          <w:tcPr>
            <w:tcW w:w="22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29431">
            <w:pPr>
              <w:widowControl/>
              <w:jc w:val="center"/>
              <w:textAlignment w:val="center"/>
              <w:rPr>
                <w:rFonts w:ascii="宋体" w:hAnsi="宋体"/>
                <w:color w:val="000000"/>
                <w:sz w:val="24"/>
              </w:rPr>
            </w:pPr>
            <w:r>
              <w:rPr>
                <w:rFonts w:hint="eastAsia" w:ascii="宋体" w:hAnsi="宋体"/>
                <w:snapToGrid w:val="0"/>
                <w:color w:val="000000"/>
                <w:kern w:val="0"/>
                <w:sz w:val="24"/>
                <w:lang w:bidi="ar"/>
              </w:rPr>
              <w:t>钢架结构</w:t>
            </w:r>
          </w:p>
        </w:tc>
        <w:tc>
          <w:tcPr>
            <w:tcW w:w="2894" w:type="dxa"/>
            <w:tcBorders>
              <w:top w:val="nil"/>
              <w:left w:val="single" w:color="000000" w:sz="4" w:space="0"/>
              <w:bottom w:val="single" w:color="000000" w:sz="4" w:space="0"/>
              <w:right w:val="single" w:color="000000" w:sz="4" w:space="0"/>
            </w:tcBorders>
            <w:shd w:val="clear" w:color="auto" w:fill="FFFFFF"/>
            <w:vAlign w:val="center"/>
          </w:tcPr>
          <w:p w14:paraId="15BA28F9">
            <w:pPr>
              <w:widowControl/>
              <w:jc w:val="center"/>
              <w:textAlignment w:val="center"/>
              <w:rPr>
                <w:rFonts w:ascii="宋体" w:hAnsi="宋体"/>
                <w:color w:val="000000"/>
                <w:sz w:val="24"/>
              </w:rPr>
            </w:pPr>
            <w:r>
              <w:rPr>
                <w:rFonts w:hint="eastAsia" w:ascii="宋体" w:hAnsi="宋体"/>
                <w:snapToGrid w:val="0"/>
                <w:color w:val="000000"/>
                <w:kern w:val="0"/>
                <w:sz w:val="24"/>
                <w:lang w:bidi="ar"/>
              </w:rPr>
              <w:t>144</w:t>
            </w:r>
          </w:p>
        </w:tc>
        <w:tc>
          <w:tcPr>
            <w:tcW w:w="1663" w:type="dxa"/>
            <w:tcBorders>
              <w:top w:val="nil"/>
              <w:left w:val="single" w:color="000000" w:sz="4" w:space="0"/>
              <w:bottom w:val="single" w:color="000000" w:sz="4" w:space="0"/>
              <w:right w:val="single" w:color="000000" w:sz="4" w:space="0"/>
            </w:tcBorders>
            <w:shd w:val="clear" w:color="auto" w:fill="FFFFFF"/>
            <w:vAlign w:val="center"/>
          </w:tcPr>
          <w:p w14:paraId="178B8739">
            <w:pPr>
              <w:widowControl/>
              <w:jc w:val="center"/>
              <w:textAlignment w:val="center"/>
              <w:rPr>
                <w:rFonts w:ascii="宋体" w:hAnsi="宋体"/>
                <w:snapToGrid w:val="0"/>
                <w:color w:val="000000"/>
                <w:kern w:val="0"/>
                <w:sz w:val="24"/>
                <w:lang w:bidi="ar"/>
              </w:rPr>
            </w:pPr>
            <w:r>
              <w:rPr>
                <w:rFonts w:hint="eastAsia" w:ascii="宋体" w:hAnsi="宋体"/>
                <w:snapToGrid w:val="0"/>
                <w:color w:val="000000"/>
                <w:kern w:val="0"/>
                <w:sz w:val="24"/>
                <w:lang w:bidi="ar"/>
              </w:rPr>
              <w:t>1400</w:t>
            </w:r>
          </w:p>
        </w:tc>
        <w:tc>
          <w:tcPr>
            <w:tcW w:w="1663" w:type="dxa"/>
            <w:tcBorders>
              <w:top w:val="nil"/>
              <w:left w:val="single" w:color="000000" w:sz="4" w:space="0"/>
              <w:bottom w:val="single" w:color="000000" w:sz="4" w:space="0"/>
              <w:right w:val="single" w:color="000000" w:sz="4" w:space="0"/>
            </w:tcBorders>
            <w:shd w:val="clear" w:color="auto" w:fill="FFFFFF"/>
            <w:vAlign w:val="center"/>
          </w:tcPr>
          <w:p w14:paraId="754774B8">
            <w:pPr>
              <w:widowControl/>
              <w:jc w:val="center"/>
              <w:textAlignment w:val="center"/>
              <w:rPr>
                <w:rFonts w:ascii="宋体" w:hAnsi="宋体"/>
                <w:snapToGrid w:val="0"/>
                <w:color w:val="000000"/>
                <w:kern w:val="0"/>
                <w:sz w:val="24"/>
                <w:lang w:bidi="ar"/>
              </w:rPr>
            </w:pPr>
            <w:r>
              <w:rPr>
                <w:rFonts w:hint="eastAsia" w:ascii="宋体" w:hAnsi="宋体"/>
                <w:snapToGrid w:val="0"/>
                <w:color w:val="000000"/>
                <w:kern w:val="0"/>
                <w:sz w:val="24"/>
                <w:lang w:bidi="ar"/>
              </w:rPr>
              <w:t>201600</w:t>
            </w:r>
          </w:p>
        </w:tc>
      </w:tr>
      <w:tr w14:paraId="31FD345A">
        <w:tblPrEx>
          <w:tblCellMar>
            <w:top w:w="0" w:type="dxa"/>
            <w:left w:w="108" w:type="dxa"/>
            <w:bottom w:w="0" w:type="dxa"/>
            <w:right w:w="108" w:type="dxa"/>
          </w:tblCellMar>
        </w:tblPrEx>
        <w:trPr>
          <w:trHeight w:val="202" w:hRule="atLeast"/>
        </w:trPr>
        <w:tc>
          <w:tcPr>
            <w:tcW w:w="62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1AC10B9">
            <w:pPr>
              <w:widowControl/>
              <w:jc w:val="center"/>
              <w:textAlignment w:val="center"/>
              <w:rPr>
                <w:rFonts w:ascii="宋体" w:hAnsi="宋体"/>
                <w:snapToGrid w:val="0"/>
                <w:color w:val="000000"/>
                <w:kern w:val="0"/>
                <w:sz w:val="24"/>
              </w:rPr>
            </w:pPr>
            <w:r>
              <w:rPr>
                <w:rFonts w:hint="eastAsia" w:ascii="宋体" w:hAnsi="宋体"/>
                <w:snapToGrid w:val="0"/>
                <w:color w:val="000000"/>
                <w:kern w:val="0"/>
                <w:sz w:val="24"/>
                <w:lang w:bidi="ar"/>
              </w:rPr>
              <w:t>9</w:t>
            </w:r>
          </w:p>
        </w:tc>
        <w:tc>
          <w:tcPr>
            <w:tcW w:w="22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0AF9C">
            <w:pPr>
              <w:widowControl/>
              <w:jc w:val="center"/>
              <w:textAlignment w:val="center"/>
              <w:rPr>
                <w:rFonts w:ascii="宋体" w:hAnsi="宋体"/>
                <w:snapToGrid w:val="0"/>
                <w:color w:val="000000"/>
                <w:kern w:val="0"/>
                <w:sz w:val="24"/>
              </w:rPr>
            </w:pPr>
            <w:r>
              <w:rPr>
                <w:rFonts w:hint="eastAsia" w:ascii="宋体" w:hAnsi="宋体"/>
                <w:snapToGrid w:val="0"/>
                <w:color w:val="000000"/>
                <w:kern w:val="0"/>
                <w:sz w:val="24"/>
                <w:lang w:bidi="ar"/>
              </w:rPr>
              <w:t>混凝土地坪</w:t>
            </w:r>
          </w:p>
        </w:tc>
        <w:tc>
          <w:tcPr>
            <w:tcW w:w="2894" w:type="dxa"/>
            <w:tcBorders>
              <w:top w:val="nil"/>
              <w:left w:val="single" w:color="000000" w:sz="4" w:space="0"/>
              <w:bottom w:val="single" w:color="000000" w:sz="4" w:space="0"/>
              <w:right w:val="single" w:color="000000" w:sz="4" w:space="0"/>
            </w:tcBorders>
            <w:shd w:val="clear" w:color="auto" w:fill="FFFFFF"/>
            <w:vAlign w:val="center"/>
          </w:tcPr>
          <w:p w14:paraId="57946663">
            <w:pPr>
              <w:widowControl/>
              <w:jc w:val="center"/>
              <w:textAlignment w:val="center"/>
              <w:rPr>
                <w:rFonts w:ascii="宋体" w:hAnsi="宋体"/>
                <w:snapToGrid w:val="0"/>
                <w:color w:val="000000"/>
                <w:kern w:val="0"/>
                <w:sz w:val="24"/>
              </w:rPr>
            </w:pPr>
            <w:r>
              <w:rPr>
                <w:rFonts w:hint="eastAsia" w:ascii="宋体" w:hAnsi="宋体"/>
                <w:snapToGrid w:val="0"/>
                <w:color w:val="000000"/>
                <w:kern w:val="0"/>
                <w:sz w:val="24"/>
                <w:lang w:bidi="ar"/>
              </w:rPr>
              <w:t>115.2</w:t>
            </w:r>
          </w:p>
        </w:tc>
        <w:tc>
          <w:tcPr>
            <w:tcW w:w="1663" w:type="dxa"/>
            <w:tcBorders>
              <w:top w:val="nil"/>
              <w:left w:val="single" w:color="000000" w:sz="4" w:space="0"/>
              <w:bottom w:val="single" w:color="000000" w:sz="4" w:space="0"/>
              <w:right w:val="single" w:color="000000" w:sz="4" w:space="0"/>
            </w:tcBorders>
            <w:shd w:val="clear" w:color="auto" w:fill="FFFFFF"/>
            <w:vAlign w:val="center"/>
          </w:tcPr>
          <w:p w14:paraId="3420EC7E">
            <w:pPr>
              <w:widowControl/>
              <w:jc w:val="center"/>
              <w:textAlignment w:val="center"/>
              <w:rPr>
                <w:rFonts w:ascii="宋体" w:hAnsi="宋体"/>
                <w:snapToGrid w:val="0"/>
                <w:color w:val="000000"/>
                <w:kern w:val="0"/>
                <w:sz w:val="24"/>
                <w:lang w:bidi="ar"/>
              </w:rPr>
            </w:pPr>
            <w:r>
              <w:rPr>
                <w:rFonts w:hint="eastAsia" w:ascii="宋体" w:hAnsi="宋体"/>
                <w:snapToGrid w:val="0"/>
                <w:color w:val="000000"/>
                <w:kern w:val="0"/>
                <w:sz w:val="24"/>
                <w:lang w:bidi="ar"/>
              </w:rPr>
              <w:t>500</w:t>
            </w:r>
          </w:p>
        </w:tc>
        <w:tc>
          <w:tcPr>
            <w:tcW w:w="1663" w:type="dxa"/>
            <w:tcBorders>
              <w:top w:val="nil"/>
              <w:left w:val="single" w:color="000000" w:sz="4" w:space="0"/>
              <w:bottom w:val="single" w:color="000000" w:sz="4" w:space="0"/>
              <w:right w:val="single" w:color="000000" w:sz="4" w:space="0"/>
            </w:tcBorders>
            <w:shd w:val="clear" w:color="auto" w:fill="FFFFFF"/>
            <w:vAlign w:val="center"/>
          </w:tcPr>
          <w:p w14:paraId="2E8E5454">
            <w:pPr>
              <w:widowControl/>
              <w:jc w:val="center"/>
              <w:textAlignment w:val="center"/>
              <w:rPr>
                <w:rFonts w:ascii="宋体" w:hAnsi="宋体"/>
                <w:snapToGrid w:val="0"/>
                <w:color w:val="000000"/>
                <w:kern w:val="0"/>
                <w:sz w:val="24"/>
                <w:lang w:bidi="ar"/>
              </w:rPr>
            </w:pPr>
            <w:r>
              <w:rPr>
                <w:rFonts w:hint="eastAsia" w:ascii="宋体" w:hAnsi="宋体"/>
                <w:snapToGrid w:val="0"/>
                <w:color w:val="000000"/>
                <w:kern w:val="0"/>
                <w:sz w:val="24"/>
                <w:lang w:bidi="ar"/>
              </w:rPr>
              <w:t>57600</w:t>
            </w:r>
          </w:p>
        </w:tc>
      </w:tr>
      <w:tr w14:paraId="5E7B677E">
        <w:tblPrEx>
          <w:tblCellMar>
            <w:top w:w="0" w:type="dxa"/>
            <w:left w:w="108" w:type="dxa"/>
            <w:bottom w:w="0" w:type="dxa"/>
            <w:right w:w="108" w:type="dxa"/>
          </w:tblCellMar>
        </w:tblPrEx>
        <w:trPr>
          <w:trHeight w:val="204" w:hRule="atLeast"/>
        </w:trPr>
        <w:tc>
          <w:tcPr>
            <w:tcW w:w="2917" w:type="dxa"/>
            <w:gridSpan w:val="2"/>
            <w:vMerge w:val="restart"/>
            <w:tcBorders>
              <w:top w:val="single" w:color="000000" w:sz="4" w:space="0"/>
              <w:left w:val="single" w:color="000000" w:sz="8" w:space="0"/>
              <w:right w:val="single" w:color="000000" w:sz="4" w:space="0"/>
            </w:tcBorders>
            <w:shd w:val="clear" w:color="auto" w:fill="FFFFFF"/>
            <w:vAlign w:val="center"/>
          </w:tcPr>
          <w:p w14:paraId="1B67B3A8">
            <w:pPr>
              <w:widowControl/>
              <w:jc w:val="center"/>
              <w:textAlignment w:val="center"/>
              <w:rPr>
                <w:rFonts w:ascii="宋体" w:hAnsi="宋体"/>
                <w:color w:val="000000"/>
                <w:sz w:val="24"/>
              </w:rPr>
            </w:pPr>
            <w:r>
              <w:rPr>
                <w:rFonts w:hint="eastAsia" w:ascii="宋体" w:hAnsi="宋体"/>
                <w:color w:val="000000"/>
                <w:sz w:val="24"/>
              </w:rPr>
              <w:t>总计</w:t>
            </w:r>
          </w:p>
        </w:tc>
        <w:tc>
          <w:tcPr>
            <w:tcW w:w="2894" w:type="dxa"/>
            <w:tcBorders>
              <w:top w:val="nil"/>
              <w:left w:val="single" w:color="000000" w:sz="4" w:space="0"/>
              <w:bottom w:val="nil"/>
              <w:right w:val="single" w:color="000000" w:sz="4" w:space="0"/>
            </w:tcBorders>
            <w:shd w:val="clear" w:color="auto" w:fill="FFFFFF"/>
            <w:vAlign w:val="center"/>
          </w:tcPr>
          <w:p w14:paraId="066A0687">
            <w:pPr>
              <w:jc w:val="center"/>
              <w:rPr>
                <w:rFonts w:ascii="宋体" w:hAnsi="宋体"/>
                <w:color w:val="000000"/>
                <w:sz w:val="24"/>
              </w:rPr>
            </w:pPr>
          </w:p>
        </w:tc>
        <w:tc>
          <w:tcPr>
            <w:tcW w:w="1663" w:type="dxa"/>
            <w:tcBorders>
              <w:top w:val="nil"/>
              <w:left w:val="single" w:color="000000" w:sz="4" w:space="0"/>
              <w:bottom w:val="nil"/>
              <w:right w:val="single" w:color="000000" w:sz="4" w:space="0"/>
            </w:tcBorders>
            <w:shd w:val="clear" w:color="auto" w:fill="FFFFFF"/>
            <w:vAlign w:val="center"/>
          </w:tcPr>
          <w:p w14:paraId="669F5F27">
            <w:pPr>
              <w:widowControl/>
              <w:jc w:val="center"/>
              <w:textAlignment w:val="center"/>
              <w:rPr>
                <w:rFonts w:ascii="宋体" w:hAnsi="宋体"/>
                <w:snapToGrid w:val="0"/>
                <w:color w:val="000000"/>
                <w:kern w:val="0"/>
                <w:sz w:val="24"/>
                <w:lang w:bidi="ar"/>
              </w:rPr>
            </w:pPr>
            <w:r>
              <w:rPr>
                <w:rFonts w:hint="eastAsia" w:ascii="宋体" w:hAnsi="宋体"/>
                <w:snapToGrid w:val="0"/>
                <w:color w:val="000000"/>
                <w:kern w:val="0"/>
                <w:sz w:val="24"/>
                <w:lang w:bidi="ar"/>
              </w:rPr>
              <w:t>9840</w:t>
            </w:r>
          </w:p>
        </w:tc>
        <w:tc>
          <w:tcPr>
            <w:tcW w:w="1663" w:type="dxa"/>
            <w:tcBorders>
              <w:top w:val="nil"/>
              <w:left w:val="single" w:color="000000" w:sz="4" w:space="0"/>
              <w:bottom w:val="nil"/>
              <w:right w:val="single" w:color="000000" w:sz="4" w:space="0"/>
            </w:tcBorders>
            <w:shd w:val="clear" w:color="auto" w:fill="FFFFFF"/>
            <w:vAlign w:val="center"/>
          </w:tcPr>
          <w:p w14:paraId="41AAF1DB">
            <w:pPr>
              <w:widowControl/>
              <w:jc w:val="center"/>
              <w:textAlignment w:val="center"/>
              <w:rPr>
                <w:rFonts w:ascii="宋体" w:hAnsi="宋体"/>
                <w:snapToGrid w:val="0"/>
                <w:color w:val="000000"/>
                <w:kern w:val="0"/>
                <w:sz w:val="24"/>
                <w:lang w:bidi="ar"/>
              </w:rPr>
            </w:pPr>
            <w:r>
              <w:rPr>
                <w:rFonts w:hint="eastAsia" w:ascii="宋体" w:hAnsi="宋体"/>
                <w:snapToGrid w:val="0"/>
                <w:color w:val="000000"/>
                <w:kern w:val="0"/>
                <w:sz w:val="24"/>
                <w:lang w:bidi="ar"/>
              </w:rPr>
              <w:t>1920000</w:t>
            </w:r>
          </w:p>
        </w:tc>
      </w:tr>
      <w:tr w14:paraId="51638318">
        <w:tblPrEx>
          <w:tblCellMar>
            <w:top w:w="0" w:type="dxa"/>
            <w:left w:w="108" w:type="dxa"/>
            <w:bottom w:w="0" w:type="dxa"/>
            <w:right w:w="108" w:type="dxa"/>
          </w:tblCellMar>
        </w:tblPrEx>
        <w:trPr>
          <w:trHeight w:val="204" w:hRule="atLeast"/>
        </w:trPr>
        <w:tc>
          <w:tcPr>
            <w:tcW w:w="2917" w:type="dxa"/>
            <w:gridSpan w:val="2"/>
            <w:vMerge w:val="continue"/>
            <w:tcBorders>
              <w:left w:val="single" w:color="000000" w:sz="8" w:space="0"/>
              <w:bottom w:val="single" w:color="000000" w:sz="4" w:space="0"/>
              <w:right w:val="single" w:color="000000" w:sz="4" w:space="0"/>
            </w:tcBorders>
            <w:shd w:val="clear" w:color="auto" w:fill="FFFFFF"/>
            <w:vAlign w:val="center"/>
          </w:tcPr>
          <w:p w14:paraId="62CDAF76">
            <w:pPr>
              <w:widowControl/>
              <w:jc w:val="center"/>
              <w:textAlignment w:val="center"/>
              <w:rPr>
                <w:rFonts w:ascii="宋体" w:hAnsi="宋体"/>
                <w:snapToGrid w:val="0"/>
                <w:color w:val="000000"/>
                <w:kern w:val="0"/>
                <w:sz w:val="24"/>
                <w:lang w:bidi="ar"/>
              </w:rPr>
            </w:pPr>
          </w:p>
        </w:tc>
        <w:tc>
          <w:tcPr>
            <w:tcW w:w="2894" w:type="dxa"/>
            <w:tcBorders>
              <w:top w:val="nil"/>
              <w:left w:val="single" w:color="000000" w:sz="4" w:space="0"/>
              <w:bottom w:val="single" w:color="000000" w:sz="4" w:space="0"/>
              <w:right w:val="single" w:color="000000" w:sz="4" w:space="0"/>
            </w:tcBorders>
            <w:shd w:val="clear" w:color="auto" w:fill="FFFFFF"/>
            <w:vAlign w:val="center"/>
          </w:tcPr>
          <w:p w14:paraId="13BB06A4">
            <w:pPr>
              <w:widowControl/>
              <w:jc w:val="center"/>
              <w:textAlignment w:val="center"/>
              <w:rPr>
                <w:rFonts w:ascii="宋体" w:hAnsi="宋体"/>
                <w:snapToGrid w:val="0"/>
                <w:color w:val="000000"/>
                <w:kern w:val="0"/>
                <w:sz w:val="24"/>
                <w:lang w:bidi="ar"/>
              </w:rPr>
            </w:pPr>
          </w:p>
        </w:tc>
        <w:tc>
          <w:tcPr>
            <w:tcW w:w="1663" w:type="dxa"/>
            <w:tcBorders>
              <w:top w:val="nil"/>
              <w:left w:val="single" w:color="000000" w:sz="4" w:space="0"/>
              <w:bottom w:val="single" w:color="000000" w:sz="4" w:space="0"/>
              <w:right w:val="single" w:color="000000" w:sz="4" w:space="0"/>
            </w:tcBorders>
            <w:shd w:val="clear" w:color="auto" w:fill="FFFFFF"/>
            <w:vAlign w:val="center"/>
          </w:tcPr>
          <w:p w14:paraId="45773E29">
            <w:pPr>
              <w:widowControl/>
              <w:jc w:val="center"/>
              <w:textAlignment w:val="center"/>
              <w:rPr>
                <w:rFonts w:ascii="宋体" w:hAnsi="宋体"/>
                <w:snapToGrid w:val="0"/>
                <w:color w:val="000000"/>
                <w:kern w:val="0"/>
                <w:sz w:val="24"/>
                <w:lang w:bidi="ar"/>
              </w:rPr>
            </w:pPr>
          </w:p>
        </w:tc>
        <w:tc>
          <w:tcPr>
            <w:tcW w:w="1663" w:type="dxa"/>
            <w:tcBorders>
              <w:top w:val="nil"/>
              <w:left w:val="single" w:color="000000" w:sz="4" w:space="0"/>
              <w:bottom w:val="single" w:color="000000" w:sz="4" w:space="0"/>
              <w:right w:val="single" w:color="000000" w:sz="4" w:space="0"/>
            </w:tcBorders>
            <w:shd w:val="clear" w:color="auto" w:fill="FFFFFF"/>
            <w:vAlign w:val="center"/>
          </w:tcPr>
          <w:p w14:paraId="5B2F087C">
            <w:pPr>
              <w:widowControl/>
              <w:jc w:val="center"/>
              <w:textAlignment w:val="center"/>
              <w:rPr>
                <w:rFonts w:ascii="宋体" w:hAnsi="宋体"/>
                <w:snapToGrid w:val="0"/>
                <w:color w:val="000000"/>
                <w:kern w:val="0"/>
                <w:sz w:val="24"/>
                <w:lang w:bidi="ar"/>
              </w:rPr>
            </w:pPr>
          </w:p>
        </w:tc>
      </w:tr>
    </w:tbl>
    <w:p w14:paraId="4BBCEFC2">
      <w:pPr>
        <w:widowControl/>
        <w:kinsoku w:val="0"/>
        <w:autoSpaceDE w:val="0"/>
        <w:autoSpaceDN w:val="0"/>
        <w:adjustRightInd w:val="0"/>
        <w:snapToGrid w:val="0"/>
        <w:spacing w:before="1"/>
        <w:textAlignment w:val="baseline"/>
        <w:rPr>
          <w:rFonts w:ascii="宋体" w:hAnsi="宋体"/>
          <w:color w:val="000000" w:themeColor="text1"/>
          <w:spacing w:val="-1"/>
          <w:sz w:val="24"/>
          <w14:textOutline w14:w="4356" w14:cap="sq" w14:cmpd="sng" w14:algn="ctr">
            <w14:solidFill>
              <w14:srgbClr w14:val="000000"/>
            </w14:solidFill>
            <w14:prstDash w14:val="solid"/>
            <w14:bevel/>
          </w14:textOutline>
          <w14:textFill>
            <w14:solidFill>
              <w14:schemeClr w14:val="tx1"/>
            </w14:solidFill>
          </w14:textFill>
        </w:rPr>
      </w:pPr>
    </w:p>
    <w:p w14:paraId="20D14786">
      <w:pPr>
        <w:widowControl/>
        <w:kinsoku w:val="0"/>
        <w:autoSpaceDE w:val="0"/>
        <w:autoSpaceDN w:val="0"/>
        <w:adjustRightInd w:val="0"/>
        <w:snapToGrid w:val="0"/>
        <w:spacing w:before="1"/>
        <w:textAlignment w:val="baseline"/>
        <w:rPr>
          <w:rFonts w:ascii="宋体" w:hAnsi="宋体"/>
          <w:color w:val="000000" w:themeColor="text1"/>
          <w:spacing w:val="-1"/>
          <w:sz w:val="24"/>
          <w14:textOutline w14:w="4356" w14:cap="sq" w14:cmpd="sng" w14:algn="ctr">
            <w14:solidFill>
              <w14:srgbClr w14:val="000000"/>
            </w14:solidFill>
            <w14:prstDash w14:val="solid"/>
            <w14:bevel/>
          </w14:textOutline>
          <w14:textFill>
            <w14:solidFill>
              <w14:schemeClr w14:val="tx1"/>
            </w14:solidFill>
          </w14:textFill>
        </w:rPr>
      </w:pPr>
    </w:p>
    <w:p w14:paraId="6FEC7055">
      <w:pPr>
        <w:pStyle w:val="2"/>
        <w:jc w:val="center"/>
        <w:rPr>
          <w:b/>
          <w:bCs/>
          <w:lang w:eastAsia="zh-CN"/>
        </w:rPr>
      </w:pPr>
    </w:p>
    <w:p w14:paraId="5F9E0B7C">
      <w:pPr>
        <w:pStyle w:val="2"/>
        <w:jc w:val="center"/>
        <w:rPr>
          <w:b/>
          <w:bCs/>
          <w:lang w:eastAsia="zh-CN"/>
        </w:rPr>
      </w:pPr>
      <w:r>
        <w:rPr>
          <w:rFonts w:hint="eastAsia"/>
          <w:b/>
          <w:bCs/>
          <w:lang w:eastAsia="zh-CN"/>
        </w:rPr>
        <w:t>三、评标部分</w:t>
      </w:r>
    </w:p>
    <w:p w14:paraId="7D07BD88">
      <w:pPr>
        <w:spacing w:before="323" w:line="185" w:lineRule="auto"/>
        <w:jc w:val="center"/>
        <w:outlineLvl w:val="0"/>
        <w:rPr>
          <w:color w:val="000000" w:themeColor="text1"/>
          <w14:textFill>
            <w14:solidFill>
              <w14:schemeClr w14:val="tx1"/>
            </w14:solidFill>
          </w14:textFill>
        </w:rPr>
      </w:pPr>
      <w:r>
        <w:rPr>
          <w:rFonts w:ascii="宋体" w:hAnsi="宋体"/>
          <w:color w:val="000000" w:themeColor="text1"/>
          <w:spacing w:val="-1"/>
          <w:sz w:val="30"/>
          <w:szCs w:val="30"/>
          <w14:textOutline w14:w="5448" w14:cap="sq" w14:cmpd="sng" w14:algn="ctr">
            <w14:solidFill>
              <w14:srgbClr w14:val="000000"/>
            </w14:solidFill>
            <w14:prstDash w14:val="solid"/>
            <w14:bevel/>
          </w14:textOutline>
          <w14:textFill>
            <w14:solidFill>
              <w14:schemeClr w14:val="tx1"/>
            </w14:solidFill>
          </w14:textFill>
        </w:rPr>
        <w:t>详细评审</w:t>
      </w:r>
    </w:p>
    <w:tbl>
      <w:tblPr>
        <w:tblStyle w:val="17"/>
        <w:tblW w:w="5327" w:type="pct"/>
        <w:tblInd w:w="-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27"/>
        <w:gridCol w:w="925"/>
        <w:gridCol w:w="5934"/>
        <w:gridCol w:w="1070"/>
      </w:tblGrid>
      <w:tr w14:paraId="32325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524" w:type="pct"/>
            <w:vAlign w:val="center"/>
          </w:tcPr>
          <w:p w14:paraId="4A3E1B84">
            <w:pPr>
              <w:pStyle w:val="16"/>
              <w:widowControl/>
              <w:kinsoku w:val="0"/>
              <w:autoSpaceDE w:val="0"/>
              <w:autoSpaceDN w:val="0"/>
              <w:adjustRightInd w:val="0"/>
              <w:snapToGrid w:val="0"/>
              <w:spacing w:before="36" w:line="260" w:lineRule="exact"/>
              <w:ind w:left="114"/>
              <w:jc w:val="center"/>
              <w:textAlignment w:val="baseline"/>
              <w:rPr>
                <w:spacing w:val="-2"/>
                <w:sz w:val="22"/>
                <w:szCs w:val="22"/>
              </w:rPr>
            </w:pPr>
            <w:r>
              <w:rPr>
                <w:spacing w:val="-2"/>
                <w:sz w:val="22"/>
                <w:szCs w:val="22"/>
              </w:rPr>
              <w:t>评标</w:t>
            </w:r>
          </w:p>
          <w:p w14:paraId="2FC68BBA">
            <w:pPr>
              <w:pStyle w:val="16"/>
              <w:widowControl/>
              <w:kinsoku w:val="0"/>
              <w:autoSpaceDE w:val="0"/>
              <w:autoSpaceDN w:val="0"/>
              <w:adjustRightInd w:val="0"/>
              <w:snapToGrid w:val="0"/>
              <w:spacing w:before="36" w:line="260" w:lineRule="exact"/>
              <w:ind w:left="114"/>
              <w:jc w:val="center"/>
              <w:textAlignment w:val="baseline"/>
              <w:rPr>
                <w:sz w:val="22"/>
                <w:szCs w:val="22"/>
              </w:rPr>
            </w:pPr>
            <w:r>
              <w:rPr>
                <w:spacing w:val="-2"/>
                <w:sz w:val="22"/>
                <w:szCs w:val="22"/>
              </w:rPr>
              <w:t>项目</w:t>
            </w:r>
          </w:p>
        </w:tc>
        <w:tc>
          <w:tcPr>
            <w:tcW w:w="522" w:type="pct"/>
            <w:vAlign w:val="center"/>
          </w:tcPr>
          <w:p w14:paraId="280B0F00">
            <w:pPr>
              <w:pStyle w:val="16"/>
              <w:widowControl/>
              <w:kinsoku w:val="0"/>
              <w:autoSpaceDE w:val="0"/>
              <w:autoSpaceDN w:val="0"/>
              <w:adjustRightInd w:val="0"/>
              <w:snapToGrid w:val="0"/>
              <w:spacing w:before="36" w:line="260" w:lineRule="exact"/>
              <w:ind w:left="170"/>
              <w:textAlignment w:val="baseline"/>
              <w:rPr>
                <w:sz w:val="22"/>
                <w:szCs w:val="22"/>
              </w:rPr>
            </w:pPr>
            <w:r>
              <w:rPr>
                <w:spacing w:val="-2"/>
                <w:sz w:val="22"/>
                <w:szCs w:val="22"/>
              </w:rPr>
              <w:t>评标分项</w:t>
            </w:r>
          </w:p>
        </w:tc>
        <w:tc>
          <w:tcPr>
            <w:tcW w:w="3349" w:type="pct"/>
            <w:vAlign w:val="center"/>
          </w:tcPr>
          <w:p w14:paraId="28E49543">
            <w:pPr>
              <w:pStyle w:val="16"/>
              <w:widowControl/>
              <w:kinsoku w:val="0"/>
              <w:autoSpaceDE w:val="0"/>
              <w:autoSpaceDN w:val="0"/>
              <w:adjustRightInd w:val="0"/>
              <w:snapToGrid w:val="0"/>
              <w:spacing w:before="36" w:line="260" w:lineRule="exact"/>
              <w:jc w:val="center"/>
              <w:textAlignment w:val="baseline"/>
              <w:rPr>
                <w:sz w:val="22"/>
                <w:szCs w:val="22"/>
              </w:rPr>
            </w:pPr>
            <w:r>
              <w:rPr>
                <w:spacing w:val="-1"/>
                <w:sz w:val="22"/>
                <w:szCs w:val="22"/>
              </w:rPr>
              <w:t>评标分项及分值</w:t>
            </w:r>
          </w:p>
        </w:tc>
        <w:tc>
          <w:tcPr>
            <w:tcW w:w="603" w:type="pct"/>
            <w:vAlign w:val="center"/>
          </w:tcPr>
          <w:p w14:paraId="611EB3A4">
            <w:pPr>
              <w:pStyle w:val="16"/>
              <w:widowControl/>
              <w:kinsoku w:val="0"/>
              <w:autoSpaceDE w:val="0"/>
              <w:autoSpaceDN w:val="0"/>
              <w:adjustRightInd w:val="0"/>
              <w:snapToGrid w:val="0"/>
              <w:spacing w:before="36" w:line="260" w:lineRule="exact"/>
              <w:ind w:left="204"/>
              <w:jc w:val="center"/>
              <w:textAlignment w:val="baseline"/>
              <w:rPr>
                <w:sz w:val="22"/>
                <w:szCs w:val="22"/>
              </w:rPr>
            </w:pPr>
            <w:r>
              <w:rPr>
                <w:spacing w:val="-5"/>
                <w:sz w:val="22"/>
                <w:szCs w:val="22"/>
              </w:rPr>
              <w:t>分值</w:t>
            </w:r>
          </w:p>
        </w:tc>
      </w:tr>
      <w:tr w14:paraId="4D181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2" w:hRule="atLeast"/>
        </w:trPr>
        <w:tc>
          <w:tcPr>
            <w:tcW w:w="524" w:type="pct"/>
          </w:tcPr>
          <w:p w14:paraId="1BCB3F51">
            <w:pPr>
              <w:widowControl/>
              <w:kinsoku w:val="0"/>
              <w:autoSpaceDE w:val="0"/>
              <w:autoSpaceDN w:val="0"/>
              <w:adjustRightInd w:val="0"/>
              <w:snapToGrid w:val="0"/>
              <w:spacing w:line="260" w:lineRule="exact"/>
              <w:textAlignment w:val="baseline"/>
              <w:rPr>
                <w:rFonts w:ascii="Arial"/>
              </w:rPr>
            </w:pPr>
          </w:p>
          <w:p w14:paraId="2D55E0C3">
            <w:pPr>
              <w:pStyle w:val="16"/>
              <w:widowControl/>
              <w:kinsoku w:val="0"/>
              <w:autoSpaceDE w:val="0"/>
              <w:autoSpaceDN w:val="0"/>
              <w:adjustRightInd w:val="0"/>
              <w:snapToGrid w:val="0"/>
              <w:spacing w:before="71" w:line="260" w:lineRule="exact"/>
              <w:ind w:left="116"/>
              <w:textAlignment w:val="baseline"/>
              <w:rPr>
                <w:sz w:val="22"/>
                <w:szCs w:val="22"/>
              </w:rPr>
            </w:pPr>
            <w:r>
              <w:rPr>
                <w:spacing w:val="-3"/>
                <w:sz w:val="22"/>
                <w:szCs w:val="22"/>
              </w:rPr>
              <w:t>价格部分（</w:t>
            </w:r>
            <w:r>
              <w:rPr>
                <w:rFonts w:hint="eastAsia"/>
                <w:spacing w:val="-3"/>
                <w:sz w:val="22"/>
                <w:szCs w:val="22"/>
                <w:lang w:eastAsia="zh-CN"/>
              </w:rPr>
              <w:t>20</w:t>
            </w:r>
            <w:r>
              <w:rPr>
                <w:spacing w:val="-3"/>
                <w:sz w:val="22"/>
                <w:szCs w:val="22"/>
              </w:rPr>
              <w:t>分）</w:t>
            </w:r>
          </w:p>
        </w:tc>
        <w:tc>
          <w:tcPr>
            <w:tcW w:w="522" w:type="pct"/>
          </w:tcPr>
          <w:p w14:paraId="27D14588">
            <w:pPr>
              <w:pStyle w:val="16"/>
              <w:widowControl/>
              <w:kinsoku w:val="0"/>
              <w:autoSpaceDE w:val="0"/>
              <w:autoSpaceDN w:val="0"/>
              <w:adjustRightInd w:val="0"/>
              <w:snapToGrid w:val="0"/>
              <w:spacing w:before="145" w:line="260" w:lineRule="exact"/>
              <w:ind w:left="11" w:firstLine="1"/>
              <w:textAlignment w:val="baseline"/>
              <w:rPr>
                <w:sz w:val="22"/>
                <w:szCs w:val="22"/>
              </w:rPr>
            </w:pPr>
          </w:p>
          <w:p w14:paraId="2B0EA182">
            <w:pPr>
              <w:pStyle w:val="16"/>
              <w:widowControl/>
              <w:kinsoku w:val="0"/>
              <w:autoSpaceDE w:val="0"/>
              <w:autoSpaceDN w:val="0"/>
              <w:adjustRightInd w:val="0"/>
              <w:snapToGrid w:val="0"/>
              <w:spacing w:before="145" w:line="260" w:lineRule="exact"/>
              <w:ind w:left="11" w:firstLine="1"/>
              <w:textAlignment w:val="baseline"/>
              <w:rPr>
                <w:sz w:val="22"/>
                <w:szCs w:val="22"/>
              </w:rPr>
            </w:pPr>
          </w:p>
          <w:p w14:paraId="4ACFFF9B">
            <w:pPr>
              <w:pStyle w:val="16"/>
              <w:widowControl/>
              <w:kinsoku w:val="0"/>
              <w:autoSpaceDE w:val="0"/>
              <w:autoSpaceDN w:val="0"/>
              <w:adjustRightInd w:val="0"/>
              <w:snapToGrid w:val="0"/>
              <w:spacing w:before="145" w:line="260" w:lineRule="exact"/>
              <w:ind w:left="11" w:firstLine="1"/>
              <w:textAlignment w:val="baseline"/>
              <w:rPr>
                <w:sz w:val="22"/>
                <w:szCs w:val="22"/>
              </w:rPr>
            </w:pPr>
            <w:r>
              <w:rPr>
                <w:sz w:val="22"/>
                <w:szCs w:val="22"/>
              </w:rPr>
              <w:t>磋商报价</w:t>
            </w:r>
          </w:p>
        </w:tc>
        <w:tc>
          <w:tcPr>
            <w:tcW w:w="3349" w:type="pct"/>
          </w:tcPr>
          <w:p w14:paraId="19ED9BFA">
            <w:pPr>
              <w:pStyle w:val="16"/>
              <w:widowControl/>
              <w:kinsoku w:val="0"/>
              <w:autoSpaceDE w:val="0"/>
              <w:autoSpaceDN w:val="0"/>
              <w:adjustRightInd w:val="0"/>
              <w:snapToGrid w:val="0"/>
              <w:spacing w:before="145" w:line="260" w:lineRule="exact"/>
              <w:ind w:left="11" w:firstLine="1"/>
              <w:textAlignment w:val="baseline"/>
              <w:rPr>
                <w:sz w:val="22"/>
                <w:szCs w:val="22"/>
                <w:lang w:eastAsia="zh-CN"/>
              </w:rPr>
            </w:pPr>
            <w:r>
              <w:rPr>
                <w:sz w:val="22"/>
                <w:szCs w:val="22"/>
                <w:lang w:eastAsia="zh-CN"/>
              </w:rPr>
              <w:t xml:space="preserve">综合评分法中的价格分统一采用低价优先法计算，即满足磋商文件要求且最后报价最低的供应商的价格为磋商基准价，其价格分为满分。其他供应商的价格分统一按照下列公式计算：磋商报价得分=（磋商基准价/最后磋商报价） × </w:t>
            </w:r>
            <w:r>
              <w:rPr>
                <w:rFonts w:hint="eastAsia"/>
                <w:sz w:val="22"/>
                <w:szCs w:val="22"/>
                <w:lang w:eastAsia="zh-CN"/>
              </w:rPr>
              <w:t>20</w:t>
            </w:r>
            <w:r>
              <w:rPr>
                <w:sz w:val="22"/>
                <w:szCs w:val="22"/>
                <w:lang w:eastAsia="zh-CN"/>
              </w:rPr>
              <w:t>×100%</w:t>
            </w:r>
          </w:p>
        </w:tc>
        <w:tc>
          <w:tcPr>
            <w:tcW w:w="603" w:type="pct"/>
          </w:tcPr>
          <w:p w14:paraId="5D7E9A1F">
            <w:pPr>
              <w:widowControl/>
              <w:kinsoku w:val="0"/>
              <w:autoSpaceDE w:val="0"/>
              <w:autoSpaceDN w:val="0"/>
              <w:adjustRightInd w:val="0"/>
              <w:snapToGrid w:val="0"/>
              <w:spacing w:line="260" w:lineRule="exact"/>
              <w:textAlignment w:val="baseline"/>
              <w:rPr>
                <w:rFonts w:ascii="Arial"/>
              </w:rPr>
            </w:pPr>
          </w:p>
          <w:p w14:paraId="6896D857">
            <w:pPr>
              <w:widowControl/>
              <w:kinsoku w:val="0"/>
              <w:autoSpaceDE w:val="0"/>
              <w:autoSpaceDN w:val="0"/>
              <w:adjustRightInd w:val="0"/>
              <w:snapToGrid w:val="0"/>
              <w:spacing w:line="260" w:lineRule="exact"/>
              <w:textAlignment w:val="baseline"/>
              <w:rPr>
                <w:rFonts w:ascii="Arial"/>
              </w:rPr>
            </w:pPr>
          </w:p>
          <w:p w14:paraId="47648AB8">
            <w:pPr>
              <w:pStyle w:val="16"/>
              <w:widowControl/>
              <w:kinsoku w:val="0"/>
              <w:autoSpaceDE w:val="0"/>
              <w:autoSpaceDN w:val="0"/>
              <w:adjustRightInd w:val="0"/>
              <w:snapToGrid w:val="0"/>
              <w:spacing w:before="72" w:line="260" w:lineRule="exact"/>
              <w:ind w:left="325"/>
              <w:textAlignment w:val="baseline"/>
              <w:rPr>
                <w:sz w:val="22"/>
                <w:szCs w:val="22"/>
                <w:lang w:eastAsia="zh-CN"/>
              </w:rPr>
            </w:pPr>
            <w:r>
              <w:rPr>
                <w:rFonts w:hint="eastAsia"/>
                <w:spacing w:val="-13"/>
                <w:sz w:val="22"/>
                <w:szCs w:val="22"/>
                <w:lang w:eastAsia="zh-CN"/>
              </w:rPr>
              <w:t>20</w:t>
            </w:r>
          </w:p>
        </w:tc>
      </w:tr>
      <w:tr w14:paraId="1D9CB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1" w:hRule="atLeast"/>
        </w:trPr>
        <w:tc>
          <w:tcPr>
            <w:tcW w:w="524" w:type="pct"/>
            <w:vMerge w:val="restart"/>
          </w:tcPr>
          <w:p w14:paraId="2985652A">
            <w:pPr>
              <w:widowControl/>
              <w:kinsoku w:val="0"/>
              <w:autoSpaceDE w:val="0"/>
              <w:autoSpaceDN w:val="0"/>
              <w:adjustRightInd w:val="0"/>
              <w:snapToGrid w:val="0"/>
              <w:spacing w:line="260" w:lineRule="exact"/>
              <w:textAlignment w:val="baseline"/>
              <w:rPr>
                <w:rFonts w:ascii="Arial"/>
              </w:rPr>
            </w:pPr>
          </w:p>
          <w:p w14:paraId="07FDAA48">
            <w:pPr>
              <w:widowControl/>
              <w:kinsoku w:val="0"/>
              <w:autoSpaceDE w:val="0"/>
              <w:autoSpaceDN w:val="0"/>
              <w:adjustRightInd w:val="0"/>
              <w:snapToGrid w:val="0"/>
              <w:spacing w:line="260" w:lineRule="exact"/>
              <w:textAlignment w:val="baseline"/>
              <w:rPr>
                <w:rFonts w:ascii="Arial"/>
              </w:rPr>
            </w:pPr>
          </w:p>
          <w:p w14:paraId="390131D5">
            <w:pPr>
              <w:widowControl/>
              <w:kinsoku w:val="0"/>
              <w:autoSpaceDE w:val="0"/>
              <w:autoSpaceDN w:val="0"/>
              <w:adjustRightInd w:val="0"/>
              <w:snapToGrid w:val="0"/>
              <w:spacing w:line="260" w:lineRule="exact"/>
              <w:textAlignment w:val="baseline"/>
              <w:rPr>
                <w:rFonts w:ascii="Arial"/>
              </w:rPr>
            </w:pPr>
          </w:p>
          <w:p w14:paraId="7385B88B">
            <w:pPr>
              <w:widowControl/>
              <w:kinsoku w:val="0"/>
              <w:autoSpaceDE w:val="0"/>
              <w:autoSpaceDN w:val="0"/>
              <w:adjustRightInd w:val="0"/>
              <w:snapToGrid w:val="0"/>
              <w:spacing w:line="260" w:lineRule="exact"/>
              <w:textAlignment w:val="baseline"/>
              <w:rPr>
                <w:rFonts w:ascii="Arial"/>
              </w:rPr>
            </w:pPr>
          </w:p>
          <w:p w14:paraId="03743963">
            <w:pPr>
              <w:pStyle w:val="16"/>
              <w:widowControl/>
              <w:kinsoku w:val="0"/>
              <w:autoSpaceDE w:val="0"/>
              <w:autoSpaceDN w:val="0"/>
              <w:adjustRightInd w:val="0"/>
              <w:snapToGrid w:val="0"/>
              <w:spacing w:before="72" w:line="260" w:lineRule="exact"/>
              <w:ind w:left="120"/>
              <w:textAlignment w:val="baseline"/>
              <w:rPr>
                <w:sz w:val="22"/>
                <w:szCs w:val="22"/>
              </w:rPr>
            </w:pPr>
            <w:r>
              <w:rPr>
                <w:spacing w:val="-4"/>
                <w:sz w:val="22"/>
                <w:szCs w:val="22"/>
              </w:rPr>
              <w:t>商务部分</w:t>
            </w:r>
            <w:r>
              <w:rPr>
                <w:spacing w:val="-3"/>
                <w:sz w:val="22"/>
                <w:szCs w:val="22"/>
              </w:rPr>
              <w:t>（2</w:t>
            </w:r>
            <w:r>
              <w:rPr>
                <w:rFonts w:hint="eastAsia"/>
                <w:spacing w:val="-3"/>
                <w:sz w:val="22"/>
                <w:szCs w:val="22"/>
                <w:lang w:eastAsia="zh-CN"/>
              </w:rPr>
              <w:t>0</w:t>
            </w:r>
            <w:r>
              <w:rPr>
                <w:spacing w:val="-3"/>
                <w:sz w:val="22"/>
                <w:szCs w:val="22"/>
              </w:rPr>
              <w:t>分）</w:t>
            </w:r>
          </w:p>
        </w:tc>
        <w:tc>
          <w:tcPr>
            <w:tcW w:w="522" w:type="pct"/>
          </w:tcPr>
          <w:p w14:paraId="465A8140">
            <w:pPr>
              <w:pStyle w:val="16"/>
              <w:widowControl/>
              <w:kinsoku w:val="0"/>
              <w:autoSpaceDE w:val="0"/>
              <w:autoSpaceDN w:val="0"/>
              <w:adjustRightInd w:val="0"/>
              <w:snapToGrid w:val="0"/>
              <w:spacing w:before="145" w:line="260" w:lineRule="exact"/>
              <w:ind w:left="11" w:firstLine="1"/>
              <w:textAlignment w:val="baseline"/>
              <w:rPr>
                <w:sz w:val="22"/>
                <w:szCs w:val="22"/>
              </w:rPr>
            </w:pPr>
          </w:p>
          <w:p w14:paraId="7E6A4C12">
            <w:pPr>
              <w:pStyle w:val="16"/>
              <w:widowControl/>
              <w:kinsoku w:val="0"/>
              <w:autoSpaceDE w:val="0"/>
              <w:autoSpaceDN w:val="0"/>
              <w:adjustRightInd w:val="0"/>
              <w:snapToGrid w:val="0"/>
              <w:spacing w:before="145" w:line="260" w:lineRule="exact"/>
              <w:ind w:left="11" w:firstLine="1"/>
              <w:textAlignment w:val="baseline"/>
              <w:rPr>
                <w:sz w:val="22"/>
                <w:szCs w:val="22"/>
              </w:rPr>
            </w:pPr>
            <w:r>
              <w:rPr>
                <w:sz w:val="22"/>
                <w:szCs w:val="22"/>
              </w:rPr>
              <w:t>类似业绩</w:t>
            </w:r>
          </w:p>
        </w:tc>
        <w:tc>
          <w:tcPr>
            <w:tcW w:w="3349" w:type="pct"/>
          </w:tcPr>
          <w:p w14:paraId="357F9580">
            <w:pPr>
              <w:pStyle w:val="16"/>
              <w:widowControl/>
              <w:kinsoku w:val="0"/>
              <w:autoSpaceDE w:val="0"/>
              <w:autoSpaceDN w:val="0"/>
              <w:adjustRightInd w:val="0"/>
              <w:snapToGrid w:val="0"/>
              <w:spacing w:before="145" w:line="260" w:lineRule="exact"/>
              <w:ind w:left="11" w:firstLine="1"/>
              <w:textAlignment w:val="baseline"/>
              <w:rPr>
                <w:sz w:val="22"/>
                <w:szCs w:val="22"/>
                <w:lang w:eastAsia="zh-CN"/>
              </w:rPr>
            </w:pPr>
            <w:r>
              <w:rPr>
                <w:rFonts w:hint="eastAsia"/>
                <w:sz w:val="22"/>
                <w:szCs w:val="22"/>
                <w:lang w:eastAsia="zh-CN"/>
              </w:rPr>
              <w:t>投标人近五年</w:t>
            </w:r>
            <w:r>
              <w:rPr>
                <w:sz w:val="22"/>
                <w:szCs w:val="22"/>
                <w:lang w:eastAsia="zh-CN"/>
              </w:rPr>
              <w:t>（202</w:t>
            </w:r>
            <w:r>
              <w:rPr>
                <w:rFonts w:hint="eastAsia"/>
                <w:sz w:val="22"/>
                <w:szCs w:val="22"/>
                <w:lang w:eastAsia="zh-CN"/>
              </w:rPr>
              <w:t>0</w:t>
            </w:r>
            <w:r>
              <w:rPr>
                <w:sz w:val="22"/>
                <w:szCs w:val="22"/>
                <w:lang w:eastAsia="zh-CN"/>
              </w:rPr>
              <w:t>年</w:t>
            </w:r>
            <w:r>
              <w:rPr>
                <w:rFonts w:hint="eastAsia"/>
                <w:sz w:val="22"/>
                <w:szCs w:val="22"/>
                <w:lang w:eastAsia="zh-CN"/>
              </w:rPr>
              <w:t>11</w:t>
            </w:r>
            <w:r>
              <w:rPr>
                <w:sz w:val="22"/>
                <w:szCs w:val="22"/>
                <w:lang w:eastAsia="zh-CN"/>
              </w:rPr>
              <w:t>月</w:t>
            </w:r>
            <w:r>
              <w:rPr>
                <w:rFonts w:hint="eastAsia"/>
                <w:sz w:val="22"/>
                <w:szCs w:val="22"/>
                <w:lang w:eastAsia="zh-CN"/>
              </w:rPr>
              <w:t xml:space="preserve">  </w:t>
            </w:r>
            <w:r>
              <w:rPr>
                <w:sz w:val="22"/>
                <w:szCs w:val="22"/>
                <w:lang w:eastAsia="zh-CN"/>
              </w:rPr>
              <w:t>日至今）</w:t>
            </w:r>
            <w:r>
              <w:rPr>
                <w:rFonts w:hint="eastAsia"/>
                <w:sz w:val="22"/>
                <w:szCs w:val="22"/>
                <w:lang w:eastAsia="zh-CN"/>
              </w:rPr>
              <w:t>具有类似项目业绩，每提供一个得3分，最高得12分。（业绩以签定工程合同时间为准，提供服务合同、竣工验收证明材料，</w:t>
            </w:r>
            <w:r>
              <w:rPr>
                <w:sz w:val="22"/>
                <w:szCs w:val="22"/>
                <w:lang w:eastAsia="zh-CN"/>
              </w:rPr>
              <w:t>未提供不得分。类似项目业绩指拆除</w:t>
            </w:r>
            <w:r>
              <w:rPr>
                <w:rFonts w:hint="eastAsia"/>
                <w:sz w:val="22"/>
                <w:szCs w:val="22"/>
                <w:lang w:eastAsia="zh-CN"/>
              </w:rPr>
              <w:t>或环境整治或立面整治工程</w:t>
            </w:r>
            <w:r>
              <w:rPr>
                <w:sz w:val="22"/>
                <w:szCs w:val="22"/>
                <w:lang w:eastAsia="zh-CN"/>
              </w:rPr>
              <w:t>项目</w:t>
            </w:r>
            <w:r>
              <w:rPr>
                <w:rFonts w:hint="eastAsia"/>
                <w:sz w:val="22"/>
                <w:szCs w:val="22"/>
                <w:lang w:eastAsia="zh-CN"/>
              </w:rPr>
              <w:t>）</w:t>
            </w:r>
          </w:p>
        </w:tc>
        <w:tc>
          <w:tcPr>
            <w:tcW w:w="603" w:type="pct"/>
          </w:tcPr>
          <w:p w14:paraId="00CCDA07">
            <w:pPr>
              <w:widowControl/>
              <w:kinsoku w:val="0"/>
              <w:autoSpaceDE w:val="0"/>
              <w:autoSpaceDN w:val="0"/>
              <w:adjustRightInd w:val="0"/>
              <w:snapToGrid w:val="0"/>
              <w:spacing w:line="260" w:lineRule="exact"/>
              <w:textAlignment w:val="baseline"/>
              <w:rPr>
                <w:rFonts w:ascii="Arial"/>
              </w:rPr>
            </w:pPr>
          </w:p>
          <w:p w14:paraId="5431308A">
            <w:pPr>
              <w:pStyle w:val="16"/>
              <w:widowControl/>
              <w:kinsoku w:val="0"/>
              <w:autoSpaceDE w:val="0"/>
              <w:autoSpaceDN w:val="0"/>
              <w:adjustRightInd w:val="0"/>
              <w:snapToGrid w:val="0"/>
              <w:spacing w:before="71" w:line="260" w:lineRule="exact"/>
              <w:ind w:left="325"/>
              <w:textAlignment w:val="baseline"/>
              <w:rPr>
                <w:sz w:val="22"/>
                <w:szCs w:val="22"/>
                <w:lang w:eastAsia="zh-CN"/>
              </w:rPr>
            </w:pPr>
            <w:r>
              <w:rPr>
                <w:spacing w:val="-13"/>
                <w:sz w:val="22"/>
                <w:szCs w:val="22"/>
              </w:rPr>
              <w:t>1</w:t>
            </w:r>
            <w:r>
              <w:rPr>
                <w:rFonts w:hint="eastAsia"/>
                <w:spacing w:val="-13"/>
                <w:sz w:val="22"/>
                <w:szCs w:val="22"/>
                <w:lang w:eastAsia="zh-CN"/>
              </w:rPr>
              <w:t>2</w:t>
            </w:r>
          </w:p>
        </w:tc>
      </w:tr>
      <w:tr w14:paraId="49E98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6" w:hRule="atLeast"/>
        </w:trPr>
        <w:tc>
          <w:tcPr>
            <w:tcW w:w="524" w:type="pct"/>
            <w:vMerge w:val="continue"/>
          </w:tcPr>
          <w:p w14:paraId="22E3CFE8">
            <w:pPr>
              <w:widowControl/>
              <w:kinsoku w:val="0"/>
              <w:autoSpaceDE w:val="0"/>
              <w:autoSpaceDN w:val="0"/>
              <w:adjustRightInd w:val="0"/>
              <w:snapToGrid w:val="0"/>
              <w:spacing w:line="260" w:lineRule="exact"/>
              <w:textAlignment w:val="baseline"/>
              <w:rPr>
                <w:rFonts w:ascii="Arial"/>
              </w:rPr>
            </w:pPr>
          </w:p>
        </w:tc>
        <w:tc>
          <w:tcPr>
            <w:tcW w:w="522" w:type="pct"/>
          </w:tcPr>
          <w:p w14:paraId="1ABE07A0">
            <w:pPr>
              <w:pStyle w:val="16"/>
              <w:widowControl/>
              <w:kinsoku w:val="0"/>
              <w:autoSpaceDE w:val="0"/>
              <w:autoSpaceDN w:val="0"/>
              <w:adjustRightInd w:val="0"/>
              <w:snapToGrid w:val="0"/>
              <w:spacing w:before="145" w:line="260" w:lineRule="exact"/>
              <w:ind w:left="11" w:firstLine="1"/>
              <w:textAlignment w:val="baseline"/>
              <w:rPr>
                <w:sz w:val="22"/>
                <w:szCs w:val="22"/>
              </w:rPr>
            </w:pPr>
            <w:r>
              <w:rPr>
                <w:sz w:val="22"/>
                <w:szCs w:val="22"/>
              </w:rPr>
              <w:t>项目</w:t>
            </w:r>
            <w:r>
              <w:rPr>
                <w:rFonts w:hint="eastAsia"/>
                <w:sz w:val="22"/>
                <w:szCs w:val="22"/>
                <w:lang w:eastAsia="zh-CN"/>
              </w:rPr>
              <w:t>负责人</w:t>
            </w:r>
            <w:r>
              <w:rPr>
                <w:sz w:val="22"/>
                <w:szCs w:val="22"/>
              </w:rPr>
              <w:t>综合能力</w:t>
            </w:r>
          </w:p>
        </w:tc>
        <w:tc>
          <w:tcPr>
            <w:tcW w:w="3349" w:type="pct"/>
          </w:tcPr>
          <w:p w14:paraId="6DB033D3">
            <w:pPr>
              <w:pStyle w:val="16"/>
              <w:widowControl/>
              <w:kinsoku w:val="0"/>
              <w:autoSpaceDE w:val="0"/>
              <w:autoSpaceDN w:val="0"/>
              <w:adjustRightInd w:val="0"/>
              <w:snapToGrid w:val="0"/>
              <w:spacing w:before="145" w:line="260" w:lineRule="exact"/>
              <w:ind w:left="11" w:firstLine="1"/>
              <w:textAlignment w:val="baseline"/>
              <w:rPr>
                <w:sz w:val="22"/>
                <w:szCs w:val="22"/>
                <w:lang w:eastAsia="zh-CN"/>
              </w:rPr>
            </w:pPr>
            <w:r>
              <w:rPr>
                <w:rFonts w:hint="eastAsia"/>
                <w:sz w:val="22"/>
                <w:szCs w:val="22"/>
                <w:lang w:eastAsia="zh-CN"/>
              </w:rPr>
              <w:t>项目负责人具备中级及以上职称得1分（提供职称证）；近三年具有类似项目业绩，每提供一个得 1 分，最高得2分。（业绩以签定工程合同时间为准，提供工程合同、竣工验收证明材料及能体现为项目负责人业绩的证明资料，</w:t>
            </w:r>
            <w:r>
              <w:rPr>
                <w:sz w:val="22"/>
                <w:szCs w:val="22"/>
                <w:lang w:eastAsia="zh-CN"/>
              </w:rPr>
              <w:t>类似项目业绩指拆除</w:t>
            </w:r>
            <w:r>
              <w:rPr>
                <w:rFonts w:hint="eastAsia"/>
                <w:sz w:val="22"/>
                <w:szCs w:val="22"/>
                <w:lang w:eastAsia="zh-CN"/>
              </w:rPr>
              <w:t>或环境整治或立面整治工程</w:t>
            </w:r>
            <w:r>
              <w:rPr>
                <w:sz w:val="22"/>
                <w:szCs w:val="22"/>
                <w:lang w:eastAsia="zh-CN"/>
              </w:rPr>
              <w:t>项目</w:t>
            </w:r>
            <w:r>
              <w:rPr>
                <w:rFonts w:hint="eastAsia"/>
                <w:sz w:val="22"/>
                <w:szCs w:val="22"/>
                <w:lang w:eastAsia="zh-CN"/>
              </w:rPr>
              <w:t>）</w:t>
            </w:r>
          </w:p>
        </w:tc>
        <w:tc>
          <w:tcPr>
            <w:tcW w:w="603" w:type="pct"/>
          </w:tcPr>
          <w:p w14:paraId="6227A097">
            <w:pPr>
              <w:pStyle w:val="16"/>
              <w:widowControl/>
              <w:kinsoku w:val="0"/>
              <w:autoSpaceDE w:val="0"/>
              <w:autoSpaceDN w:val="0"/>
              <w:adjustRightInd w:val="0"/>
              <w:snapToGrid w:val="0"/>
              <w:spacing w:before="231" w:line="260" w:lineRule="exact"/>
              <w:ind w:left="369"/>
              <w:textAlignment w:val="baseline"/>
              <w:rPr>
                <w:sz w:val="22"/>
                <w:szCs w:val="22"/>
                <w:lang w:eastAsia="zh-CN"/>
              </w:rPr>
            </w:pPr>
            <w:r>
              <w:rPr>
                <w:rFonts w:hint="eastAsia"/>
                <w:sz w:val="22"/>
                <w:szCs w:val="22"/>
                <w:lang w:eastAsia="zh-CN"/>
              </w:rPr>
              <w:t>3</w:t>
            </w:r>
          </w:p>
        </w:tc>
      </w:tr>
      <w:tr w14:paraId="786E7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7" w:hRule="atLeast"/>
        </w:trPr>
        <w:tc>
          <w:tcPr>
            <w:tcW w:w="524" w:type="pct"/>
            <w:vMerge w:val="continue"/>
          </w:tcPr>
          <w:p w14:paraId="4FAECA41">
            <w:pPr>
              <w:widowControl/>
              <w:kinsoku w:val="0"/>
              <w:autoSpaceDE w:val="0"/>
              <w:autoSpaceDN w:val="0"/>
              <w:adjustRightInd w:val="0"/>
              <w:snapToGrid w:val="0"/>
              <w:spacing w:line="260" w:lineRule="exact"/>
              <w:textAlignment w:val="baseline"/>
              <w:rPr>
                <w:rFonts w:ascii="Arial"/>
              </w:rPr>
            </w:pPr>
          </w:p>
        </w:tc>
        <w:tc>
          <w:tcPr>
            <w:tcW w:w="522" w:type="pct"/>
          </w:tcPr>
          <w:p w14:paraId="5BD40352">
            <w:pPr>
              <w:pStyle w:val="16"/>
              <w:widowControl/>
              <w:kinsoku w:val="0"/>
              <w:autoSpaceDE w:val="0"/>
              <w:autoSpaceDN w:val="0"/>
              <w:adjustRightInd w:val="0"/>
              <w:snapToGrid w:val="0"/>
              <w:spacing w:before="145" w:line="260" w:lineRule="exact"/>
              <w:ind w:left="11" w:firstLine="1"/>
              <w:textAlignment w:val="baseline"/>
              <w:rPr>
                <w:sz w:val="22"/>
                <w:szCs w:val="22"/>
              </w:rPr>
            </w:pPr>
          </w:p>
          <w:p w14:paraId="5F17723E">
            <w:pPr>
              <w:pStyle w:val="16"/>
              <w:widowControl/>
              <w:kinsoku w:val="0"/>
              <w:autoSpaceDE w:val="0"/>
              <w:autoSpaceDN w:val="0"/>
              <w:adjustRightInd w:val="0"/>
              <w:snapToGrid w:val="0"/>
              <w:spacing w:before="145" w:line="260" w:lineRule="exact"/>
              <w:ind w:left="11" w:firstLine="1"/>
              <w:textAlignment w:val="baseline"/>
              <w:rPr>
                <w:sz w:val="22"/>
                <w:szCs w:val="22"/>
              </w:rPr>
            </w:pPr>
            <w:r>
              <w:rPr>
                <w:sz w:val="22"/>
                <w:szCs w:val="22"/>
              </w:rPr>
              <w:t>设备配置</w:t>
            </w:r>
          </w:p>
        </w:tc>
        <w:tc>
          <w:tcPr>
            <w:tcW w:w="3349" w:type="pct"/>
          </w:tcPr>
          <w:p w14:paraId="26F0D030">
            <w:pPr>
              <w:pStyle w:val="16"/>
              <w:widowControl/>
              <w:kinsoku w:val="0"/>
              <w:autoSpaceDE w:val="0"/>
              <w:autoSpaceDN w:val="0"/>
              <w:adjustRightInd w:val="0"/>
              <w:snapToGrid w:val="0"/>
              <w:spacing w:before="145" w:line="260" w:lineRule="exact"/>
              <w:ind w:left="11" w:firstLine="1"/>
              <w:textAlignment w:val="baseline"/>
              <w:rPr>
                <w:sz w:val="22"/>
                <w:szCs w:val="22"/>
                <w:lang w:eastAsia="zh-CN"/>
              </w:rPr>
            </w:pPr>
            <w:r>
              <w:rPr>
                <w:sz w:val="22"/>
                <w:szCs w:val="22"/>
                <w:lang w:eastAsia="zh-CN"/>
              </w:rPr>
              <w:t>投标人拟投入本项目的机械设备</w:t>
            </w:r>
            <w:r>
              <w:rPr>
                <w:rFonts w:hint="eastAsia"/>
                <w:sz w:val="22"/>
                <w:szCs w:val="22"/>
                <w:lang w:eastAsia="zh-CN"/>
              </w:rPr>
              <w:t>：铲车1台、中型</w:t>
            </w:r>
            <w:r>
              <w:rPr>
                <w:sz w:val="22"/>
                <w:szCs w:val="22"/>
                <w:lang w:eastAsia="zh-CN"/>
              </w:rPr>
              <w:t>自卸汽车</w:t>
            </w:r>
            <w:r>
              <w:rPr>
                <w:rFonts w:hint="eastAsia"/>
                <w:sz w:val="22"/>
                <w:szCs w:val="22"/>
                <w:lang w:eastAsia="zh-CN"/>
              </w:rPr>
              <w:t>2台、皮卡车1台</w:t>
            </w:r>
            <w:r>
              <w:rPr>
                <w:sz w:val="22"/>
                <w:szCs w:val="22"/>
                <w:lang w:eastAsia="zh-CN"/>
              </w:rPr>
              <w:t>、</w:t>
            </w:r>
            <w:r>
              <w:rPr>
                <w:rFonts w:hint="eastAsia"/>
                <w:sz w:val="22"/>
                <w:szCs w:val="22"/>
                <w:lang w:eastAsia="zh-CN"/>
              </w:rPr>
              <w:t>洒水车1台等，</w:t>
            </w:r>
            <w:r>
              <w:rPr>
                <w:sz w:val="22"/>
                <w:szCs w:val="22"/>
                <w:lang w:eastAsia="zh-CN"/>
              </w:rPr>
              <w:t>优于以上配置得</w:t>
            </w:r>
            <w:r>
              <w:rPr>
                <w:rFonts w:hint="eastAsia"/>
                <w:sz w:val="22"/>
                <w:szCs w:val="22"/>
                <w:lang w:eastAsia="zh-CN"/>
              </w:rPr>
              <w:t>5</w:t>
            </w:r>
            <w:r>
              <w:rPr>
                <w:sz w:val="22"/>
                <w:szCs w:val="22"/>
                <w:lang w:eastAsia="zh-CN"/>
              </w:rPr>
              <w:t>分，等于以上配置得3分，小于以上配置得1分。</w:t>
            </w:r>
            <w:r>
              <w:rPr>
                <w:rFonts w:hint="eastAsia"/>
                <w:sz w:val="22"/>
                <w:szCs w:val="22"/>
                <w:lang w:eastAsia="zh-CN"/>
              </w:rPr>
              <w:t>提供购买该设备的发票或注册于投标人公司的行车证（或租赁合同及租赁方加盖公章的营业执照）提供证明材料不清晰的无效。</w:t>
            </w:r>
          </w:p>
        </w:tc>
        <w:tc>
          <w:tcPr>
            <w:tcW w:w="603" w:type="pct"/>
          </w:tcPr>
          <w:p w14:paraId="46A31C30">
            <w:pPr>
              <w:widowControl/>
              <w:kinsoku w:val="0"/>
              <w:autoSpaceDE w:val="0"/>
              <w:autoSpaceDN w:val="0"/>
              <w:adjustRightInd w:val="0"/>
              <w:snapToGrid w:val="0"/>
              <w:spacing w:line="260" w:lineRule="exact"/>
              <w:textAlignment w:val="baseline"/>
              <w:rPr>
                <w:rFonts w:ascii="Arial"/>
              </w:rPr>
            </w:pPr>
          </w:p>
          <w:p w14:paraId="331F5857">
            <w:pPr>
              <w:pStyle w:val="16"/>
              <w:widowControl/>
              <w:kinsoku w:val="0"/>
              <w:autoSpaceDE w:val="0"/>
              <w:autoSpaceDN w:val="0"/>
              <w:adjustRightInd w:val="0"/>
              <w:snapToGrid w:val="0"/>
              <w:spacing w:before="72" w:line="260" w:lineRule="exact"/>
              <w:ind w:left="366"/>
              <w:textAlignment w:val="baseline"/>
              <w:rPr>
                <w:sz w:val="22"/>
                <w:szCs w:val="22"/>
                <w:lang w:eastAsia="zh-CN"/>
              </w:rPr>
            </w:pPr>
            <w:r>
              <w:rPr>
                <w:rFonts w:hint="eastAsia"/>
                <w:sz w:val="22"/>
                <w:szCs w:val="22"/>
                <w:lang w:eastAsia="zh-CN"/>
              </w:rPr>
              <w:t>5</w:t>
            </w:r>
          </w:p>
        </w:tc>
      </w:tr>
      <w:tr w14:paraId="6691F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7" w:hRule="atLeast"/>
        </w:trPr>
        <w:tc>
          <w:tcPr>
            <w:tcW w:w="524" w:type="pct"/>
            <w:vMerge w:val="restart"/>
          </w:tcPr>
          <w:p w14:paraId="604AE37A">
            <w:pPr>
              <w:widowControl/>
              <w:kinsoku w:val="0"/>
              <w:autoSpaceDE w:val="0"/>
              <w:autoSpaceDN w:val="0"/>
              <w:adjustRightInd w:val="0"/>
              <w:snapToGrid w:val="0"/>
              <w:spacing w:line="260" w:lineRule="exact"/>
              <w:textAlignment w:val="baseline"/>
              <w:rPr>
                <w:rFonts w:ascii="Arial"/>
              </w:rPr>
            </w:pPr>
          </w:p>
          <w:p w14:paraId="591DDD07">
            <w:pPr>
              <w:widowControl/>
              <w:kinsoku w:val="0"/>
              <w:autoSpaceDE w:val="0"/>
              <w:autoSpaceDN w:val="0"/>
              <w:adjustRightInd w:val="0"/>
              <w:snapToGrid w:val="0"/>
              <w:spacing w:line="260" w:lineRule="exact"/>
              <w:textAlignment w:val="baseline"/>
              <w:rPr>
                <w:rFonts w:ascii="Arial"/>
              </w:rPr>
            </w:pPr>
          </w:p>
          <w:p w14:paraId="7FCEAE42">
            <w:pPr>
              <w:widowControl/>
              <w:kinsoku w:val="0"/>
              <w:autoSpaceDE w:val="0"/>
              <w:autoSpaceDN w:val="0"/>
              <w:adjustRightInd w:val="0"/>
              <w:snapToGrid w:val="0"/>
              <w:spacing w:line="260" w:lineRule="exact"/>
              <w:textAlignment w:val="baseline"/>
              <w:rPr>
                <w:rFonts w:ascii="Arial"/>
              </w:rPr>
            </w:pPr>
          </w:p>
          <w:p w14:paraId="5B0A1A9E">
            <w:pPr>
              <w:widowControl/>
              <w:kinsoku w:val="0"/>
              <w:autoSpaceDE w:val="0"/>
              <w:autoSpaceDN w:val="0"/>
              <w:adjustRightInd w:val="0"/>
              <w:snapToGrid w:val="0"/>
              <w:spacing w:line="260" w:lineRule="exact"/>
              <w:textAlignment w:val="baseline"/>
              <w:rPr>
                <w:rFonts w:ascii="Arial"/>
              </w:rPr>
            </w:pPr>
          </w:p>
          <w:p w14:paraId="4765CF00">
            <w:pPr>
              <w:widowControl/>
              <w:kinsoku w:val="0"/>
              <w:autoSpaceDE w:val="0"/>
              <w:autoSpaceDN w:val="0"/>
              <w:adjustRightInd w:val="0"/>
              <w:snapToGrid w:val="0"/>
              <w:spacing w:line="260" w:lineRule="exact"/>
              <w:textAlignment w:val="baseline"/>
              <w:rPr>
                <w:rFonts w:ascii="Arial"/>
              </w:rPr>
            </w:pPr>
          </w:p>
          <w:p w14:paraId="3E8C587E">
            <w:pPr>
              <w:widowControl/>
              <w:kinsoku w:val="0"/>
              <w:autoSpaceDE w:val="0"/>
              <w:autoSpaceDN w:val="0"/>
              <w:adjustRightInd w:val="0"/>
              <w:snapToGrid w:val="0"/>
              <w:spacing w:line="260" w:lineRule="exact"/>
              <w:textAlignment w:val="baseline"/>
              <w:rPr>
                <w:rFonts w:ascii="Arial"/>
              </w:rPr>
            </w:pPr>
          </w:p>
          <w:p w14:paraId="6251FFB7">
            <w:pPr>
              <w:widowControl/>
              <w:kinsoku w:val="0"/>
              <w:autoSpaceDE w:val="0"/>
              <w:autoSpaceDN w:val="0"/>
              <w:adjustRightInd w:val="0"/>
              <w:snapToGrid w:val="0"/>
              <w:spacing w:line="260" w:lineRule="exact"/>
              <w:textAlignment w:val="baseline"/>
              <w:rPr>
                <w:rFonts w:ascii="Arial"/>
              </w:rPr>
            </w:pPr>
          </w:p>
          <w:p w14:paraId="75AF729F">
            <w:pPr>
              <w:widowControl/>
              <w:kinsoku w:val="0"/>
              <w:autoSpaceDE w:val="0"/>
              <w:autoSpaceDN w:val="0"/>
              <w:adjustRightInd w:val="0"/>
              <w:snapToGrid w:val="0"/>
              <w:spacing w:line="260" w:lineRule="exact"/>
              <w:textAlignment w:val="baseline"/>
              <w:rPr>
                <w:rFonts w:ascii="Arial"/>
              </w:rPr>
            </w:pPr>
          </w:p>
          <w:p w14:paraId="15018D12">
            <w:pPr>
              <w:widowControl/>
              <w:kinsoku w:val="0"/>
              <w:autoSpaceDE w:val="0"/>
              <w:autoSpaceDN w:val="0"/>
              <w:adjustRightInd w:val="0"/>
              <w:snapToGrid w:val="0"/>
              <w:spacing w:line="260" w:lineRule="exact"/>
              <w:textAlignment w:val="baseline"/>
              <w:rPr>
                <w:rFonts w:ascii="Arial"/>
              </w:rPr>
            </w:pPr>
          </w:p>
          <w:p w14:paraId="53574B6E">
            <w:pPr>
              <w:widowControl/>
              <w:kinsoku w:val="0"/>
              <w:autoSpaceDE w:val="0"/>
              <w:autoSpaceDN w:val="0"/>
              <w:adjustRightInd w:val="0"/>
              <w:snapToGrid w:val="0"/>
              <w:spacing w:line="260" w:lineRule="exact"/>
              <w:textAlignment w:val="baseline"/>
              <w:rPr>
                <w:rFonts w:ascii="Arial"/>
              </w:rPr>
            </w:pPr>
          </w:p>
          <w:p w14:paraId="30793BE2">
            <w:pPr>
              <w:widowControl/>
              <w:kinsoku w:val="0"/>
              <w:autoSpaceDE w:val="0"/>
              <w:autoSpaceDN w:val="0"/>
              <w:adjustRightInd w:val="0"/>
              <w:snapToGrid w:val="0"/>
              <w:spacing w:line="260" w:lineRule="exact"/>
              <w:textAlignment w:val="baseline"/>
              <w:rPr>
                <w:rFonts w:ascii="Arial"/>
              </w:rPr>
            </w:pPr>
          </w:p>
          <w:p w14:paraId="1956AC3F">
            <w:pPr>
              <w:widowControl/>
              <w:kinsoku w:val="0"/>
              <w:autoSpaceDE w:val="0"/>
              <w:autoSpaceDN w:val="0"/>
              <w:adjustRightInd w:val="0"/>
              <w:snapToGrid w:val="0"/>
              <w:spacing w:line="260" w:lineRule="exact"/>
              <w:textAlignment w:val="baseline"/>
              <w:rPr>
                <w:rFonts w:ascii="Arial"/>
              </w:rPr>
            </w:pPr>
          </w:p>
          <w:p w14:paraId="19811073">
            <w:pPr>
              <w:widowControl/>
              <w:kinsoku w:val="0"/>
              <w:autoSpaceDE w:val="0"/>
              <w:autoSpaceDN w:val="0"/>
              <w:adjustRightInd w:val="0"/>
              <w:snapToGrid w:val="0"/>
              <w:spacing w:line="260" w:lineRule="exact"/>
              <w:textAlignment w:val="baseline"/>
              <w:rPr>
                <w:rFonts w:ascii="Arial"/>
              </w:rPr>
            </w:pPr>
          </w:p>
          <w:p w14:paraId="26C771E2">
            <w:pPr>
              <w:widowControl/>
              <w:kinsoku w:val="0"/>
              <w:autoSpaceDE w:val="0"/>
              <w:autoSpaceDN w:val="0"/>
              <w:adjustRightInd w:val="0"/>
              <w:snapToGrid w:val="0"/>
              <w:spacing w:line="260" w:lineRule="exact"/>
              <w:textAlignment w:val="baseline"/>
              <w:rPr>
                <w:rFonts w:ascii="Arial"/>
              </w:rPr>
            </w:pPr>
          </w:p>
          <w:p w14:paraId="6C37A2EB">
            <w:pPr>
              <w:widowControl/>
              <w:kinsoku w:val="0"/>
              <w:autoSpaceDE w:val="0"/>
              <w:autoSpaceDN w:val="0"/>
              <w:adjustRightInd w:val="0"/>
              <w:snapToGrid w:val="0"/>
              <w:spacing w:line="260" w:lineRule="exact"/>
              <w:textAlignment w:val="baseline"/>
              <w:rPr>
                <w:rFonts w:ascii="Arial"/>
              </w:rPr>
            </w:pPr>
          </w:p>
          <w:p w14:paraId="168CA129">
            <w:pPr>
              <w:widowControl/>
              <w:kinsoku w:val="0"/>
              <w:autoSpaceDE w:val="0"/>
              <w:autoSpaceDN w:val="0"/>
              <w:adjustRightInd w:val="0"/>
              <w:snapToGrid w:val="0"/>
              <w:spacing w:line="260" w:lineRule="exact"/>
              <w:textAlignment w:val="baseline"/>
              <w:rPr>
                <w:rFonts w:ascii="Arial"/>
              </w:rPr>
            </w:pPr>
          </w:p>
          <w:p w14:paraId="53AD8BB9">
            <w:pPr>
              <w:widowControl/>
              <w:kinsoku w:val="0"/>
              <w:autoSpaceDE w:val="0"/>
              <w:autoSpaceDN w:val="0"/>
              <w:adjustRightInd w:val="0"/>
              <w:snapToGrid w:val="0"/>
              <w:spacing w:line="260" w:lineRule="exact"/>
              <w:textAlignment w:val="baseline"/>
              <w:rPr>
                <w:rFonts w:ascii="Arial"/>
              </w:rPr>
            </w:pPr>
          </w:p>
          <w:p w14:paraId="3D50FF99">
            <w:pPr>
              <w:widowControl/>
              <w:kinsoku w:val="0"/>
              <w:autoSpaceDE w:val="0"/>
              <w:autoSpaceDN w:val="0"/>
              <w:adjustRightInd w:val="0"/>
              <w:snapToGrid w:val="0"/>
              <w:spacing w:line="260" w:lineRule="exact"/>
              <w:textAlignment w:val="baseline"/>
              <w:rPr>
                <w:rFonts w:ascii="Arial"/>
              </w:rPr>
            </w:pPr>
          </w:p>
          <w:p w14:paraId="79D5DA4B">
            <w:pPr>
              <w:pStyle w:val="16"/>
              <w:widowControl/>
              <w:kinsoku w:val="0"/>
              <w:autoSpaceDE w:val="0"/>
              <w:autoSpaceDN w:val="0"/>
              <w:adjustRightInd w:val="0"/>
              <w:snapToGrid w:val="0"/>
              <w:spacing w:before="71" w:line="260" w:lineRule="exact"/>
              <w:ind w:left="116"/>
              <w:textAlignment w:val="baseline"/>
              <w:rPr>
                <w:sz w:val="22"/>
                <w:szCs w:val="22"/>
              </w:rPr>
            </w:pPr>
            <w:r>
              <w:rPr>
                <w:spacing w:val="-3"/>
                <w:sz w:val="22"/>
                <w:szCs w:val="22"/>
              </w:rPr>
              <w:t>技术部分（6</w:t>
            </w:r>
            <w:r>
              <w:rPr>
                <w:rFonts w:hint="eastAsia"/>
                <w:spacing w:val="-3"/>
                <w:sz w:val="22"/>
                <w:szCs w:val="22"/>
                <w:lang w:eastAsia="zh-CN"/>
              </w:rPr>
              <w:t>0</w:t>
            </w:r>
            <w:r>
              <w:rPr>
                <w:spacing w:val="-3"/>
                <w:sz w:val="22"/>
                <w:szCs w:val="22"/>
              </w:rPr>
              <w:t>分）</w:t>
            </w:r>
          </w:p>
        </w:tc>
        <w:tc>
          <w:tcPr>
            <w:tcW w:w="522" w:type="pct"/>
          </w:tcPr>
          <w:p w14:paraId="1CB07D67">
            <w:pPr>
              <w:pStyle w:val="16"/>
              <w:widowControl/>
              <w:kinsoku w:val="0"/>
              <w:autoSpaceDE w:val="0"/>
              <w:autoSpaceDN w:val="0"/>
              <w:adjustRightInd w:val="0"/>
              <w:snapToGrid w:val="0"/>
              <w:spacing w:before="145" w:line="260" w:lineRule="exact"/>
              <w:ind w:left="11" w:firstLine="1"/>
              <w:textAlignment w:val="baseline"/>
              <w:rPr>
                <w:sz w:val="22"/>
                <w:szCs w:val="22"/>
              </w:rPr>
            </w:pPr>
          </w:p>
          <w:p w14:paraId="0C2EEEE1">
            <w:pPr>
              <w:pStyle w:val="16"/>
              <w:widowControl/>
              <w:kinsoku w:val="0"/>
              <w:autoSpaceDE w:val="0"/>
              <w:autoSpaceDN w:val="0"/>
              <w:adjustRightInd w:val="0"/>
              <w:snapToGrid w:val="0"/>
              <w:spacing w:before="145" w:line="260" w:lineRule="exact"/>
              <w:ind w:left="11" w:firstLine="1"/>
              <w:textAlignment w:val="baseline"/>
              <w:rPr>
                <w:sz w:val="22"/>
                <w:szCs w:val="22"/>
              </w:rPr>
            </w:pPr>
          </w:p>
          <w:p w14:paraId="244704B7">
            <w:pPr>
              <w:pStyle w:val="16"/>
              <w:widowControl/>
              <w:kinsoku w:val="0"/>
              <w:autoSpaceDE w:val="0"/>
              <w:autoSpaceDN w:val="0"/>
              <w:adjustRightInd w:val="0"/>
              <w:snapToGrid w:val="0"/>
              <w:spacing w:before="145" w:line="260" w:lineRule="exact"/>
              <w:ind w:left="11" w:firstLine="1"/>
              <w:textAlignment w:val="baseline"/>
              <w:rPr>
                <w:sz w:val="22"/>
                <w:szCs w:val="22"/>
              </w:rPr>
            </w:pPr>
            <w:r>
              <w:rPr>
                <w:sz w:val="22"/>
                <w:szCs w:val="22"/>
              </w:rPr>
              <w:t>项目总体方案</w:t>
            </w:r>
          </w:p>
        </w:tc>
        <w:tc>
          <w:tcPr>
            <w:tcW w:w="3349" w:type="pct"/>
          </w:tcPr>
          <w:p w14:paraId="3AE192F2">
            <w:pPr>
              <w:pStyle w:val="16"/>
              <w:widowControl/>
              <w:kinsoku w:val="0"/>
              <w:autoSpaceDE w:val="0"/>
              <w:autoSpaceDN w:val="0"/>
              <w:adjustRightInd w:val="0"/>
              <w:snapToGrid w:val="0"/>
              <w:spacing w:before="145" w:line="260" w:lineRule="exact"/>
              <w:ind w:left="11" w:firstLine="1"/>
              <w:textAlignment w:val="baseline"/>
              <w:rPr>
                <w:sz w:val="22"/>
                <w:szCs w:val="22"/>
                <w:lang w:eastAsia="zh-CN"/>
              </w:rPr>
            </w:pPr>
            <w:r>
              <w:rPr>
                <w:sz w:val="22"/>
                <w:szCs w:val="22"/>
                <w:lang w:eastAsia="zh-CN"/>
              </w:rPr>
              <w:t>根据供应商提供的项目总体方案包含但不限于①针对项目特点及重难点，提出解决措施及技术保障方案；②有详实可行的项目实施流程及技术要点；③劳动力组 织及人员职责分工方案进行评分：</w:t>
            </w:r>
          </w:p>
          <w:p w14:paraId="0CDBAF27">
            <w:pPr>
              <w:pStyle w:val="16"/>
              <w:widowControl/>
              <w:kinsoku w:val="0"/>
              <w:autoSpaceDE w:val="0"/>
              <w:autoSpaceDN w:val="0"/>
              <w:adjustRightInd w:val="0"/>
              <w:snapToGrid w:val="0"/>
              <w:spacing w:before="145" w:line="260" w:lineRule="exact"/>
              <w:ind w:left="11" w:firstLine="1"/>
              <w:textAlignment w:val="baseline"/>
              <w:rPr>
                <w:sz w:val="22"/>
                <w:szCs w:val="22"/>
                <w:lang w:eastAsia="zh-CN"/>
              </w:rPr>
            </w:pPr>
            <w:r>
              <w:rPr>
                <w:sz w:val="22"/>
                <w:szCs w:val="22"/>
                <w:lang w:eastAsia="zh-CN"/>
              </w:rPr>
              <w:t>每一小项方案详细完整、有针对性、合理可行性强得6分；每一小项方案基本完整、基本合理、基本可行得4分，每一小项方案简单、一般可行得2分；每缺一小项扣6分。</w:t>
            </w:r>
          </w:p>
        </w:tc>
        <w:tc>
          <w:tcPr>
            <w:tcW w:w="603" w:type="pct"/>
          </w:tcPr>
          <w:p w14:paraId="070EFE4C">
            <w:pPr>
              <w:widowControl/>
              <w:kinsoku w:val="0"/>
              <w:autoSpaceDE w:val="0"/>
              <w:autoSpaceDN w:val="0"/>
              <w:adjustRightInd w:val="0"/>
              <w:snapToGrid w:val="0"/>
              <w:spacing w:line="260" w:lineRule="exact"/>
              <w:textAlignment w:val="baseline"/>
              <w:rPr>
                <w:rFonts w:ascii="Arial"/>
              </w:rPr>
            </w:pPr>
          </w:p>
          <w:p w14:paraId="485CBCF9">
            <w:pPr>
              <w:widowControl/>
              <w:kinsoku w:val="0"/>
              <w:autoSpaceDE w:val="0"/>
              <w:autoSpaceDN w:val="0"/>
              <w:adjustRightInd w:val="0"/>
              <w:snapToGrid w:val="0"/>
              <w:spacing w:line="260" w:lineRule="exact"/>
              <w:textAlignment w:val="baseline"/>
              <w:rPr>
                <w:rFonts w:ascii="Arial"/>
              </w:rPr>
            </w:pPr>
          </w:p>
          <w:p w14:paraId="32323A59">
            <w:pPr>
              <w:pStyle w:val="16"/>
              <w:widowControl/>
              <w:kinsoku w:val="0"/>
              <w:autoSpaceDE w:val="0"/>
              <w:autoSpaceDN w:val="0"/>
              <w:adjustRightInd w:val="0"/>
              <w:snapToGrid w:val="0"/>
              <w:spacing w:before="72" w:line="260" w:lineRule="exact"/>
              <w:ind w:left="325"/>
              <w:textAlignment w:val="baseline"/>
              <w:rPr>
                <w:sz w:val="22"/>
                <w:szCs w:val="22"/>
              </w:rPr>
            </w:pPr>
            <w:r>
              <w:rPr>
                <w:spacing w:val="-13"/>
                <w:sz w:val="22"/>
                <w:szCs w:val="22"/>
              </w:rPr>
              <w:t>18</w:t>
            </w:r>
          </w:p>
        </w:tc>
      </w:tr>
      <w:tr w14:paraId="2528B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1" w:hRule="atLeast"/>
        </w:trPr>
        <w:tc>
          <w:tcPr>
            <w:tcW w:w="524" w:type="pct"/>
            <w:vMerge w:val="continue"/>
          </w:tcPr>
          <w:p w14:paraId="3C02C18E">
            <w:pPr>
              <w:widowControl/>
              <w:kinsoku w:val="0"/>
              <w:autoSpaceDE w:val="0"/>
              <w:autoSpaceDN w:val="0"/>
              <w:adjustRightInd w:val="0"/>
              <w:snapToGrid w:val="0"/>
              <w:spacing w:line="260" w:lineRule="exact"/>
              <w:textAlignment w:val="baseline"/>
              <w:rPr>
                <w:rFonts w:ascii="Arial"/>
              </w:rPr>
            </w:pPr>
          </w:p>
        </w:tc>
        <w:tc>
          <w:tcPr>
            <w:tcW w:w="522" w:type="pct"/>
          </w:tcPr>
          <w:p w14:paraId="3DD8AD61">
            <w:pPr>
              <w:pStyle w:val="16"/>
              <w:widowControl/>
              <w:kinsoku w:val="0"/>
              <w:autoSpaceDE w:val="0"/>
              <w:autoSpaceDN w:val="0"/>
              <w:adjustRightInd w:val="0"/>
              <w:snapToGrid w:val="0"/>
              <w:spacing w:before="145" w:line="260" w:lineRule="exact"/>
              <w:ind w:left="11" w:firstLine="1"/>
              <w:textAlignment w:val="baseline"/>
              <w:rPr>
                <w:sz w:val="22"/>
                <w:szCs w:val="22"/>
              </w:rPr>
            </w:pPr>
          </w:p>
          <w:p w14:paraId="0F9384DB">
            <w:pPr>
              <w:pStyle w:val="16"/>
              <w:widowControl/>
              <w:kinsoku w:val="0"/>
              <w:autoSpaceDE w:val="0"/>
              <w:autoSpaceDN w:val="0"/>
              <w:adjustRightInd w:val="0"/>
              <w:snapToGrid w:val="0"/>
              <w:spacing w:before="145" w:line="260" w:lineRule="exact"/>
              <w:ind w:left="11" w:firstLine="1"/>
              <w:textAlignment w:val="baseline"/>
              <w:rPr>
                <w:sz w:val="22"/>
                <w:szCs w:val="22"/>
              </w:rPr>
            </w:pPr>
          </w:p>
          <w:p w14:paraId="7C05A92F">
            <w:pPr>
              <w:pStyle w:val="16"/>
              <w:widowControl/>
              <w:kinsoku w:val="0"/>
              <w:autoSpaceDE w:val="0"/>
              <w:autoSpaceDN w:val="0"/>
              <w:adjustRightInd w:val="0"/>
              <w:snapToGrid w:val="0"/>
              <w:spacing w:before="145" w:line="260" w:lineRule="exact"/>
              <w:ind w:left="11" w:firstLine="1"/>
              <w:textAlignment w:val="baseline"/>
              <w:rPr>
                <w:sz w:val="22"/>
                <w:szCs w:val="22"/>
              </w:rPr>
            </w:pPr>
            <w:r>
              <w:rPr>
                <w:sz w:val="22"/>
                <w:szCs w:val="22"/>
              </w:rPr>
              <w:t>质量管理与保证措施</w:t>
            </w:r>
          </w:p>
        </w:tc>
        <w:tc>
          <w:tcPr>
            <w:tcW w:w="3349" w:type="pct"/>
          </w:tcPr>
          <w:p w14:paraId="0BAAE52F">
            <w:pPr>
              <w:pStyle w:val="16"/>
              <w:widowControl/>
              <w:kinsoku w:val="0"/>
              <w:autoSpaceDE w:val="0"/>
              <w:autoSpaceDN w:val="0"/>
              <w:adjustRightInd w:val="0"/>
              <w:snapToGrid w:val="0"/>
              <w:spacing w:before="145" w:line="260" w:lineRule="exact"/>
              <w:ind w:left="11" w:firstLine="1"/>
              <w:textAlignment w:val="baseline"/>
              <w:rPr>
                <w:sz w:val="22"/>
                <w:szCs w:val="22"/>
                <w:lang w:eastAsia="zh-CN"/>
              </w:rPr>
            </w:pPr>
            <w:r>
              <w:rPr>
                <w:sz w:val="22"/>
                <w:szCs w:val="22"/>
                <w:lang w:eastAsia="zh-CN"/>
              </w:rPr>
              <w:t>根据本项目内容及质量要求，提供详细的项目质量保证措施，内容包含但不限于 :①项目质量管理目标；②质量管理制度；③质量控制的环节、重点和方法；④ 质量事故的预防与处理进行评分：</w:t>
            </w:r>
          </w:p>
          <w:p w14:paraId="39298C89">
            <w:pPr>
              <w:pStyle w:val="16"/>
              <w:widowControl/>
              <w:kinsoku w:val="0"/>
              <w:autoSpaceDE w:val="0"/>
              <w:autoSpaceDN w:val="0"/>
              <w:adjustRightInd w:val="0"/>
              <w:snapToGrid w:val="0"/>
              <w:spacing w:before="145" w:line="260" w:lineRule="exact"/>
              <w:ind w:left="11" w:firstLine="1"/>
              <w:textAlignment w:val="baseline"/>
              <w:rPr>
                <w:sz w:val="22"/>
                <w:szCs w:val="22"/>
                <w:lang w:eastAsia="zh-CN"/>
              </w:rPr>
            </w:pPr>
            <w:r>
              <w:rPr>
                <w:sz w:val="22"/>
                <w:szCs w:val="22"/>
                <w:lang w:eastAsia="zh-CN"/>
              </w:rPr>
              <w:t>每一小项方案详细完整、有针对性、合理可行性强得</w:t>
            </w:r>
            <w:r>
              <w:rPr>
                <w:rFonts w:hint="eastAsia"/>
                <w:sz w:val="22"/>
                <w:szCs w:val="22"/>
                <w:lang w:eastAsia="zh-CN"/>
              </w:rPr>
              <w:t>4</w:t>
            </w:r>
            <w:r>
              <w:rPr>
                <w:sz w:val="22"/>
                <w:szCs w:val="22"/>
                <w:lang w:eastAsia="zh-CN"/>
              </w:rPr>
              <w:t>分；每一小项方案基本完整、基本合理、基本可行得3分，每一小项方案简单、一般可行得1分；每缺一小项扣5分。</w:t>
            </w:r>
          </w:p>
        </w:tc>
        <w:tc>
          <w:tcPr>
            <w:tcW w:w="603" w:type="pct"/>
          </w:tcPr>
          <w:p w14:paraId="21EAEDE0">
            <w:pPr>
              <w:widowControl/>
              <w:kinsoku w:val="0"/>
              <w:autoSpaceDE w:val="0"/>
              <w:autoSpaceDN w:val="0"/>
              <w:adjustRightInd w:val="0"/>
              <w:snapToGrid w:val="0"/>
              <w:spacing w:line="260" w:lineRule="exact"/>
              <w:textAlignment w:val="baseline"/>
              <w:rPr>
                <w:rFonts w:ascii="Arial"/>
              </w:rPr>
            </w:pPr>
          </w:p>
          <w:p w14:paraId="54F46F15">
            <w:pPr>
              <w:widowControl/>
              <w:kinsoku w:val="0"/>
              <w:autoSpaceDE w:val="0"/>
              <w:autoSpaceDN w:val="0"/>
              <w:adjustRightInd w:val="0"/>
              <w:snapToGrid w:val="0"/>
              <w:spacing w:line="260" w:lineRule="exact"/>
              <w:textAlignment w:val="baseline"/>
              <w:rPr>
                <w:rFonts w:ascii="Arial"/>
              </w:rPr>
            </w:pPr>
          </w:p>
          <w:p w14:paraId="2308F56A">
            <w:pPr>
              <w:pStyle w:val="16"/>
              <w:widowControl/>
              <w:kinsoku w:val="0"/>
              <w:autoSpaceDE w:val="0"/>
              <w:autoSpaceDN w:val="0"/>
              <w:adjustRightInd w:val="0"/>
              <w:snapToGrid w:val="0"/>
              <w:spacing w:before="71" w:line="260" w:lineRule="exact"/>
              <w:ind w:left="312"/>
              <w:textAlignment w:val="baseline"/>
              <w:rPr>
                <w:sz w:val="22"/>
                <w:szCs w:val="22"/>
                <w:lang w:eastAsia="zh-CN"/>
              </w:rPr>
            </w:pPr>
            <w:r>
              <w:rPr>
                <w:rFonts w:hint="eastAsia"/>
                <w:spacing w:val="-6"/>
                <w:sz w:val="22"/>
                <w:szCs w:val="22"/>
                <w:lang w:eastAsia="zh-CN"/>
              </w:rPr>
              <w:t>16</w:t>
            </w:r>
          </w:p>
        </w:tc>
      </w:tr>
      <w:tr w14:paraId="43AD7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524" w:type="pct"/>
            <w:vMerge w:val="continue"/>
          </w:tcPr>
          <w:p w14:paraId="30F711DB">
            <w:pPr>
              <w:widowControl/>
              <w:kinsoku w:val="0"/>
              <w:autoSpaceDE w:val="0"/>
              <w:autoSpaceDN w:val="0"/>
              <w:adjustRightInd w:val="0"/>
              <w:snapToGrid w:val="0"/>
              <w:spacing w:line="260" w:lineRule="exact"/>
              <w:textAlignment w:val="baseline"/>
              <w:rPr>
                <w:rFonts w:ascii="Arial"/>
              </w:rPr>
            </w:pPr>
          </w:p>
        </w:tc>
        <w:tc>
          <w:tcPr>
            <w:tcW w:w="522" w:type="pct"/>
          </w:tcPr>
          <w:p w14:paraId="10429DE2">
            <w:pPr>
              <w:widowControl/>
              <w:kinsoku w:val="0"/>
              <w:autoSpaceDE w:val="0"/>
              <w:autoSpaceDN w:val="0"/>
              <w:adjustRightInd w:val="0"/>
              <w:snapToGrid w:val="0"/>
              <w:spacing w:line="260" w:lineRule="exact"/>
              <w:textAlignment w:val="baseline"/>
              <w:rPr>
                <w:rFonts w:ascii="Arial"/>
              </w:rPr>
            </w:pPr>
          </w:p>
          <w:p w14:paraId="3CAAD356">
            <w:pPr>
              <w:widowControl/>
              <w:kinsoku w:val="0"/>
              <w:autoSpaceDE w:val="0"/>
              <w:autoSpaceDN w:val="0"/>
              <w:adjustRightInd w:val="0"/>
              <w:snapToGrid w:val="0"/>
              <w:spacing w:line="260" w:lineRule="exact"/>
              <w:textAlignment w:val="baseline"/>
              <w:rPr>
                <w:rFonts w:ascii="Arial"/>
              </w:rPr>
            </w:pPr>
          </w:p>
          <w:p w14:paraId="364D71B4">
            <w:pPr>
              <w:widowControl/>
              <w:kinsoku w:val="0"/>
              <w:autoSpaceDE w:val="0"/>
              <w:autoSpaceDN w:val="0"/>
              <w:adjustRightInd w:val="0"/>
              <w:snapToGrid w:val="0"/>
              <w:spacing w:line="260" w:lineRule="exact"/>
              <w:textAlignment w:val="baseline"/>
              <w:rPr>
                <w:rFonts w:ascii="Arial"/>
              </w:rPr>
            </w:pPr>
          </w:p>
          <w:p w14:paraId="0BA265E2">
            <w:pPr>
              <w:pStyle w:val="16"/>
              <w:widowControl/>
              <w:kinsoku w:val="0"/>
              <w:autoSpaceDE w:val="0"/>
              <w:autoSpaceDN w:val="0"/>
              <w:adjustRightInd w:val="0"/>
              <w:snapToGrid w:val="0"/>
              <w:spacing w:before="72" w:line="260" w:lineRule="exact"/>
              <w:ind w:left="61"/>
              <w:textAlignment w:val="baseline"/>
              <w:rPr>
                <w:sz w:val="22"/>
                <w:szCs w:val="22"/>
              </w:rPr>
            </w:pPr>
            <w:r>
              <w:rPr>
                <w:spacing w:val="-2"/>
                <w:sz w:val="22"/>
                <w:szCs w:val="22"/>
              </w:rPr>
              <w:t>作业安全文</w:t>
            </w:r>
            <w:r>
              <w:rPr>
                <w:spacing w:val="-10"/>
                <w:sz w:val="22"/>
                <w:szCs w:val="22"/>
              </w:rPr>
              <w:t>明措施</w:t>
            </w:r>
          </w:p>
        </w:tc>
        <w:tc>
          <w:tcPr>
            <w:tcW w:w="3349" w:type="pct"/>
          </w:tcPr>
          <w:p w14:paraId="6A6AC8A1">
            <w:pPr>
              <w:pStyle w:val="16"/>
              <w:widowControl/>
              <w:kinsoku w:val="0"/>
              <w:autoSpaceDE w:val="0"/>
              <w:autoSpaceDN w:val="0"/>
              <w:adjustRightInd w:val="0"/>
              <w:snapToGrid w:val="0"/>
              <w:spacing w:before="145" w:line="260" w:lineRule="exact"/>
              <w:ind w:left="11" w:firstLine="1"/>
              <w:textAlignment w:val="baseline"/>
              <w:rPr>
                <w:sz w:val="22"/>
                <w:szCs w:val="22"/>
                <w:lang w:eastAsia="zh-CN"/>
              </w:rPr>
            </w:pPr>
            <w:r>
              <w:rPr>
                <w:sz w:val="22"/>
                <w:szCs w:val="22"/>
                <w:lang w:eastAsia="zh-CN"/>
              </w:rPr>
              <w:t>根据本项目作业内容及要求，提供详细的确保安全、文明作业的技术和组织措施,内容包含但不限于:①安全管理目标；②安全管理制度；③现场作业安全防范措施；④人员和现场安全应急预案；⑤安全文明作业措施进行评分：</w:t>
            </w:r>
          </w:p>
          <w:p w14:paraId="128D9BDD">
            <w:pPr>
              <w:pStyle w:val="16"/>
              <w:widowControl/>
              <w:kinsoku w:val="0"/>
              <w:autoSpaceDE w:val="0"/>
              <w:autoSpaceDN w:val="0"/>
              <w:adjustRightInd w:val="0"/>
              <w:snapToGrid w:val="0"/>
              <w:spacing w:before="145" w:line="260" w:lineRule="exact"/>
              <w:ind w:left="11" w:firstLine="1"/>
              <w:textAlignment w:val="baseline"/>
              <w:rPr>
                <w:sz w:val="22"/>
                <w:szCs w:val="22"/>
                <w:lang w:eastAsia="zh-CN"/>
              </w:rPr>
            </w:pPr>
            <w:r>
              <w:rPr>
                <w:sz w:val="22"/>
                <w:szCs w:val="22"/>
                <w:lang w:eastAsia="zh-CN"/>
              </w:rPr>
              <w:t>每一小项方案方案详细完整、有针对性、合理可行性强得3分；每一小项方案基本完整、基本合理、基本可行得2分，每一小项</w:t>
            </w:r>
            <w:bookmarkStart w:id="5" w:name="_GoBack"/>
            <w:bookmarkEnd w:id="5"/>
            <w:r>
              <w:rPr>
                <w:sz w:val="22"/>
                <w:szCs w:val="22"/>
                <w:lang w:eastAsia="zh-CN"/>
              </w:rPr>
              <w:t>方案简单、一般可行得1分；每缺一小项扣3分。</w:t>
            </w:r>
          </w:p>
        </w:tc>
        <w:tc>
          <w:tcPr>
            <w:tcW w:w="603" w:type="pct"/>
          </w:tcPr>
          <w:p w14:paraId="15B43953">
            <w:pPr>
              <w:widowControl/>
              <w:kinsoku w:val="0"/>
              <w:autoSpaceDE w:val="0"/>
              <w:autoSpaceDN w:val="0"/>
              <w:adjustRightInd w:val="0"/>
              <w:snapToGrid w:val="0"/>
              <w:spacing w:line="260" w:lineRule="exact"/>
              <w:textAlignment w:val="baseline"/>
              <w:rPr>
                <w:rFonts w:ascii="Arial"/>
              </w:rPr>
            </w:pPr>
          </w:p>
          <w:p w14:paraId="6C155980">
            <w:pPr>
              <w:widowControl/>
              <w:kinsoku w:val="0"/>
              <w:autoSpaceDE w:val="0"/>
              <w:autoSpaceDN w:val="0"/>
              <w:adjustRightInd w:val="0"/>
              <w:snapToGrid w:val="0"/>
              <w:spacing w:line="260" w:lineRule="exact"/>
              <w:textAlignment w:val="baseline"/>
              <w:rPr>
                <w:rFonts w:ascii="Arial"/>
              </w:rPr>
            </w:pPr>
          </w:p>
          <w:p w14:paraId="6C53034E">
            <w:pPr>
              <w:widowControl/>
              <w:kinsoku w:val="0"/>
              <w:autoSpaceDE w:val="0"/>
              <w:autoSpaceDN w:val="0"/>
              <w:adjustRightInd w:val="0"/>
              <w:snapToGrid w:val="0"/>
              <w:spacing w:line="260" w:lineRule="exact"/>
              <w:textAlignment w:val="baseline"/>
              <w:rPr>
                <w:rFonts w:ascii="Arial"/>
              </w:rPr>
            </w:pPr>
          </w:p>
          <w:p w14:paraId="559A0DD5">
            <w:pPr>
              <w:pStyle w:val="16"/>
              <w:widowControl/>
              <w:kinsoku w:val="0"/>
              <w:autoSpaceDE w:val="0"/>
              <w:autoSpaceDN w:val="0"/>
              <w:adjustRightInd w:val="0"/>
              <w:snapToGrid w:val="0"/>
              <w:spacing w:before="72" w:line="260" w:lineRule="exact"/>
              <w:ind w:left="325"/>
              <w:textAlignment w:val="baseline"/>
              <w:rPr>
                <w:sz w:val="22"/>
                <w:szCs w:val="22"/>
              </w:rPr>
            </w:pPr>
            <w:r>
              <w:rPr>
                <w:spacing w:val="-13"/>
                <w:sz w:val="22"/>
                <w:szCs w:val="22"/>
              </w:rPr>
              <w:t>15</w:t>
            </w:r>
          </w:p>
        </w:tc>
      </w:tr>
      <w:tr w14:paraId="5D170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5" w:hRule="atLeast"/>
        </w:trPr>
        <w:tc>
          <w:tcPr>
            <w:tcW w:w="524" w:type="pct"/>
            <w:vMerge w:val="continue"/>
          </w:tcPr>
          <w:p w14:paraId="6D3D8C3C">
            <w:pPr>
              <w:widowControl/>
              <w:kinsoku w:val="0"/>
              <w:autoSpaceDE w:val="0"/>
              <w:autoSpaceDN w:val="0"/>
              <w:adjustRightInd w:val="0"/>
              <w:snapToGrid w:val="0"/>
              <w:spacing w:line="260" w:lineRule="exact"/>
              <w:textAlignment w:val="baseline"/>
              <w:rPr>
                <w:rFonts w:ascii="Arial"/>
              </w:rPr>
            </w:pPr>
          </w:p>
        </w:tc>
        <w:tc>
          <w:tcPr>
            <w:tcW w:w="522" w:type="pct"/>
          </w:tcPr>
          <w:p w14:paraId="235C4EE7">
            <w:pPr>
              <w:widowControl/>
              <w:kinsoku w:val="0"/>
              <w:autoSpaceDE w:val="0"/>
              <w:autoSpaceDN w:val="0"/>
              <w:adjustRightInd w:val="0"/>
              <w:snapToGrid w:val="0"/>
              <w:spacing w:line="260" w:lineRule="exact"/>
              <w:textAlignment w:val="baseline"/>
              <w:rPr>
                <w:rFonts w:ascii="Arial"/>
              </w:rPr>
            </w:pPr>
          </w:p>
          <w:p w14:paraId="6316396D">
            <w:pPr>
              <w:widowControl/>
              <w:kinsoku w:val="0"/>
              <w:autoSpaceDE w:val="0"/>
              <w:autoSpaceDN w:val="0"/>
              <w:adjustRightInd w:val="0"/>
              <w:snapToGrid w:val="0"/>
              <w:spacing w:line="260" w:lineRule="exact"/>
              <w:textAlignment w:val="baseline"/>
              <w:rPr>
                <w:rFonts w:ascii="Arial"/>
              </w:rPr>
            </w:pPr>
          </w:p>
          <w:p w14:paraId="70E00176">
            <w:pPr>
              <w:pStyle w:val="16"/>
              <w:widowControl/>
              <w:kinsoku w:val="0"/>
              <w:autoSpaceDE w:val="0"/>
              <w:autoSpaceDN w:val="0"/>
              <w:adjustRightInd w:val="0"/>
              <w:snapToGrid w:val="0"/>
              <w:spacing w:before="71" w:line="260" w:lineRule="exact"/>
              <w:ind w:left="13"/>
              <w:textAlignment w:val="baseline"/>
              <w:rPr>
                <w:sz w:val="22"/>
                <w:szCs w:val="22"/>
                <w:lang w:eastAsia="zh-CN"/>
              </w:rPr>
            </w:pPr>
            <w:r>
              <w:rPr>
                <w:spacing w:val="-3"/>
                <w:sz w:val="22"/>
                <w:szCs w:val="22"/>
                <w:lang w:eastAsia="zh-CN"/>
              </w:rPr>
              <w:t>项目进度计</w:t>
            </w:r>
            <w:r>
              <w:rPr>
                <w:spacing w:val="-2"/>
                <w:sz w:val="22"/>
                <w:szCs w:val="22"/>
                <w:lang w:eastAsia="zh-CN"/>
              </w:rPr>
              <w:t>划与保证措</w:t>
            </w:r>
            <w:r>
              <w:rPr>
                <w:sz w:val="22"/>
                <w:szCs w:val="22"/>
                <w:lang w:eastAsia="zh-CN"/>
              </w:rPr>
              <w:t>施</w:t>
            </w:r>
          </w:p>
        </w:tc>
        <w:tc>
          <w:tcPr>
            <w:tcW w:w="3349" w:type="pct"/>
          </w:tcPr>
          <w:p w14:paraId="76E492A7">
            <w:pPr>
              <w:pStyle w:val="16"/>
              <w:widowControl/>
              <w:kinsoku w:val="0"/>
              <w:autoSpaceDE w:val="0"/>
              <w:autoSpaceDN w:val="0"/>
              <w:adjustRightInd w:val="0"/>
              <w:snapToGrid w:val="0"/>
              <w:spacing w:before="35" w:line="260" w:lineRule="exact"/>
              <w:ind w:left="8" w:firstLine="1"/>
              <w:textAlignment w:val="baseline"/>
              <w:rPr>
                <w:sz w:val="22"/>
                <w:szCs w:val="22"/>
                <w:lang w:eastAsia="zh-CN"/>
              </w:rPr>
            </w:pPr>
            <w:r>
              <w:rPr>
                <w:sz w:val="22"/>
                <w:szCs w:val="22"/>
                <w:lang w:eastAsia="zh-CN"/>
              </w:rPr>
              <w:t>根据本项目内容和服务期要求，提供详细的项目进度计划方案，内容包含但不限于:①时间(期限)计划安排方案(包括拆除、清运等关键节点</w:t>
            </w:r>
            <w:r>
              <w:rPr>
                <w:spacing w:val="4"/>
                <w:sz w:val="22"/>
                <w:szCs w:val="22"/>
                <w:lang w:eastAsia="zh-CN"/>
              </w:rPr>
              <w:t>）；</w:t>
            </w:r>
            <w:r>
              <w:rPr>
                <w:sz w:val="22"/>
                <w:szCs w:val="22"/>
                <w:lang w:eastAsia="zh-CN"/>
              </w:rPr>
              <w:t>②进度</w:t>
            </w:r>
            <w:r>
              <w:rPr>
                <w:spacing w:val="-1"/>
                <w:sz w:val="22"/>
                <w:szCs w:val="22"/>
                <w:lang w:eastAsia="zh-CN"/>
              </w:rPr>
              <w:t>保证措施</w:t>
            </w:r>
            <w:r>
              <w:rPr>
                <w:sz w:val="22"/>
                <w:szCs w:val="22"/>
                <w:lang w:eastAsia="zh-CN"/>
              </w:rPr>
              <w:t xml:space="preserve"> </w:t>
            </w:r>
            <w:r>
              <w:rPr>
                <w:spacing w:val="-2"/>
                <w:sz w:val="22"/>
                <w:szCs w:val="22"/>
                <w:lang w:eastAsia="zh-CN"/>
              </w:rPr>
              <w:t>进行评分：</w:t>
            </w:r>
          </w:p>
          <w:p w14:paraId="11B38FC1">
            <w:pPr>
              <w:pStyle w:val="16"/>
              <w:widowControl/>
              <w:kinsoku w:val="0"/>
              <w:autoSpaceDE w:val="0"/>
              <w:autoSpaceDN w:val="0"/>
              <w:adjustRightInd w:val="0"/>
              <w:snapToGrid w:val="0"/>
              <w:spacing w:before="1" w:line="260" w:lineRule="exact"/>
              <w:ind w:left="10" w:right="-74"/>
              <w:textAlignment w:val="baseline"/>
              <w:rPr>
                <w:sz w:val="22"/>
                <w:szCs w:val="22"/>
                <w:lang w:eastAsia="zh-CN"/>
              </w:rPr>
            </w:pPr>
            <w:r>
              <w:rPr>
                <w:spacing w:val="-3"/>
                <w:sz w:val="22"/>
                <w:szCs w:val="22"/>
                <w:lang w:eastAsia="zh-CN"/>
              </w:rPr>
              <w:t>每一小项方案详细完整、有针对性、合理可行性强得4分；</w:t>
            </w:r>
            <w:r>
              <w:rPr>
                <w:spacing w:val="-1"/>
                <w:sz w:val="22"/>
                <w:szCs w:val="22"/>
                <w:lang w:eastAsia="zh-CN"/>
              </w:rPr>
              <w:t>每一小项方案基本完整、基本合理、基本可行得3分，每一小项方案简单、一般可行得1分；每缺一小项扣4分。</w:t>
            </w:r>
          </w:p>
        </w:tc>
        <w:tc>
          <w:tcPr>
            <w:tcW w:w="603" w:type="pct"/>
          </w:tcPr>
          <w:p w14:paraId="00CA5B18">
            <w:pPr>
              <w:widowControl/>
              <w:kinsoku w:val="0"/>
              <w:autoSpaceDE w:val="0"/>
              <w:autoSpaceDN w:val="0"/>
              <w:adjustRightInd w:val="0"/>
              <w:snapToGrid w:val="0"/>
              <w:spacing w:line="260" w:lineRule="exact"/>
              <w:textAlignment w:val="baseline"/>
              <w:rPr>
                <w:rFonts w:ascii="Arial"/>
              </w:rPr>
            </w:pPr>
          </w:p>
          <w:p w14:paraId="267656A3">
            <w:pPr>
              <w:widowControl/>
              <w:kinsoku w:val="0"/>
              <w:autoSpaceDE w:val="0"/>
              <w:autoSpaceDN w:val="0"/>
              <w:adjustRightInd w:val="0"/>
              <w:snapToGrid w:val="0"/>
              <w:spacing w:line="260" w:lineRule="exact"/>
              <w:textAlignment w:val="baseline"/>
              <w:rPr>
                <w:rFonts w:ascii="Arial"/>
              </w:rPr>
            </w:pPr>
          </w:p>
          <w:p w14:paraId="23CF7725">
            <w:pPr>
              <w:pStyle w:val="16"/>
              <w:widowControl/>
              <w:kinsoku w:val="0"/>
              <w:autoSpaceDE w:val="0"/>
              <w:autoSpaceDN w:val="0"/>
              <w:adjustRightInd w:val="0"/>
              <w:snapToGrid w:val="0"/>
              <w:spacing w:before="71" w:line="260" w:lineRule="exact"/>
              <w:ind w:left="365"/>
              <w:textAlignment w:val="baseline"/>
              <w:rPr>
                <w:sz w:val="22"/>
                <w:szCs w:val="22"/>
              </w:rPr>
            </w:pPr>
            <w:r>
              <w:rPr>
                <w:sz w:val="22"/>
                <w:szCs w:val="22"/>
              </w:rPr>
              <w:t>8</w:t>
            </w:r>
          </w:p>
        </w:tc>
      </w:tr>
      <w:tr w14:paraId="463DA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524" w:type="pct"/>
            <w:vMerge w:val="continue"/>
          </w:tcPr>
          <w:p w14:paraId="4132B809">
            <w:pPr>
              <w:widowControl/>
              <w:kinsoku w:val="0"/>
              <w:autoSpaceDE w:val="0"/>
              <w:autoSpaceDN w:val="0"/>
              <w:adjustRightInd w:val="0"/>
              <w:snapToGrid w:val="0"/>
              <w:spacing w:line="260" w:lineRule="exact"/>
              <w:textAlignment w:val="baseline"/>
              <w:rPr>
                <w:rFonts w:ascii="Arial"/>
              </w:rPr>
            </w:pPr>
          </w:p>
        </w:tc>
        <w:tc>
          <w:tcPr>
            <w:tcW w:w="522" w:type="pct"/>
          </w:tcPr>
          <w:p w14:paraId="311F5F8A">
            <w:pPr>
              <w:widowControl/>
              <w:kinsoku w:val="0"/>
              <w:autoSpaceDE w:val="0"/>
              <w:autoSpaceDN w:val="0"/>
              <w:adjustRightInd w:val="0"/>
              <w:snapToGrid w:val="0"/>
              <w:spacing w:line="260" w:lineRule="exact"/>
              <w:textAlignment w:val="baseline"/>
              <w:rPr>
                <w:rFonts w:ascii="Arial"/>
              </w:rPr>
            </w:pPr>
          </w:p>
          <w:p w14:paraId="2308AA9B">
            <w:pPr>
              <w:pStyle w:val="16"/>
              <w:widowControl/>
              <w:kinsoku w:val="0"/>
              <w:autoSpaceDE w:val="0"/>
              <w:autoSpaceDN w:val="0"/>
              <w:adjustRightInd w:val="0"/>
              <w:snapToGrid w:val="0"/>
              <w:spacing w:before="65" w:line="260" w:lineRule="exact"/>
              <w:ind w:left="189"/>
              <w:textAlignment w:val="baseline"/>
              <w:rPr>
                <w:sz w:val="20"/>
                <w:szCs w:val="20"/>
              </w:rPr>
            </w:pPr>
            <w:r>
              <w:rPr>
                <w:spacing w:val="7"/>
                <w:sz w:val="20"/>
                <w:szCs w:val="20"/>
              </w:rPr>
              <w:t>服务承诺</w:t>
            </w:r>
          </w:p>
        </w:tc>
        <w:tc>
          <w:tcPr>
            <w:tcW w:w="3349" w:type="pct"/>
          </w:tcPr>
          <w:p w14:paraId="4ADF4A48">
            <w:pPr>
              <w:pStyle w:val="16"/>
              <w:widowControl/>
              <w:kinsoku w:val="0"/>
              <w:autoSpaceDE w:val="0"/>
              <w:autoSpaceDN w:val="0"/>
              <w:adjustRightInd w:val="0"/>
              <w:snapToGrid w:val="0"/>
              <w:spacing w:before="35" w:line="260" w:lineRule="exact"/>
              <w:ind w:left="11" w:right="-69" w:hanging="1"/>
              <w:textAlignment w:val="baseline"/>
              <w:rPr>
                <w:sz w:val="22"/>
                <w:szCs w:val="22"/>
                <w:lang w:eastAsia="zh-CN"/>
              </w:rPr>
            </w:pPr>
            <w:r>
              <w:rPr>
                <w:spacing w:val="7"/>
                <w:sz w:val="20"/>
                <w:szCs w:val="20"/>
                <w:lang w:eastAsia="zh-CN"/>
              </w:rPr>
              <w:t>根据供应商对本项目的作业内容提供的服务承诺方案进行综合评分：</w:t>
            </w:r>
            <w:r>
              <w:rPr>
                <w:spacing w:val="-1"/>
                <w:sz w:val="22"/>
                <w:szCs w:val="22"/>
                <w:lang w:eastAsia="zh-CN"/>
              </w:rPr>
              <w:t>方案详细完整、有针对性、合理可行性强得</w:t>
            </w:r>
            <w:r>
              <w:rPr>
                <w:rFonts w:hint="eastAsia"/>
                <w:spacing w:val="-1"/>
                <w:sz w:val="22"/>
                <w:szCs w:val="22"/>
                <w:lang w:eastAsia="zh-CN"/>
              </w:rPr>
              <w:t>3</w:t>
            </w:r>
            <w:r>
              <w:rPr>
                <w:spacing w:val="-1"/>
                <w:sz w:val="22"/>
                <w:szCs w:val="22"/>
                <w:lang w:eastAsia="zh-CN"/>
              </w:rPr>
              <w:t>分；</w:t>
            </w:r>
            <w:r>
              <w:rPr>
                <w:spacing w:val="-3"/>
                <w:sz w:val="22"/>
                <w:szCs w:val="22"/>
                <w:lang w:eastAsia="zh-CN"/>
              </w:rPr>
              <w:t>方案基本完整、基本合理、基本可行得</w:t>
            </w:r>
            <w:r>
              <w:rPr>
                <w:rFonts w:hint="eastAsia"/>
                <w:spacing w:val="-3"/>
                <w:sz w:val="22"/>
                <w:szCs w:val="22"/>
                <w:lang w:eastAsia="zh-CN"/>
              </w:rPr>
              <w:t>2</w:t>
            </w:r>
            <w:r>
              <w:rPr>
                <w:spacing w:val="-3"/>
                <w:sz w:val="22"/>
                <w:szCs w:val="22"/>
                <w:lang w:eastAsia="zh-CN"/>
              </w:rPr>
              <w:t>分，</w:t>
            </w:r>
            <w:r>
              <w:rPr>
                <w:spacing w:val="-1"/>
                <w:sz w:val="22"/>
                <w:szCs w:val="22"/>
                <w:lang w:eastAsia="zh-CN"/>
              </w:rPr>
              <w:t>方案简单、一般可行得</w:t>
            </w:r>
            <w:r>
              <w:rPr>
                <w:rFonts w:hint="eastAsia"/>
                <w:spacing w:val="-1"/>
                <w:sz w:val="22"/>
                <w:szCs w:val="22"/>
                <w:lang w:eastAsia="zh-CN"/>
              </w:rPr>
              <w:t>1</w:t>
            </w:r>
            <w:r>
              <w:rPr>
                <w:spacing w:val="-1"/>
                <w:sz w:val="22"/>
                <w:szCs w:val="22"/>
                <w:lang w:eastAsia="zh-CN"/>
              </w:rPr>
              <w:t>分；</w:t>
            </w:r>
            <w:r>
              <w:rPr>
                <w:spacing w:val="-2"/>
                <w:sz w:val="22"/>
                <w:szCs w:val="22"/>
                <w:lang w:eastAsia="zh-CN"/>
              </w:rPr>
              <w:t>未提供方案得0分。</w:t>
            </w:r>
          </w:p>
        </w:tc>
        <w:tc>
          <w:tcPr>
            <w:tcW w:w="603" w:type="pct"/>
          </w:tcPr>
          <w:p w14:paraId="2F8F6608">
            <w:pPr>
              <w:widowControl/>
              <w:kinsoku w:val="0"/>
              <w:autoSpaceDE w:val="0"/>
              <w:autoSpaceDN w:val="0"/>
              <w:adjustRightInd w:val="0"/>
              <w:snapToGrid w:val="0"/>
              <w:spacing w:line="260" w:lineRule="exact"/>
              <w:textAlignment w:val="baseline"/>
              <w:rPr>
                <w:rFonts w:ascii="Arial"/>
              </w:rPr>
            </w:pPr>
          </w:p>
          <w:p w14:paraId="71C48788">
            <w:pPr>
              <w:pStyle w:val="16"/>
              <w:widowControl/>
              <w:kinsoku w:val="0"/>
              <w:autoSpaceDE w:val="0"/>
              <w:autoSpaceDN w:val="0"/>
              <w:adjustRightInd w:val="0"/>
              <w:snapToGrid w:val="0"/>
              <w:spacing w:before="72" w:line="260" w:lineRule="exact"/>
              <w:ind w:left="369"/>
              <w:textAlignment w:val="baseline"/>
              <w:rPr>
                <w:sz w:val="22"/>
                <w:szCs w:val="22"/>
                <w:lang w:eastAsia="zh-CN"/>
              </w:rPr>
            </w:pPr>
            <w:r>
              <w:rPr>
                <w:rFonts w:hint="eastAsia"/>
                <w:sz w:val="22"/>
                <w:szCs w:val="22"/>
                <w:lang w:eastAsia="zh-CN"/>
              </w:rPr>
              <w:t>3</w:t>
            </w:r>
          </w:p>
        </w:tc>
      </w:tr>
      <w:tr w14:paraId="1316A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4396" w:type="pct"/>
            <w:gridSpan w:val="3"/>
          </w:tcPr>
          <w:p w14:paraId="34510545">
            <w:pPr>
              <w:pStyle w:val="16"/>
              <w:widowControl/>
              <w:kinsoku w:val="0"/>
              <w:autoSpaceDE w:val="0"/>
              <w:autoSpaceDN w:val="0"/>
              <w:adjustRightInd w:val="0"/>
              <w:snapToGrid w:val="0"/>
              <w:spacing w:before="32" w:line="260" w:lineRule="exact"/>
              <w:ind w:left="4700"/>
              <w:textAlignment w:val="baseline"/>
              <w:rPr>
                <w:sz w:val="22"/>
                <w:szCs w:val="22"/>
              </w:rPr>
            </w:pPr>
            <w:r>
              <w:rPr>
                <w:spacing w:val="-7"/>
                <w:sz w:val="22"/>
                <w:szCs w:val="22"/>
              </w:rPr>
              <w:t>总</w:t>
            </w:r>
            <w:r>
              <w:rPr>
                <w:spacing w:val="5"/>
                <w:sz w:val="22"/>
                <w:szCs w:val="22"/>
              </w:rPr>
              <w:t xml:space="preserve">  </w:t>
            </w:r>
            <w:r>
              <w:rPr>
                <w:spacing w:val="-7"/>
                <w:sz w:val="22"/>
                <w:szCs w:val="22"/>
              </w:rPr>
              <w:t>分</w:t>
            </w:r>
          </w:p>
        </w:tc>
        <w:tc>
          <w:tcPr>
            <w:tcW w:w="603" w:type="pct"/>
          </w:tcPr>
          <w:p w14:paraId="741C424D">
            <w:pPr>
              <w:pStyle w:val="16"/>
              <w:widowControl/>
              <w:kinsoku w:val="0"/>
              <w:autoSpaceDE w:val="0"/>
              <w:autoSpaceDN w:val="0"/>
              <w:adjustRightInd w:val="0"/>
              <w:snapToGrid w:val="0"/>
              <w:spacing w:before="32" w:line="260" w:lineRule="exact"/>
              <w:ind w:left="162"/>
              <w:textAlignment w:val="baseline"/>
              <w:rPr>
                <w:sz w:val="22"/>
                <w:szCs w:val="22"/>
              </w:rPr>
            </w:pPr>
            <w:r>
              <w:rPr>
                <w:spacing w:val="-6"/>
                <w:sz w:val="22"/>
                <w:szCs w:val="22"/>
              </w:rPr>
              <w:t>100分</w:t>
            </w:r>
          </w:p>
        </w:tc>
      </w:tr>
      <w:tr w14:paraId="0702F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3" w:hRule="atLeast"/>
        </w:trPr>
        <w:tc>
          <w:tcPr>
            <w:tcW w:w="5000" w:type="pct"/>
            <w:gridSpan w:val="4"/>
          </w:tcPr>
          <w:p w14:paraId="1EEF8469">
            <w:pPr>
              <w:pStyle w:val="16"/>
              <w:widowControl/>
              <w:kinsoku w:val="0"/>
              <w:autoSpaceDE w:val="0"/>
              <w:autoSpaceDN w:val="0"/>
              <w:adjustRightInd w:val="0"/>
              <w:snapToGrid w:val="0"/>
              <w:spacing w:before="70" w:line="260" w:lineRule="exact"/>
              <w:ind w:left="131"/>
              <w:textAlignment w:val="baseline"/>
              <w:rPr>
                <w:sz w:val="22"/>
                <w:szCs w:val="22"/>
                <w:lang w:eastAsia="zh-CN"/>
              </w:rPr>
            </w:pPr>
            <w:r>
              <w:rPr>
                <w:spacing w:val="5"/>
                <w:sz w:val="22"/>
                <w:szCs w:val="22"/>
                <w:lang w:eastAsia="zh-CN"/>
              </w:rPr>
              <w:t>上述技术方案中，区间量化指标 :</w:t>
            </w:r>
          </w:p>
          <w:p w14:paraId="6EBA23D2">
            <w:pPr>
              <w:pStyle w:val="16"/>
              <w:widowControl/>
              <w:kinsoku w:val="0"/>
              <w:autoSpaceDE w:val="0"/>
              <w:autoSpaceDN w:val="0"/>
              <w:adjustRightInd w:val="0"/>
              <w:snapToGrid w:val="0"/>
              <w:spacing w:before="189" w:line="260" w:lineRule="exact"/>
              <w:ind w:left="160"/>
              <w:textAlignment w:val="baseline"/>
              <w:rPr>
                <w:sz w:val="22"/>
                <w:szCs w:val="22"/>
                <w:lang w:eastAsia="zh-CN"/>
              </w:rPr>
            </w:pPr>
            <w:r>
              <w:rPr>
                <w:spacing w:val="6"/>
                <w:sz w:val="22"/>
                <w:szCs w:val="22"/>
                <w:lang w:eastAsia="zh-CN"/>
              </w:rPr>
              <w:t>1、详细、合理、全面、完善、可行性强：</w:t>
            </w:r>
          </w:p>
          <w:p w14:paraId="2746A080">
            <w:pPr>
              <w:pStyle w:val="16"/>
              <w:widowControl/>
              <w:kinsoku w:val="0"/>
              <w:autoSpaceDE w:val="0"/>
              <w:autoSpaceDN w:val="0"/>
              <w:adjustRightInd w:val="0"/>
              <w:snapToGrid w:val="0"/>
              <w:spacing w:before="189" w:line="260" w:lineRule="exact"/>
              <w:ind w:left="143"/>
              <w:textAlignment w:val="baseline"/>
              <w:rPr>
                <w:sz w:val="22"/>
                <w:szCs w:val="22"/>
                <w:lang w:eastAsia="zh-CN"/>
              </w:rPr>
            </w:pPr>
            <w:r>
              <w:rPr>
                <w:spacing w:val="5"/>
                <w:sz w:val="22"/>
                <w:szCs w:val="22"/>
                <w:lang w:eastAsia="zh-CN"/>
              </w:rPr>
              <w:t>（1）方案完全响应采购需求要求</w:t>
            </w:r>
            <w:r>
              <w:rPr>
                <w:rFonts w:hint="eastAsia"/>
                <w:spacing w:val="5"/>
                <w:sz w:val="22"/>
                <w:szCs w:val="22"/>
                <w:lang w:eastAsia="zh-CN"/>
              </w:rPr>
              <w:t>；</w:t>
            </w:r>
          </w:p>
          <w:p w14:paraId="0FFC82EF">
            <w:pPr>
              <w:pStyle w:val="16"/>
              <w:widowControl/>
              <w:kinsoku w:val="0"/>
              <w:autoSpaceDE w:val="0"/>
              <w:autoSpaceDN w:val="0"/>
              <w:adjustRightInd w:val="0"/>
              <w:snapToGrid w:val="0"/>
              <w:spacing w:before="194" w:line="260" w:lineRule="exact"/>
              <w:ind w:left="143"/>
              <w:textAlignment w:val="baseline"/>
              <w:rPr>
                <w:sz w:val="22"/>
                <w:szCs w:val="22"/>
                <w:lang w:eastAsia="zh-CN"/>
              </w:rPr>
            </w:pPr>
            <w:r>
              <w:rPr>
                <w:spacing w:val="6"/>
                <w:sz w:val="22"/>
                <w:szCs w:val="22"/>
                <w:lang w:eastAsia="zh-CN"/>
              </w:rPr>
              <w:t>（2）对项目内容作了有针对性的全面、具体分析</w:t>
            </w:r>
            <w:r>
              <w:rPr>
                <w:rFonts w:hint="eastAsia"/>
                <w:spacing w:val="6"/>
                <w:sz w:val="22"/>
                <w:szCs w:val="22"/>
                <w:lang w:eastAsia="zh-CN"/>
              </w:rPr>
              <w:t>；</w:t>
            </w:r>
          </w:p>
          <w:p w14:paraId="7783BFDF">
            <w:pPr>
              <w:pStyle w:val="16"/>
              <w:widowControl/>
              <w:kinsoku w:val="0"/>
              <w:autoSpaceDE w:val="0"/>
              <w:autoSpaceDN w:val="0"/>
              <w:adjustRightInd w:val="0"/>
              <w:snapToGrid w:val="0"/>
              <w:spacing w:before="189" w:line="260" w:lineRule="exact"/>
              <w:ind w:left="143"/>
              <w:textAlignment w:val="baseline"/>
              <w:rPr>
                <w:sz w:val="22"/>
                <w:szCs w:val="22"/>
                <w:lang w:eastAsia="zh-CN"/>
              </w:rPr>
            </w:pPr>
            <w:r>
              <w:rPr>
                <w:spacing w:val="8"/>
                <w:sz w:val="22"/>
                <w:szCs w:val="22"/>
                <w:lang w:eastAsia="zh-CN"/>
              </w:rPr>
              <w:t>（3）提供的响应方案基于服务需求的全口径，提出了具有可行性的现状情况预判</w:t>
            </w:r>
            <w:r>
              <w:rPr>
                <w:rFonts w:hint="eastAsia"/>
                <w:spacing w:val="8"/>
                <w:sz w:val="22"/>
                <w:szCs w:val="22"/>
                <w:lang w:eastAsia="zh-CN"/>
              </w:rPr>
              <w:t>；</w:t>
            </w:r>
          </w:p>
          <w:p w14:paraId="3C8A227C">
            <w:pPr>
              <w:pStyle w:val="16"/>
              <w:widowControl/>
              <w:kinsoku w:val="0"/>
              <w:autoSpaceDE w:val="0"/>
              <w:autoSpaceDN w:val="0"/>
              <w:adjustRightInd w:val="0"/>
              <w:snapToGrid w:val="0"/>
              <w:spacing w:before="195" w:line="260" w:lineRule="exact"/>
              <w:ind w:left="201" w:right="-24" w:hanging="58"/>
              <w:textAlignment w:val="baseline"/>
              <w:rPr>
                <w:spacing w:val="7"/>
                <w:sz w:val="22"/>
                <w:szCs w:val="22"/>
                <w:lang w:eastAsia="zh-CN"/>
              </w:rPr>
            </w:pPr>
            <w:r>
              <w:rPr>
                <w:spacing w:val="7"/>
                <w:sz w:val="22"/>
                <w:szCs w:val="22"/>
                <w:lang w:eastAsia="zh-CN"/>
              </w:rPr>
              <w:t>（4）准确把握项目重难点，分析各类情况可能发生的不可预见性，并尽可能列多种详细预案</w:t>
            </w:r>
            <w:r>
              <w:rPr>
                <w:rFonts w:hint="eastAsia"/>
                <w:spacing w:val="7"/>
                <w:sz w:val="22"/>
                <w:szCs w:val="22"/>
                <w:lang w:eastAsia="zh-CN"/>
              </w:rPr>
              <w:t>；</w:t>
            </w:r>
          </w:p>
          <w:p w14:paraId="603CAFFE">
            <w:pPr>
              <w:pStyle w:val="16"/>
              <w:widowControl/>
              <w:kinsoku w:val="0"/>
              <w:autoSpaceDE w:val="0"/>
              <w:autoSpaceDN w:val="0"/>
              <w:adjustRightInd w:val="0"/>
              <w:snapToGrid w:val="0"/>
              <w:spacing w:before="195" w:line="260" w:lineRule="exact"/>
              <w:ind w:left="201" w:right="-24" w:hanging="58"/>
              <w:textAlignment w:val="baseline"/>
              <w:rPr>
                <w:sz w:val="22"/>
                <w:szCs w:val="22"/>
                <w:lang w:eastAsia="zh-CN"/>
              </w:rPr>
            </w:pPr>
            <w:r>
              <w:rPr>
                <w:spacing w:val="9"/>
                <w:sz w:val="22"/>
                <w:szCs w:val="22"/>
                <w:lang w:eastAsia="zh-CN"/>
              </w:rPr>
              <w:t xml:space="preserve"> </w:t>
            </w:r>
            <w:r>
              <w:rPr>
                <w:spacing w:val="6"/>
                <w:sz w:val="22"/>
                <w:szCs w:val="22"/>
                <w:lang w:eastAsia="zh-CN"/>
              </w:rPr>
              <w:t>(5)针对各类服务要求的不同特点及性能提供个性化的服务解决方案，也可以举例论证</w:t>
            </w:r>
            <w:r>
              <w:rPr>
                <w:rFonts w:hint="eastAsia"/>
                <w:spacing w:val="6"/>
                <w:sz w:val="22"/>
                <w:szCs w:val="22"/>
                <w:lang w:eastAsia="zh-CN"/>
              </w:rPr>
              <w:t>；</w:t>
            </w:r>
          </w:p>
          <w:p w14:paraId="7F240190">
            <w:pPr>
              <w:pStyle w:val="16"/>
              <w:widowControl/>
              <w:kinsoku w:val="0"/>
              <w:autoSpaceDE w:val="0"/>
              <w:autoSpaceDN w:val="0"/>
              <w:adjustRightInd w:val="0"/>
              <w:snapToGrid w:val="0"/>
              <w:spacing w:before="195" w:line="260" w:lineRule="exact"/>
              <w:ind w:left="143"/>
              <w:textAlignment w:val="baseline"/>
              <w:rPr>
                <w:sz w:val="22"/>
                <w:szCs w:val="22"/>
                <w:lang w:eastAsia="zh-CN"/>
              </w:rPr>
            </w:pPr>
            <w:r>
              <w:rPr>
                <w:spacing w:val="8"/>
                <w:sz w:val="22"/>
                <w:szCs w:val="22"/>
                <w:lang w:eastAsia="zh-CN"/>
              </w:rPr>
              <w:t>（6）对于资料、数据等响应方案的支撑材料提供细致，具体，具有一定的论证支撑性及可追溯性。</w:t>
            </w:r>
          </w:p>
          <w:p w14:paraId="69BC2B16">
            <w:pPr>
              <w:pStyle w:val="16"/>
              <w:widowControl/>
              <w:kinsoku w:val="0"/>
              <w:autoSpaceDE w:val="0"/>
              <w:autoSpaceDN w:val="0"/>
              <w:adjustRightInd w:val="0"/>
              <w:snapToGrid w:val="0"/>
              <w:spacing w:before="192" w:line="260" w:lineRule="exact"/>
              <w:ind w:left="132"/>
              <w:textAlignment w:val="baseline"/>
              <w:rPr>
                <w:sz w:val="22"/>
                <w:szCs w:val="22"/>
                <w:lang w:eastAsia="zh-CN"/>
              </w:rPr>
            </w:pPr>
            <w:r>
              <w:rPr>
                <w:spacing w:val="6"/>
                <w:sz w:val="22"/>
                <w:szCs w:val="22"/>
                <w:lang w:eastAsia="zh-CN"/>
              </w:rPr>
              <w:t>2、基本全面清晰、基本详细、基本合理可行 :</w:t>
            </w:r>
          </w:p>
          <w:p w14:paraId="5C3A276F">
            <w:pPr>
              <w:pStyle w:val="16"/>
              <w:widowControl/>
              <w:kinsoku w:val="0"/>
              <w:autoSpaceDE w:val="0"/>
              <w:autoSpaceDN w:val="0"/>
              <w:adjustRightInd w:val="0"/>
              <w:snapToGrid w:val="0"/>
              <w:spacing w:before="196" w:line="260" w:lineRule="exact"/>
              <w:ind w:left="143" w:right="2496"/>
              <w:textAlignment w:val="baseline"/>
              <w:rPr>
                <w:spacing w:val="4"/>
                <w:sz w:val="22"/>
                <w:szCs w:val="22"/>
                <w:lang w:eastAsia="zh-CN"/>
              </w:rPr>
            </w:pPr>
            <w:r>
              <w:rPr>
                <w:spacing w:val="6"/>
                <w:sz w:val="22"/>
                <w:szCs w:val="22"/>
                <w:lang w:eastAsia="zh-CN"/>
              </w:rPr>
              <w:t>（1）响应方案不完整，和采购需求存在微小偏差和响应缺项</w:t>
            </w:r>
            <w:r>
              <w:rPr>
                <w:rFonts w:hint="eastAsia"/>
                <w:spacing w:val="6"/>
                <w:sz w:val="22"/>
                <w:szCs w:val="22"/>
                <w:lang w:eastAsia="zh-CN"/>
              </w:rPr>
              <w:t>；</w:t>
            </w:r>
            <w:r>
              <w:rPr>
                <w:spacing w:val="4"/>
                <w:sz w:val="22"/>
                <w:szCs w:val="22"/>
                <w:lang w:eastAsia="zh-CN"/>
              </w:rPr>
              <w:t xml:space="preserve"> </w:t>
            </w:r>
          </w:p>
          <w:p w14:paraId="50D1CD6C">
            <w:pPr>
              <w:pStyle w:val="16"/>
              <w:widowControl/>
              <w:kinsoku w:val="0"/>
              <w:autoSpaceDE w:val="0"/>
              <w:autoSpaceDN w:val="0"/>
              <w:adjustRightInd w:val="0"/>
              <w:snapToGrid w:val="0"/>
              <w:spacing w:before="196" w:line="260" w:lineRule="exact"/>
              <w:ind w:left="143" w:right="2496"/>
              <w:textAlignment w:val="baseline"/>
              <w:rPr>
                <w:sz w:val="22"/>
                <w:szCs w:val="22"/>
                <w:lang w:eastAsia="zh-CN"/>
              </w:rPr>
            </w:pPr>
            <w:r>
              <w:rPr>
                <w:spacing w:val="6"/>
                <w:sz w:val="22"/>
                <w:szCs w:val="22"/>
                <w:lang w:eastAsia="zh-CN"/>
              </w:rPr>
              <w:t>（2）对项目内容分析有一定的层次性，能大体作现明目要求</w:t>
            </w:r>
            <w:r>
              <w:rPr>
                <w:rFonts w:hint="eastAsia"/>
                <w:spacing w:val="6"/>
                <w:sz w:val="22"/>
                <w:szCs w:val="22"/>
                <w:lang w:eastAsia="zh-CN"/>
              </w:rPr>
              <w:t>；</w:t>
            </w:r>
          </w:p>
          <w:p w14:paraId="714BD7D4">
            <w:pPr>
              <w:pStyle w:val="16"/>
              <w:widowControl/>
              <w:kinsoku w:val="0"/>
              <w:autoSpaceDE w:val="0"/>
              <w:autoSpaceDN w:val="0"/>
              <w:adjustRightInd w:val="0"/>
              <w:snapToGrid w:val="0"/>
              <w:spacing w:before="201" w:line="260" w:lineRule="exact"/>
              <w:ind w:left="143" w:right="396"/>
              <w:textAlignment w:val="baseline"/>
              <w:rPr>
                <w:spacing w:val="2"/>
                <w:sz w:val="22"/>
                <w:szCs w:val="22"/>
                <w:lang w:eastAsia="zh-CN"/>
              </w:rPr>
            </w:pPr>
            <w:r>
              <w:rPr>
                <w:spacing w:val="7"/>
                <w:sz w:val="22"/>
                <w:szCs w:val="22"/>
                <w:lang w:eastAsia="zh-CN"/>
              </w:rPr>
              <w:t>（3）只对方案作出标题式式的简单论证，并未展开分析或列明可行的具体解决方案</w:t>
            </w:r>
            <w:r>
              <w:rPr>
                <w:rFonts w:hint="eastAsia"/>
                <w:spacing w:val="7"/>
                <w:sz w:val="22"/>
                <w:szCs w:val="22"/>
                <w:lang w:eastAsia="zh-CN"/>
              </w:rPr>
              <w:t>；</w:t>
            </w:r>
            <w:r>
              <w:rPr>
                <w:spacing w:val="2"/>
                <w:sz w:val="22"/>
                <w:szCs w:val="22"/>
                <w:lang w:eastAsia="zh-CN"/>
              </w:rPr>
              <w:t xml:space="preserve"> </w:t>
            </w:r>
          </w:p>
          <w:p w14:paraId="1FC67516">
            <w:pPr>
              <w:pStyle w:val="16"/>
              <w:widowControl/>
              <w:kinsoku w:val="0"/>
              <w:autoSpaceDE w:val="0"/>
              <w:autoSpaceDN w:val="0"/>
              <w:adjustRightInd w:val="0"/>
              <w:snapToGrid w:val="0"/>
              <w:spacing w:before="201" w:line="260" w:lineRule="exact"/>
              <w:ind w:left="143" w:right="396"/>
              <w:textAlignment w:val="baseline"/>
              <w:rPr>
                <w:sz w:val="22"/>
                <w:szCs w:val="22"/>
                <w:lang w:eastAsia="zh-CN"/>
              </w:rPr>
            </w:pPr>
            <w:r>
              <w:rPr>
                <w:spacing w:val="6"/>
                <w:sz w:val="22"/>
                <w:szCs w:val="22"/>
                <w:lang w:eastAsia="zh-CN"/>
              </w:rPr>
              <w:t>（4）对服务的响应进行泛化-般描述，缺少针对性</w:t>
            </w:r>
            <w:r>
              <w:rPr>
                <w:rFonts w:hint="eastAsia"/>
                <w:spacing w:val="6"/>
                <w:sz w:val="22"/>
                <w:szCs w:val="22"/>
                <w:lang w:eastAsia="zh-CN"/>
              </w:rPr>
              <w:t>；</w:t>
            </w:r>
          </w:p>
          <w:p w14:paraId="773ED057">
            <w:pPr>
              <w:pStyle w:val="16"/>
              <w:widowControl/>
              <w:kinsoku w:val="0"/>
              <w:autoSpaceDE w:val="0"/>
              <w:autoSpaceDN w:val="0"/>
              <w:adjustRightInd w:val="0"/>
              <w:snapToGrid w:val="0"/>
              <w:spacing w:before="192" w:line="260" w:lineRule="exact"/>
              <w:ind w:left="202"/>
              <w:textAlignment w:val="baseline"/>
              <w:rPr>
                <w:sz w:val="22"/>
                <w:szCs w:val="22"/>
                <w:lang w:eastAsia="zh-CN"/>
              </w:rPr>
            </w:pPr>
            <w:r>
              <w:rPr>
                <w:spacing w:val="4"/>
                <w:sz w:val="22"/>
                <w:szCs w:val="22"/>
                <w:lang w:eastAsia="zh-CN"/>
              </w:rPr>
              <w:t>(5)部分资料、数据响应方案的支撑材料提供过于简单。</w:t>
            </w:r>
          </w:p>
          <w:p w14:paraId="70D6CEDD">
            <w:pPr>
              <w:pStyle w:val="16"/>
              <w:widowControl/>
              <w:kinsoku w:val="0"/>
              <w:autoSpaceDE w:val="0"/>
              <w:autoSpaceDN w:val="0"/>
              <w:adjustRightInd w:val="0"/>
              <w:snapToGrid w:val="0"/>
              <w:spacing w:before="195" w:line="260" w:lineRule="exact"/>
              <w:ind w:left="136"/>
              <w:textAlignment w:val="baseline"/>
              <w:rPr>
                <w:sz w:val="22"/>
                <w:szCs w:val="22"/>
                <w:lang w:eastAsia="zh-CN"/>
              </w:rPr>
            </w:pPr>
            <w:r>
              <w:rPr>
                <w:spacing w:val="4"/>
                <w:sz w:val="22"/>
                <w:szCs w:val="22"/>
                <w:lang w:eastAsia="zh-CN"/>
              </w:rPr>
              <w:t>3、简单、不全面、一般可行、不完整:</w:t>
            </w:r>
          </w:p>
          <w:p w14:paraId="1081F071">
            <w:pPr>
              <w:pStyle w:val="16"/>
              <w:widowControl/>
              <w:kinsoku w:val="0"/>
              <w:autoSpaceDE w:val="0"/>
              <w:autoSpaceDN w:val="0"/>
              <w:adjustRightInd w:val="0"/>
              <w:snapToGrid w:val="0"/>
              <w:spacing w:before="188" w:line="260" w:lineRule="exact"/>
              <w:ind w:left="202"/>
              <w:textAlignment w:val="baseline"/>
              <w:rPr>
                <w:sz w:val="22"/>
                <w:szCs w:val="22"/>
                <w:lang w:eastAsia="zh-CN"/>
              </w:rPr>
            </w:pPr>
            <w:r>
              <w:rPr>
                <w:spacing w:val="5"/>
                <w:sz w:val="22"/>
                <w:szCs w:val="22"/>
                <w:lang w:eastAsia="zh-CN"/>
              </w:rPr>
              <w:t>(1)响应方案没有完全响应采购需求，或</w:t>
            </w:r>
            <w:r>
              <w:rPr>
                <w:spacing w:val="4"/>
                <w:sz w:val="22"/>
                <w:szCs w:val="22"/>
                <w:lang w:eastAsia="zh-CN"/>
              </w:rPr>
              <w:t>有明显重大缺陷</w:t>
            </w:r>
            <w:r>
              <w:rPr>
                <w:rFonts w:hint="eastAsia"/>
                <w:spacing w:val="4"/>
                <w:sz w:val="22"/>
                <w:szCs w:val="22"/>
                <w:lang w:eastAsia="zh-CN"/>
              </w:rPr>
              <w:t>；</w:t>
            </w:r>
          </w:p>
          <w:p w14:paraId="4281AE85">
            <w:pPr>
              <w:pStyle w:val="16"/>
              <w:widowControl/>
              <w:kinsoku w:val="0"/>
              <w:autoSpaceDE w:val="0"/>
              <w:autoSpaceDN w:val="0"/>
              <w:adjustRightInd w:val="0"/>
              <w:snapToGrid w:val="0"/>
              <w:spacing w:before="191" w:line="260" w:lineRule="exact"/>
              <w:ind w:left="202" w:right="396"/>
              <w:textAlignment w:val="baseline"/>
              <w:rPr>
                <w:spacing w:val="5"/>
                <w:sz w:val="22"/>
                <w:szCs w:val="22"/>
                <w:lang w:eastAsia="zh-CN"/>
              </w:rPr>
            </w:pPr>
            <w:r>
              <w:rPr>
                <w:spacing w:val="5"/>
                <w:sz w:val="22"/>
                <w:szCs w:val="22"/>
                <w:lang w:eastAsia="zh-CN"/>
              </w:rPr>
              <w:t>(2)对项目内容分析缺乏层次性，对项目需求的体现不明显，或有明显重大缺陷</w:t>
            </w:r>
            <w:r>
              <w:rPr>
                <w:rFonts w:hint="eastAsia"/>
                <w:spacing w:val="5"/>
                <w:sz w:val="22"/>
                <w:szCs w:val="22"/>
                <w:lang w:eastAsia="zh-CN"/>
              </w:rPr>
              <w:t>；</w:t>
            </w:r>
          </w:p>
          <w:p w14:paraId="0DC6931C">
            <w:pPr>
              <w:pStyle w:val="16"/>
              <w:widowControl/>
              <w:kinsoku w:val="0"/>
              <w:autoSpaceDE w:val="0"/>
              <w:autoSpaceDN w:val="0"/>
              <w:adjustRightInd w:val="0"/>
              <w:snapToGrid w:val="0"/>
              <w:spacing w:before="191" w:line="260" w:lineRule="exact"/>
              <w:ind w:left="202" w:right="396"/>
              <w:textAlignment w:val="baseline"/>
              <w:rPr>
                <w:sz w:val="22"/>
                <w:szCs w:val="22"/>
                <w:lang w:eastAsia="zh-CN"/>
              </w:rPr>
            </w:pPr>
            <w:r>
              <w:rPr>
                <w:spacing w:val="4"/>
                <w:sz w:val="22"/>
                <w:szCs w:val="22"/>
                <w:lang w:eastAsia="zh-CN"/>
              </w:rPr>
              <w:t>(3)响应方案排列、响应情况杂乱，或文不对题。</w:t>
            </w:r>
          </w:p>
          <w:p w14:paraId="466F2D59">
            <w:pPr>
              <w:pStyle w:val="16"/>
              <w:widowControl/>
              <w:kinsoku w:val="0"/>
              <w:autoSpaceDE w:val="0"/>
              <w:autoSpaceDN w:val="0"/>
              <w:adjustRightInd w:val="0"/>
              <w:snapToGrid w:val="0"/>
              <w:spacing w:before="1" w:line="260" w:lineRule="exact"/>
              <w:textAlignment w:val="baseline"/>
              <w:rPr>
                <w:sz w:val="22"/>
                <w:szCs w:val="22"/>
              </w:rPr>
            </w:pPr>
            <w:r>
              <w:rPr>
                <w:spacing w:val="4"/>
                <w:sz w:val="22"/>
                <w:szCs w:val="22"/>
              </w:rPr>
              <w:t>4、未提供得0分。</w:t>
            </w:r>
          </w:p>
        </w:tc>
      </w:tr>
    </w:tbl>
    <w:p w14:paraId="52BE52DB">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207E8"/>
    <w:rsid w:val="00117F39"/>
    <w:rsid w:val="00F0599C"/>
    <w:rsid w:val="05D3666F"/>
    <w:rsid w:val="082E11B8"/>
    <w:rsid w:val="08EB7E9C"/>
    <w:rsid w:val="0D78108E"/>
    <w:rsid w:val="15063063"/>
    <w:rsid w:val="16D849B0"/>
    <w:rsid w:val="23844439"/>
    <w:rsid w:val="2874680A"/>
    <w:rsid w:val="3472629F"/>
    <w:rsid w:val="3694254D"/>
    <w:rsid w:val="38393506"/>
    <w:rsid w:val="38AA1662"/>
    <w:rsid w:val="40704C44"/>
    <w:rsid w:val="51704B4D"/>
    <w:rsid w:val="526F10C6"/>
    <w:rsid w:val="53B207E8"/>
    <w:rsid w:val="55C94C07"/>
    <w:rsid w:val="5A074571"/>
    <w:rsid w:val="5B400EAD"/>
    <w:rsid w:val="6649226F"/>
    <w:rsid w:val="67483D19"/>
    <w:rsid w:val="67BB4EE8"/>
    <w:rsid w:val="6B8D3F34"/>
    <w:rsid w:val="6FE300BC"/>
    <w:rsid w:val="783A2CEB"/>
    <w:rsid w:val="78BD1EDF"/>
    <w:rsid w:val="79E101A9"/>
    <w:rsid w:val="7D19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5"/>
    <w:basedOn w:val="1"/>
    <w:next w:val="1"/>
    <w:unhideWhenUsed/>
    <w:qFormat/>
    <w:uiPriority w:val="0"/>
    <w:pPr>
      <w:keepNext/>
      <w:keepLines/>
      <w:spacing w:before="280" w:after="290" w:line="376" w:lineRule="auto"/>
      <w:outlineLvl w:val="4"/>
    </w:pPr>
    <w:rPr>
      <w:rFonts w:ascii="Times New Roman" w:hAnsi="Times New Roman" w:cs="Times New Roman"/>
      <w:b/>
      <w:bCs/>
      <w:sz w:val="28"/>
      <w:szCs w:val="2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rPr>
      <w:rFonts w:ascii="宋体" w:hAnsi="宋体"/>
      <w:sz w:val="31"/>
      <w:szCs w:val="31"/>
      <w:lang w:eastAsia="en-US"/>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rPr>
  </w:style>
  <w:style w:type="paragraph" w:styleId="6">
    <w:name w:val="Normal (Web)"/>
    <w:basedOn w:val="1"/>
    <w:unhideWhenUsed/>
    <w:qFormat/>
    <w:uiPriority w:val="0"/>
    <w:pPr>
      <w:widowControl/>
      <w:spacing w:before="100" w:beforeAutospacing="1" w:after="100" w:afterAutospacing="1"/>
      <w:jc w:val="left"/>
    </w:pPr>
    <w:rPr>
      <w:rFonts w:ascii="宋体" w:hAnsi="宋体"/>
      <w:kern w:val="0"/>
      <w:sz w:val="24"/>
    </w:rPr>
  </w:style>
  <w:style w:type="paragraph" w:customStyle="1" w:styleId="9">
    <w:name w:val="Body text|3"/>
    <w:basedOn w:val="1"/>
    <w:qFormat/>
    <w:uiPriority w:val="0"/>
    <w:pPr>
      <w:spacing w:line="630" w:lineRule="exact"/>
      <w:ind w:left="1240"/>
    </w:pPr>
    <w:rPr>
      <w:rFonts w:ascii="宋体" w:hAnsi="宋体"/>
      <w:sz w:val="28"/>
      <w:szCs w:val="28"/>
      <w:lang w:val="zh-TW" w:eastAsia="zh-TW" w:bidi="zh-TW"/>
    </w:rPr>
  </w:style>
  <w:style w:type="paragraph" w:customStyle="1" w:styleId="10">
    <w:name w:val="Body text|4"/>
    <w:basedOn w:val="1"/>
    <w:qFormat/>
    <w:uiPriority w:val="0"/>
    <w:pPr>
      <w:spacing w:before="390" w:after="1290" w:line="343" w:lineRule="auto"/>
      <w:ind w:left="620"/>
      <w:jc w:val="center"/>
    </w:pPr>
    <w:rPr>
      <w:sz w:val="26"/>
      <w:szCs w:val="26"/>
    </w:rPr>
  </w:style>
  <w:style w:type="paragraph" w:customStyle="1" w:styleId="11">
    <w:name w:val="无间隔1"/>
    <w:qFormat/>
    <w:uiPriority w:val="99"/>
    <w:pPr>
      <w:widowControl w:val="0"/>
      <w:jc w:val="both"/>
    </w:pPr>
    <w:rPr>
      <w:rFonts w:ascii="Calibri" w:hAnsi="Calibri" w:eastAsia="宋体" w:cs="Times New Roman"/>
      <w:kern w:val="2"/>
      <w:sz w:val="21"/>
      <w:szCs w:val="21"/>
      <w:lang w:val="en-US" w:eastAsia="zh-CN" w:bidi="ar-SA"/>
    </w:rPr>
  </w:style>
  <w:style w:type="paragraph" w:customStyle="1" w:styleId="12">
    <w:name w:val="Body text|1"/>
    <w:basedOn w:val="1"/>
    <w:qFormat/>
    <w:uiPriority w:val="0"/>
    <w:pPr>
      <w:spacing w:line="480" w:lineRule="auto"/>
      <w:ind w:firstLine="400"/>
    </w:pPr>
    <w:rPr>
      <w:rFonts w:ascii="宋体" w:hAnsi="宋体"/>
      <w:sz w:val="20"/>
      <w:szCs w:val="20"/>
      <w:lang w:val="zh-TW" w:eastAsia="zh-TW" w:bidi="zh-TW"/>
    </w:rPr>
  </w:style>
  <w:style w:type="paragraph" w:customStyle="1" w:styleId="13">
    <w:name w:val="Body text|2"/>
    <w:basedOn w:val="1"/>
    <w:qFormat/>
    <w:uiPriority w:val="0"/>
    <w:pPr>
      <w:spacing w:line="509" w:lineRule="auto"/>
      <w:ind w:firstLine="420"/>
    </w:pPr>
    <w:rPr>
      <w:sz w:val="20"/>
      <w:szCs w:val="20"/>
      <w:u w:val="single"/>
    </w:rPr>
  </w:style>
  <w:style w:type="paragraph" w:customStyle="1" w:styleId="14">
    <w:name w:val="列出段落2"/>
    <w:basedOn w:val="1"/>
    <w:qFormat/>
    <w:uiPriority w:val="0"/>
    <w:pPr>
      <w:ind w:firstLine="420" w:firstLineChars="200"/>
    </w:pPr>
  </w:style>
  <w:style w:type="paragraph" w:customStyle="1" w:styleId="15">
    <w:name w:val="Other|1"/>
    <w:basedOn w:val="1"/>
    <w:qFormat/>
    <w:uiPriority w:val="0"/>
    <w:pPr>
      <w:spacing w:line="480" w:lineRule="auto"/>
      <w:ind w:firstLine="400"/>
    </w:pPr>
    <w:rPr>
      <w:rFonts w:ascii="宋体" w:hAnsi="宋体"/>
      <w:sz w:val="20"/>
      <w:szCs w:val="20"/>
      <w:lang w:val="zh-TW" w:eastAsia="zh-TW" w:bidi="zh-TW"/>
    </w:rPr>
  </w:style>
  <w:style w:type="paragraph" w:customStyle="1" w:styleId="16">
    <w:name w:val="Table Text"/>
    <w:basedOn w:val="1"/>
    <w:semiHidden/>
    <w:qFormat/>
    <w:uiPriority w:val="0"/>
    <w:rPr>
      <w:rFonts w:ascii="宋体" w:hAnsi="宋体"/>
      <w:sz w:val="24"/>
      <w:lang w:eastAsia="en-US"/>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11</Pages>
  <Words>4671</Words>
  <Characters>4956</Characters>
  <Lines>50</Lines>
  <Paragraphs>14</Paragraphs>
  <TotalTime>6</TotalTime>
  <ScaleCrop>false</ScaleCrop>
  <LinksUpToDate>false</LinksUpToDate>
  <CharactersWithSpaces>5009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2022-01-19T08:24:00Z</dcterms:created>
  <dc:creator>海哥</dc:creator>
  <cp:lastModifiedBy>小小</cp:lastModifiedBy>
  <dcterms:modified xsi:type="dcterms:W3CDTF">2026-03-04T08:31:57Z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EB8E87854DC646FF88F444079A09343E</vt:lpwstr>
  </property>
  <property fmtid="{D5CDD505-2E9C-101B-9397-08002B2CF9AE}" pid="4" name="KSOTemplateDocerSaveRecord">
    <vt:lpwstr>eyJoZGlkIjoiMzEwNTM5NzYwMDRjMzkwZTVkZjY2ODkwMGIxNGU0OTUiLCJ1c2VySWQiOiI5NjMwMTc4MjIifQ==</vt:lpwstr>
  </property>
</Properties>
</file>