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5E25">
      <w:pPr>
        <w:jc w:val="center"/>
        <w:rPr>
          <w:rFonts w:ascii="宋体" w:hAnsi="宋体"/>
          <w:b/>
          <w:sz w:val="56"/>
          <w:szCs w:val="56"/>
        </w:rPr>
      </w:pPr>
    </w:p>
    <w:p w14:paraId="2286F870">
      <w:pPr>
        <w:spacing w:line="360" w:lineRule="auto"/>
        <w:jc w:val="center"/>
        <w:rPr>
          <w:rFonts w:ascii="新宋体" w:hAnsi="新宋体" w:eastAsia="新宋体" w:cs="新宋体"/>
          <w:b/>
          <w:sz w:val="96"/>
          <w:szCs w:val="96"/>
        </w:rPr>
      </w:pPr>
      <w:r>
        <w:rPr>
          <w:rFonts w:hint="eastAsia" w:ascii="新宋体" w:hAnsi="新宋体" w:eastAsia="新宋体" w:cs="新宋体"/>
          <w:b/>
          <w:sz w:val="96"/>
          <w:szCs w:val="96"/>
        </w:rPr>
        <w:t>武汉市东西湖区</w:t>
      </w:r>
    </w:p>
    <w:p w14:paraId="0E01A66E">
      <w:pPr>
        <w:spacing w:line="360" w:lineRule="auto"/>
        <w:jc w:val="center"/>
        <w:rPr>
          <w:rFonts w:ascii="新宋体" w:hAnsi="新宋体" w:eastAsia="新宋体" w:cs="新宋体"/>
          <w:b/>
          <w:sz w:val="96"/>
          <w:szCs w:val="96"/>
        </w:rPr>
      </w:pPr>
      <w:r>
        <w:rPr>
          <w:rFonts w:hint="eastAsia" w:ascii="新宋体" w:hAnsi="新宋体" w:eastAsia="新宋体" w:cs="新宋体"/>
          <w:b/>
          <w:sz w:val="96"/>
          <w:szCs w:val="96"/>
        </w:rPr>
        <w:t>区级政府采购</w:t>
      </w:r>
    </w:p>
    <w:p w14:paraId="0B951729">
      <w:pPr>
        <w:spacing w:line="360" w:lineRule="auto"/>
        <w:jc w:val="center"/>
        <w:rPr>
          <w:rFonts w:ascii="新宋体" w:hAnsi="新宋体" w:eastAsia="新宋体" w:cs="新宋体"/>
          <w:b/>
          <w:sz w:val="96"/>
          <w:szCs w:val="96"/>
        </w:rPr>
      </w:pPr>
    </w:p>
    <w:p w14:paraId="5E886DDB">
      <w:pPr>
        <w:spacing w:line="360" w:lineRule="auto"/>
        <w:jc w:val="center"/>
        <w:rPr>
          <w:rFonts w:ascii="新宋体" w:hAnsi="新宋体" w:eastAsia="新宋体" w:cs="新宋体"/>
          <w:b/>
          <w:sz w:val="96"/>
          <w:szCs w:val="96"/>
        </w:rPr>
      </w:pPr>
      <w:r>
        <w:rPr>
          <w:rFonts w:hint="eastAsia" w:ascii="新宋体" w:hAnsi="新宋体" w:eastAsia="新宋体" w:cs="新宋体"/>
          <w:b/>
          <w:sz w:val="96"/>
          <w:szCs w:val="96"/>
        </w:rPr>
        <w:t>采购需求文件</w:t>
      </w:r>
    </w:p>
    <w:p w14:paraId="5BF86B9E">
      <w:pPr>
        <w:ind w:firstLine="1440"/>
        <w:jc w:val="right"/>
        <w:rPr>
          <w:rFonts w:ascii="新宋体" w:hAnsi="新宋体" w:eastAsia="新宋体" w:cs="新宋体"/>
          <w:sz w:val="72"/>
          <w:szCs w:val="72"/>
        </w:rPr>
      </w:pPr>
    </w:p>
    <w:p w14:paraId="71F155A4">
      <w:pPr>
        <w:spacing w:line="360" w:lineRule="auto"/>
        <w:ind w:right="735" w:rightChars="350"/>
        <w:rPr>
          <w:rFonts w:ascii="新宋体" w:hAnsi="新宋体" w:eastAsia="新宋体" w:cs="新宋体"/>
          <w:b/>
          <w:sz w:val="28"/>
          <w:szCs w:val="28"/>
        </w:rPr>
      </w:pPr>
    </w:p>
    <w:p w14:paraId="2B356445">
      <w:pPr>
        <w:spacing w:line="360" w:lineRule="auto"/>
        <w:ind w:right="735" w:rightChars="350"/>
        <w:rPr>
          <w:rFonts w:ascii="新宋体" w:hAnsi="新宋体" w:eastAsia="新宋体" w:cs="新宋体"/>
          <w:b/>
          <w:sz w:val="28"/>
          <w:szCs w:val="28"/>
        </w:rPr>
      </w:pPr>
      <w:r>
        <w:rPr>
          <w:rFonts w:hint="eastAsia" w:ascii="新宋体" w:hAnsi="新宋体" w:eastAsia="新宋体" w:cs="新宋体"/>
          <w:b/>
          <w:sz w:val="28"/>
          <w:szCs w:val="28"/>
        </w:rPr>
        <w:t>项目名称：武汉市公安局东西湖区分局2025年警用装备采购项目</w:t>
      </w:r>
    </w:p>
    <w:p w14:paraId="1EABAF2C">
      <w:pPr>
        <w:spacing w:line="360" w:lineRule="auto"/>
        <w:ind w:left="2249" w:right="735" w:rightChars="350" w:hanging="2249" w:hangingChars="800"/>
        <w:rPr>
          <w:rFonts w:ascii="新宋体" w:hAnsi="新宋体" w:eastAsia="新宋体" w:cs="新宋体"/>
          <w:b/>
          <w:sz w:val="28"/>
          <w:szCs w:val="28"/>
        </w:rPr>
      </w:pPr>
      <w:r>
        <w:rPr>
          <w:rFonts w:hint="eastAsia" w:ascii="新宋体" w:hAnsi="新宋体" w:eastAsia="新宋体" w:cs="新宋体"/>
          <w:b/>
          <w:sz w:val="28"/>
          <w:szCs w:val="28"/>
        </w:rPr>
        <w:t>招标内容：2025年警用装备采购</w:t>
      </w:r>
    </w:p>
    <w:p w14:paraId="6A8A2F90">
      <w:pPr>
        <w:spacing w:line="360" w:lineRule="auto"/>
        <w:ind w:left="2249" w:right="735" w:rightChars="350" w:hanging="2249" w:hangingChars="800"/>
        <w:rPr>
          <w:rFonts w:ascii="新宋体" w:hAnsi="新宋体" w:eastAsia="新宋体" w:cs="新宋体"/>
          <w:b/>
          <w:sz w:val="28"/>
          <w:szCs w:val="28"/>
        </w:rPr>
      </w:pPr>
      <w:r>
        <w:rPr>
          <w:rFonts w:hint="eastAsia" w:ascii="新宋体" w:hAnsi="新宋体" w:eastAsia="新宋体" w:cs="新宋体"/>
          <w:b/>
          <w:sz w:val="28"/>
          <w:szCs w:val="28"/>
        </w:rPr>
        <w:t>采购人名称：武汉市公安局东西湖区分局</w:t>
      </w:r>
    </w:p>
    <w:p w14:paraId="37C1D271">
      <w:pPr>
        <w:ind w:left="420"/>
        <w:rPr>
          <w:rFonts w:ascii="新宋体" w:hAnsi="新宋体" w:eastAsia="新宋体" w:cs="新宋体"/>
        </w:rPr>
      </w:pPr>
    </w:p>
    <w:p w14:paraId="603A5C1D">
      <w:pPr>
        <w:jc w:val="center"/>
        <w:rPr>
          <w:rFonts w:ascii="新宋体" w:hAnsi="新宋体" w:eastAsia="新宋体" w:cs="新宋体"/>
          <w:b/>
          <w:sz w:val="36"/>
          <w:szCs w:val="36"/>
        </w:rPr>
      </w:pPr>
    </w:p>
    <w:p w14:paraId="5BC188AD">
      <w:pPr>
        <w:jc w:val="center"/>
        <w:rPr>
          <w:rFonts w:ascii="新宋体" w:hAnsi="新宋体" w:eastAsia="新宋体" w:cs="新宋体"/>
          <w:b/>
          <w:sz w:val="36"/>
          <w:szCs w:val="36"/>
        </w:rPr>
      </w:pPr>
    </w:p>
    <w:p w14:paraId="4FFD87C3">
      <w:pPr>
        <w:spacing w:line="360" w:lineRule="auto"/>
        <w:ind w:left="2249" w:right="735" w:rightChars="350" w:hanging="2249" w:hangingChars="800"/>
        <w:jc w:val="center"/>
        <w:rPr>
          <w:rFonts w:ascii="新宋体" w:hAnsi="新宋体" w:eastAsia="新宋体" w:cs="新宋体"/>
          <w:b/>
          <w:sz w:val="28"/>
          <w:szCs w:val="28"/>
        </w:rPr>
      </w:pPr>
    </w:p>
    <w:p w14:paraId="20CD586A">
      <w:pPr>
        <w:spacing w:line="360" w:lineRule="auto"/>
        <w:ind w:left="2249" w:right="735" w:rightChars="350" w:hanging="2249" w:hangingChars="800"/>
        <w:jc w:val="center"/>
        <w:rPr>
          <w:rFonts w:ascii="新宋体" w:hAnsi="新宋体" w:eastAsia="新宋体" w:cs="新宋体"/>
          <w:b/>
          <w:sz w:val="28"/>
          <w:szCs w:val="28"/>
        </w:rPr>
      </w:pPr>
      <w:r>
        <w:rPr>
          <w:rFonts w:hint="eastAsia" w:ascii="新宋体" w:hAnsi="新宋体" w:eastAsia="新宋体" w:cs="新宋体"/>
          <w:b/>
          <w:sz w:val="28"/>
          <w:szCs w:val="28"/>
        </w:rPr>
        <w:t>2025年11月</w:t>
      </w:r>
    </w:p>
    <w:p w14:paraId="5D13B144">
      <w:pPr>
        <w:spacing w:line="360" w:lineRule="auto"/>
        <w:jc w:val="center"/>
        <w:rPr>
          <w:rFonts w:ascii="新宋体" w:hAnsi="新宋体" w:eastAsia="新宋体" w:cs="新宋体"/>
          <w:b/>
          <w:sz w:val="36"/>
          <w:szCs w:val="36"/>
        </w:rPr>
      </w:pPr>
      <w:r>
        <w:rPr>
          <w:rFonts w:hint="eastAsia" w:ascii="新宋体" w:hAnsi="新宋体" w:eastAsia="新宋体" w:cs="新宋体"/>
          <w:b/>
          <w:sz w:val="36"/>
          <w:szCs w:val="36"/>
        </w:rPr>
        <w:t>采购需求</w:t>
      </w:r>
    </w:p>
    <w:p w14:paraId="5B3D168A">
      <w:pPr>
        <w:spacing w:line="360" w:lineRule="auto"/>
        <w:ind w:firstLine="480" w:firstLineChars="200"/>
        <w:jc w:val="left"/>
        <w:rPr>
          <w:rFonts w:ascii="新宋体" w:hAnsi="新宋体" w:eastAsia="新宋体" w:cs="新宋体"/>
          <w:color w:val="000000"/>
          <w:sz w:val="24"/>
          <w:szCs w:val="24"/>
        </w:rPr>
      </w:pPr>
      <w:r>
        <w:rPr>
          <w:rFonts w:hint="eastAsia" w:ascii="新宋体" w:hAnsi="新宋体" w:eastAsia="新宋体" w:cs="新宋体"/>
          <w:sz w:val="24"/>
          <w:szCs w:val="24"/>
        </w:rPr>
        <w:t>依据</w:t>
      </w:r>
      <w:r>
        <w:rPr>
          <w:rFonts w:hint="eastAsia" w:ascii="新宋体" w:hAnsi="新宋体" w:eastAsia="新宋体" w:cs="新宋体"/>
          <w:color w:val="333333"/>
          <w:kern w:val="0"/>
          <w:sz w:val="24"/>
          <w:szCs w:val="24"/>
          <w:shd w:val="clear" w:color="auto" w:fill="FFFFFF"/>
        </w:rPr>
        <w:t>武汉市东西湖区财政局备案编号</w:t>
      </w:r>
      <w:r>
        <w:rPr>
          <w:rFonts w:hint="eastAsia" w:ascii="新宋体" w:hAnsi="新宋体" w:eastAsia="新宋体" w:cs="新宋体"/>
          <w:color w:val="333333"/>
          <w:kern w:val="0"/>
          <w:sz w:val="24"/>
          <w:szCs w:val="24"/>
          <w:u w:val="single"/>
          <w:shd w:val="clear" w:color="auto" w:fill="FFFFFF"/>
        </w:rPr>
        <w:t>420112-2025-03241</w:t>
      </w:r>
      <w:r>
        <w:rPr>
          <w:rFonts w:hint="eastAsia" w:ascii="新宋体" w:hAnsi="新宋体" w:eastAsia="新宋体" w:cs="新宋体"/>
          <w:color w:val="333333"/>
          <w:kern w:val="0"/>
          <w:sz w:val="24"/>
          <w:szCs w:val="24"/>
          <w:shd w:val="clear" w:color="auto" w:fill="FFFFFF"/>
        </w:rPr>
        <w:t>备案单的要求</w:t>
      </w:r>
      <w:r>
        <w:rPr>
          <w:rFonts w:hint="eastAsia" w:ascii="新宋体" w:hAnsi="新宋体" w:eastAsia="新宋体" w:cs="新宋体"/>
          <w:sz w:val="24"/>
          <w:szCs w:val="24"/>
        </w:rPr>
        <w:t>，现委托湖北友惟项目咨询管理有限公司</w:t>
      </w:r>
      <w:r>
        <w:rPr>
          <w:rFonts w:hint="eastAsia" w:ascii="新宋体" w:hAnsi="新宋体" w:eastAsia="新宋体" w:cs="新宋体"/>
          <w:color w:val="333333"/>
          <w:kern w:val="0"/>
          <w:sz w:val="24"/>
          <w:szCs w:val="24"/>
          <w:shd w:val="clear" w:color="auto" w:fill="FFFFFF"/>
        </w:rPr>
        <w:t>就</w:t>
      </w:r>
      <w:r>
        <w:rPr>
          <w:rFonts w:hint="eastAsia" w:ascii="新宋体" w:hAnsi="新宋体" w:eastAsia="新宋体" w:cs="新宋体"/>
          <w:color w:val="333333"/>
          <w:kern w:val="0"/>
          <w:sz w:val="24"/>
          <w:szCs w:val="24"/>
          <w:u w:val="single"/>
          <w:shd w:val="clear" w:color="auto" w:fill="FFFFFF"/>
        </w:rPr>
        <w:t>武汉市公安局东西湖区分局2025年警用装备采购项目</w:t>
      </w:r>
      <w:r>
        <w:rPr>
          <w:rFonts w:hint="eastAsia" w:ascii="新宋体" w:hAnsi="新宋体" w:eastAsia="新宋体" w:cs="新宋体"/>
          <w:color w:val="000000"/>
          <w:sz w:val="24"/>
          <w:szCs w:val="24"/>
        </w:rPr>
        <w:t>进行</w:t>
      </w:r>
      <w:r>
        <w:rPr>
          <w:rFonts w:hint="eastAsia" w:ascii="新宋体" w:hAnsi="新宋体" w:eastAsia="新宋体" w:cs="新宋体"/>
          <w:sz w:val="24"/>
          <w:szCs w:val="24"/>
          <w:u w:val="single"/>
        </w:rPr>
        <w:t>公开招标</w:t>
      </w:r>
      <w:r>
        <w:rPr>
          <w:rFonts w:hint="eastAsia" w:ascii="新宋体" w:hAnsi="新宋体" w:eastAsia="新宋体" w:cs="新宋体"/>
          <w:color w:val="000000"/>
          <w:sz w:val="24"/>
          <w:szCs w:val="24"/>
        </w:rPr>
        <w:t>采购。本项目采购预算：人民币</w:t>
      </w:r>
      <w:r>
        <w:rPr>
          <w:rFonts w:hint="eastAsia" w:ascii="新宋体" w:hAnsi="新宋体" w:eastAsia="新宋体" w:cs="新宋体"/>
          <w:color w:val="000000"/>
          <w:sz w:val="24"/>
          <w:szCs w:val="24"/>
          <w:u w:val="single"/>
        </w:rPr>
        <w:t>34</w:t>
      </w:r>
      <w:r>
        <w:rPr>
          <w:rFonts w:hint="eastAsia" w:ascii="新宋体" w:hAnsi="新宋体" w:eastAsia="新宋体" w:cs="新宋体"/>
          <w:color w:val="000000"/>
          <w:sz w:val="24"/>
          <w:szCs w:val="24"/>
        </w:rPr>
        <w:t>万元。</w:t>
      </w:r>
    </w:p>
    <w:p w14:paraId="0A9A7FB0">
      <w:pPr>
        <w:spacing w:line="360" w:lineRule="auto"/>
        <w:ind w:left="2249" w:right="735" w:rightChars="350" w:hanging="2249" w:hangingChars="800"/>
        <w:jc w:val="center"/>
        <w:rPr>
          <w:rFonts w:ascii="新宋体" w:hAnsi="新宋体" w:eastAsia="新宋体" w:cs="新宋体"/>
          <w:b/>
          <w:bCs/>
          <w:sz w:val="28"/>
          <w:szCs w:val="28"/>
        </w:rPr>
      </w:pPr>
    </w:p>
    <w:p w14:paraId="49CCFE15">
      <w:pPr>
        <w:spacing w:line="360" w:lineRule="auto"/>
        <w:ind w:left="2249" w:right="735" w:rightChars="350" w:hanging="2249" w:hangingChars="800"/>
        <w:jc w:val="center"/>
        <w:rPr>
          <w:rFonts w:ascii="新宋体" w:hAnsi="新宋体" w:eastAsia="新宋体" w:cs="新宋体"/>
          <w:b/>
          <w:bCs/>
          <w:sz w:val="28"/>
          <w:szCs w:val="28"/>
        </w:rPr>
      </w:pPr>
      <w:r>
        <w:rPr>
          <w:rFonts w:hint="eastAsia" w:ascii="新宋体" w:hAnsi="新宋体" w:eastAsia="新宋体" w:cs="新宋体"/>
          <w:b/>
          <w:bCs/>
          <w:sz w:val="28"/>
          <w:szCs w:val="28"/>
        </w:rPr>
        <w:t>第一部分 供应商资格要求</w:t>
      </w:r>
    </w:p>
    <w:p w14:paraId="769A332D">
      <w:pPr>
        <w:pStyle w:val="4"/>
        <w:spacing w:before="0" w:after="0" w:line="360" w:lineRule="auto"/>
        <w:ind w:left="420" w:hanging="420"/>
        <w:rPr>
          <w:rFonts w:ascii="新宋体" w:hAnsi="新宋体" w:eastAsia="新宋体" w:cs="新宋体"/>
          <w:sz w:val="24"/>
          <w:szCs w:val="24"/>
        </w:rPr>
      </w:pPr>
      <w:r>
        <w:rPr>
          <w:rFonts w:hint="eastAsia" w:ascii="新宋体" w:hAnsi="新宋体" w:eastAsia="新宋体" w:cs="新宋体"/>
          <w:sz w:val="24"/>
          <w:szCs w:val="24"/>
        </w:rPr>
        <w:t>一、投标人</w:t>
      </w:r>
      <w:r>
        <w:rPr>
          <w:rFonts w:hint="eastAsia" w:ascii="新宋体" w:hAnsi="新宋体" w:eastAsia="新宋体" w:cs="新宋体"/>
          <w:sz w:val="24"/>
          <w:szCs w:val="24"/>
          <w:lang w:val="hr-HR"/>
        </w:rPr>
        <w:t>资格要求</w:t>
      </w:r>
    </w:p>
    <w:p w14:paraId="21AB075F">
      <w:pPr>
        <w:spacing w:line="360" w:lineRule="auto"/>
        <w:ind w:firstLine="480" w:firstLineChars="200"/>
        <w:rPr>
          <w:rFonts w:ascii="新宋体" w:hAnsi="新宋体" w:eastAsia="新宋体" w:cs="新宋体"/>
          <w:sz w:val="24"/>
          <w:szCs w:val="28"/>
        </w:rPr>
      </w:pPr>
      <w:bookmarkStart w:id="0" w:name="_Hlk89807755"/>
      <w:r>
        <w:rPr>
          <w:rFonts w:hint="eastAsia" w:ascii="新宋体" w:hAnsi="新宋体" w:eastAsia="新宋体" w:cs="新宋体"/>
          <w:sz w:val="24"/>
          <w:szCs w:val="28"/>
        </w:rPr>
        <w:t>1.满足《中华人民共和国政府采购法》第二十二条规定，即：</w:t>
      </w:r>
    </w:p>
    <w:p w14:paraId="57341224">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（1）具有独立承担民事责任的能力；</w:t>
      </w:r>
    </w:p>
    <w:p w14:paraId="6F5A7B87">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（2）具有良好的商业信誉和健全的财务会计制度；</w:t>
      </w:r>
    </w:p>
    <w:p w14:paraId="0D57E274">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（3）具有履行合同所必需的设备和专业技术能力；</w:t>
      </w:r>
    </w:p>
    <w:p w14:paraId="6D299E11">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（4）有依法缴纳税收和社会保障资金的良好记录；</w:t>
      </w:r>
    </w:p>
    <w:p w14:paraId="76B09277">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（5）参加政府采购活动前三年内，在经营活动中没有重大违法记录；</w:t>
      </w:r>
    </w:p>
    <w:p w14:paraId="29E4888F">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（6）法律、行政法规规定的其他条件。</w:t>
      </w:r>
    </w:p>
    <w:p w14:paraId="43CFFB5D">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2.单位负责人为同一人或者存在直接控股、管理关系的不同投标人，不得参加本项目同一合同项下的政府采购活动。</w:t>
      </w:r>
    </w:p>
    <w:p w14:paraId="634976A8">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3.为本采购项目提供整体设计、规范编制或者项目管理、监理、检测等服务的，不得再参加本项目的其他招标采购活动。</w:t>
      </w:r>
    </w:p>
    <w:p w14:paraId="35FB2556">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4.未被列入失信被执行人、重大税收违法失信主体，未被列入政府采购严重违法失信行为记录名单。</w:t>
      </w:r>
    </w:p>
    <w:p w14:paraId="554B8961">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5.落实政府采购政策需满足的资格要求：本项目为非专门面向中小企业预留采购份额的采购项目，所有符合资格条件的投标人均可参加投标。</w:t>
      </w:r>
    </w:p>
    <w:p w14:paraId="06D87498">
      <w:pPr>
        <w:spacing w:line="360" w:lineRule="auto"/>
        <w:ind w:firstLine="480" w:firstLineChars="200"/>
        <w:rPr>
          <w:rFonts w:ascii="新宋体" w:hAnsi="新宋体" w:eastAsia="新宋体" w:cs="新宋体"/>
          <w:sz w:val="24"/>
          <w:szCs w:val="28"/>
        </w:rPr>
      </w:pPr>
      <w:r>
        <w:rPr>
          <w:rFonts w:hint="eastAsia" w:ascii="新宋体" w:hAnsi="新宋体" w:eastAsia="新宋体" w:cs="新宋体"/>
          <w:sz w:val="24"/>
          <w:szCs w:val="28"/>
        </w:rPr>
        <w:t>6.投标人特定资格要求：无。</w:t>
      </w:r>
    </w:p>
    <w:p w14:paraId="1DA9CCF9">
      <w:pPr>
        <w:spacing w:line="360" w:lineRule="auto"/>
        <w:rPr>
          <w:rFonts w:ascii="新宋体" w:hAnsi="新宋体" w:eastAsia="新宋体" w:cs="新宋体"/>
          <w:sz w:val="24"/>
          <w:szCs w:val="28"/>
        </w:rPr>
      </w:pPr>
      <w:r>
        <w:rPr>
          <w:rFonts w:hint="eastAsia" w:ascii="新宋体" w:hAnsi="新宋体" w:eastAsia="新宋体" w:cs="新宋体"/>
          <w:sz w:val="24"/>
          <w:szCs w:val="28"/>
        </w:rPr>
        <w:br w:type="page"/>
      </w:r>
    </w:p>
    <w:bookmarkEnd w:id="0"/>
    <w:p w14:paraId="64691809">
      <w:pPr>
        <w:spacing w:line="360" w:lineRule="auto"/>
        <w:jc w:val="center"/>
        <w:rPr>
          <w:rFonts w:ascii="新宋体" w:hAnsi="新宋体" w:eastAsia="新宋体" w:cs="新宋体"/>
          <w:b/>
          <w:bCs/>
          <w:sz w:val="28"/>
          <w:szCs w:val="28"/>
        </w:rPr>
      </w:pPr>
      <w:bookmarkStart w:id="1" w:name="_Toc509997285"/>
      <w:bookmarkStart w:id="2" w:name="_Toc1458931"/>
      <w:bookmarkStart w:id="3" w:name="_Toc16655"/>
      <w:bookmarkStart w:id="4" w:name="_Toc1421483"/>
      <w:r>
        <w:rPr>
          <w:rFonts w:hint="eastAsia" w:ascii="新宋体" w:hAnsi="新宋体" w:eastAsia="新宋体" w:cs="新宋体"/>
          <w:b/>
          <w:bCs/>
          <w:sz w:val="28"/>
          <w:szCs w:val="28"/>
        </w:rPr>
        <w:t>第二部分 技术、服务及商务要求</w:t>
      </w:r>
      <w:bookmarkEnd w:id="1"/>
      <w:bookmarkEnd w:id="2"/>
      <w:bookmarkEnd w:id="3"/>
      <w:bookmarkEnd w:id="4"/>
    </w:p>
    <w:p w14:paraId="3EE42FF9">
      <w:pPr>
        <w:spacing w:line="360" w:lineRule="auto"/>
        <w:rPr>
          <w:rFonts w:ascii="新宋体" w:hAnsi="新宋体" w:eastAsia="新宋体" w:cs="新宋体"/>
          <w:sz w:val="24"/>
          <w:szCs w:val="28"/>
        </w:rPr>
      </w:pPr>
      <w:r>
        <w:rPr>
          <w:rFonts w:hint="eastAsia" w:ascii="新宋体" w:hAnsi="新宋体" w:eastAsia="新宋体" w:cs="新宋体"/>
          <w:b/>
          <w:bCs/>
          <w:sz w:val="24"/>
          <w:szCs w:val="28"/>
        </w:rPr>
        <w:t>说明：</w:t>
      </w:r>
      <w:r>
        <w:rPr>
          <w:rFonts w:hint="eastAsia" w:ascii="新宋体" w:hAnsi="新宋体" w:eastAsia="新宋体" w:cs="新宋体"/>
          <w:sz w:val="24"/>
          <w:szCs w:val="28"/>
        </w:rPr>
        <w:t>“★”号标注的内容为实质性要求，必须满足或优于该要求，否则按照</w:t>
      </w:r>
      <w:r>
        <w:rPr>
          <w:rFonts w:hint="eastAsia" w:ascii="新宋体" w:hAnsi="新宋体" w:eastAsia="新宋体" w:cs="新宋体"/>
          <w:b/>
          <w:bCs/>
          <w:sz w:val="24"/>
          <w:szCs w:val="28"/>
        </w:rPr>
        <w:t>无效投标</w:t>
      </w:r>
      <w:r>
        <w:rPr>
          <w:rFonts w:hint="eastAsia" w:ascii="新宋体" w:hAnsi="新宋体" w:eastAsia="新宋体" w:cs="新宋体"/>
          <w:sz w:val="24"/>
          <w:szCs w:val="28"/>
        </w:rPr>
        <w:t>处理。</w:t>
      </w:r>
    </w:p>
    <w:p w14:paraId="1101AD20">
      <w:pPr>
        <w:spacing w:line="360" w:lineRule="auto"/>
        <w:ind w:left="130"/>
        <w:outlineLvl w:val="1"/>
        <w:rPr>
          <w:rFonts w:ascii="新宋体" w:hAnsi="新宋体" w:eastAsia="新宋体" w:cs="新宋体"/>
          <w:b/>
          <w:bCs/>
          <w:spacing w:val="5"/>
          <w:sz w:val="28"/>
          <w:szCs w:val="28"/>
        </w:rPr>
      </w:pPr>
      <w:bookmarkStart w:id="5" w:name="_Toc31796"/>
      <w:r>
        <w:rPr>
          <w:rFonts w:hint="eastAsia" w:ascii="新宋体" w:hAnsi="新宋体" w:eastAsia="新宋体" w:cs="新宋体"/>
          <w:b/>
          <w:bCs/>
          <w:spacing w:val="5"/>
          <w:sz w:val="28"/>
          <w:szCs w:val="28"/>
        </w:rPr>
        <w:t>一、</w:t>
      </w:r>
      <w:bookmarkEnd w:id="5"/>
      <w:r>
        <w:rPr>
          <w:rFonts w:hint="eastAsia" w:ascii="新宋体" w:hAnsi="新宋体" w:eastAsia="新宋体" w:cs="新宋体"/>
          <w:b/>
          <w:bCs/>
          <w:spacing w:val="5"/>
          <w:sz w:val="28"/>
          <w:szCs w:val="28"/>
        </w:rPr>
        <w:t>采购清单</w:t>
      </w:r>
    </w:p>
    <w:tbl>
      <w:tblPr>
        <w:tblStyle w:val="7"/>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3083"/>
        <w:gridCol w:w="1650"/>
        <w:gridCol w:w="1446"/>
        <w:gridCol w:w="1869"/>
      </w:tblGrid>
      <w:tr w14:paraId="09CE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7F68568A">
            <w:pPr>
              <w:pStyle w:val="12"/>
              <w:jc w:val="center"/>
              <w:rPr>
                <w:rFonts w:ascii="新宋体" w:hAnsi="新宋体" w:eastAsia="新宋体" w:cs="新宋体"/>
                <w:b/>
                <w:bCs/>
                <w:szCs w:val="24"/>
              </w:rPr>
            </w:pPr>
            <w:bookmarkStart w:id="6" w:name="_Toc338065594"/>
            <w:bookmarkStart w:id="7" w:name="_Toc339378680"/>
            <w:r>
              <w:rPr>
                <w:rFonts w:hint="eastAsia" w:ascii="新宋体" w:hAnsi="新宋体" w:eastAsia="新宋体" w:cs="新宋体"/>
                <w:b/>
                <w:bCs/>
                <w:szCs w:val="24"/>
              </w:rPr>
              <w:t>序号</w:t>
            </w:r>
          </w:p>
        </w:tc>
        <w:tc>
          <w:tcPr>
            <w:tcW w:w="1698" w:type="pct"/>
            <w:vAlign w:val="center"/>
          </w:tcPr>
          <w:p w14:paraId="23AEE8A7">
            <w:pPr>
              <w:pStyle w:val="12"/>
              <w:jc w:val="center"/>
              <w:rPr>
                <w:rFonts w:ascii="新宋体" w:hAnsi="新宋体" w:eastAsia="新宋体" w:cs="新宋体"/>
                <w:b/>
                <w:bCs/>
                <w:szCs w:val="24"/>
              </w:rPr>
            </w:pPr>
            <w:r>
              <w:rPr>
                <w:rFonts w:hint="eastAsia" w:ascii="新宋体" w:hAnsi="新宋体" w:eastAsia="新宋体" w:cs="新宋体"/>
                <w:b/>
                <w:bCs/>
                <w:szCs w:val="24"/>
              </w:rPr>
              <w:t>采购标的名称</w:t>
            </w:r>
          </w:p>
        </w:tc>
        <w:tc>
          <w:tcPr>
            <w:tcW w:w="908" w:type="pct"/>
            <w:vAlign w:val="center"/>
          </w:tcPr>
          <w:p w14:paraId="61D3045D">
            <w:pPr>
              <w:pStyle w:val="12"/>
              <w:jc w:val="center"/>
              <w:rPr>
                <w:rFonts w:ascii="新宋体" w:hAnsi="新宋体" w:eastAsia="新宋体" w:cs="新宋体"/>
                <w:b/>
                <w:bCs/>
                <w:szCs w:val="24"/>
              </w:rPr>
            </w:pPr>
            <w:r>
              <w:rPr>
                <w:rFonts w:hint="eastAsia" w:ascii="新宋体" w:hAnsi="新宋体" w:eastAsia="新宋体" w:cs="新宋体"/>
                <w:b/>
                <w:bCs/>
                <w:szCs w:val="24"/>
              </w:rPr>
              <w:t>数量</w:t>
            </w:r>
          </w:p>
        </w:tc>
        <w:tc>
          <w:tcPr>
            <w:tcW w:w="797" w:type="pct"/>
            <w:vAlign w:val="center"/>
          </w:tcPr>
          <w:p w14:paraId="383C345F">
            <w:pPr>
              <w:pStyle w:val="12"/>
              <w:jc w:val="center"/>
              <w:rPr>
                <w:rFonts w:ascii="新宋体" w:hAnsi="新宋体" w:eastAsia="新宋体" w:cs="新宋体"/>
                <w:b/>
                <w:bCs/>
                <w:szCs w:val="24"/>
              </w:rPr>
            </w:pPr>
            <w:r>
              <w:rPr>
                <w:rFonts w:hint="eastAsia" w:ascii="新宋体" w:hAnsi="新宋体" w:eastAsia="新宋体" w:cs="新宋体"/>
                <w:b/>
                <w:bCs/>
                <w:szCs w:val="24"/>
              </w:rPr>
              <w:t>单位</w:t>
            </w:r>
          </w:p>
        </w:tc>
        <w:tc>
          <w:tcPr>
            <w:tcW w:w="1029" w:type="pct"/>
            <w:vAlign w:val="center"/>
          </w:tcPr>
          <w:p w14:paraId="4CBA980E">
            <w:pPr>
              <w:pStyle w:val="12"/>
              <w:jc w:val="center"/>
              <w:rPr>
                <w:rFonts w:ascii="新宋体" w:hAnsi="新宋体" w:eastAsia="新宋体" w:cs="新宋体"/>
                <w:b/>
                <w:bCs/>
                <w:szCs w:val="24"/>
              </w:rPr>
            </w:pPr>
            <w:r>
              <w:rPr>
                <w:rFonts w:hint="eastAsia" w:ascii="新宋体" w:hAnsi="新宋体" w:eastAsia="新宋体" w:cs="新宋体"/>
                <w:b/>
                <w:bCs/>
                <w:szCs w:val="24"/>
              </w:rPr>
              <w:t>所属行业</w:t>
            </w:r>
          </w:p>
        </w:tc>
      </w:tr>
      <w:tr w14:paraId="534E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0849FD62">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w:t>
            </w:r>
          </w:p>
        </w:tc>
        <w:tc>
          <w:tcPr>
            <w:tcW w:w="1698" w:type="pct"/>
            <w:vAlign w:val="center"/>
          </w:tcPr>
          <w:p w14:paraId="37B63C11">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反光指挥棒</w:t>
            </w:r>
          </w:p>
        </w:tc>
        <w:tc>
          <w:tcPr>
            <w:tcW w:w="908" w:type="pct"/>
            <w:vAlign w:val="center"/>
          </w:tcPr>
          <w:p w14:paraId="278DFC96">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70</w:t>
            </w:r>
          </w:p>
        </w:tc>
        <w:tc>
          <w:tcPr>
            <w:tcW w:w="797" w:type="pct"/>
            <w:vAlign w:val="center"/>
          </w:tcPr>
          <w:p w14:paraId="38EC8AE0">
            <w:pPr>
              <w:jc w:val="center"/>
              <w:rPr>
                <w:rFonts w:ascii="新宋体" w:hAnsi="新宋体" w:eastAsia="新宋体" w:cs="新宋体"/>
                <w:sz w:val="24"/>
                <w:szCs w:val="24"/>
              </w:rPr>
            </w:pPr>
            <w:r>
              <w:rPr>
                <w:rFonts w:hint="eastAsia" w:ascii="新宋体" w:hAnsi="新宋体" w:eastAsia="新宋体" w:cs="新宋体"/>
                <w:sz w:val="24"/>
                <w:szCs w:val="24"/>
              </w:rPr>
              <w:t>根</w:t>
            </w:r>
          </w:p>
        </w:tc>
        <w:tc>
          <w:tcPr>
            <w:tcW w:w="1029" w:type="pct"/>
            <w:vMerge w:val="restart"/>
            <w:vAlign w:val="center"/>
          </w:tcPr>
          <w:p w14:paraId="53AE5EA0">
            <w:pPr>
              <w:jc w:val="center"/>
              <w:rPr>
                <w:rFonts w:ascii="新宋体" w:hAnsi="新宋体" w:eastAsia="新宋体" w:cs="新宋体"/>
                <w:sz w:val="24"/>
                <w:szCs w:val="24"/>
              </w:rPr>
            </w:pPr>
            <w:r>
              <w:rPr>
                <w:rFonts w:hint="eastAsia" w:ascii="新宋体" w:hAnsi="新宋体" w:eastAsia="新宋体" w:cs="新宋体"/>
                <w:sz w:val="24"/>
                <w:szCs w:val="24"/>
              </w:rPr>
              <w:t>工业</w:t>
            </w:r>
          </w:p>
        </w:tc>
      </w:tr>
      <w:tr w14:paraId="653D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27FEB1E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w:t>
            </w:r>
          </w:p>
        </w:tc>
        <w:tc>
          <w:tcPr>
            <w:tcW w:w="1698" w:type="pct"/>
            <w:vAlign w:val="center"/>
          </w:tcPr>
          <w:p w14:paraId="172F94A0">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停车示意牌</w:t>
            </w:r>
          </w:p>
        </w:tc>
        <w:tc>
          <w:tcPr>
            <w:tcW w:w="908" w:type="pct"/>
            <w:vAlign w:val="center"/>
          </w:tcPr>
          <w:p w14:paraId="2BC92475">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50</w:t>
            </w:r>
          </w:p>
        </w:tc>
        <w:tc>
          <w:tcPr>
            <w:tcW w:w="797" w:type="pct"/>
            <w:vAlign w:val="center"/>
          </w:tcPr>
          <w:p w14:paraId="2575B256">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484469AF">
            <w:pPr>
              <w:jc w:val="center"/>
              <w:rPr>
                <w:rFonts w:ascii="新宋体" w:hAnsi="新宋体" w:eastAsia="新宋体" w:cs="新宋体"/>
                <w:sz w:val="24"/>
                <w:szCs w:val="24"/>
              </w:rPr>
            </w:pPr>
          </w:p>
        </w:tc>
      </w:tr>
      <w:tr w14:paraId="732B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2C6794C1">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3</w:t>
            </w:r>
          </w:p>
        </w:tc>
        <w:tc>
          <w:tcPr>
            <w:tcW w:w="1698" w:type="pct"/>
            <w:vAlign w:val="center"/>
          </w:tcPr>
          <w:p w14:paraId="1D37984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喊话器</w:t>
            </w:r>
          </w:p>
        </w:tc>
        <w:tc>
          <w:tcPr>
            <w:tcW w:w="908" w:type="pct"/>
            <w:vAlign w:val="center"/>
          </w:tcPr>
          <w:p w14:paraId="7E80620D">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46</w:t>
            </w:r>
          </w:p>
        </w:tc>
        <w:tc>
          <w:tcPr>
            <w:tcW w:w="797" w:type="pct"/>
            <w:vAlign w:val="center"/>
          </w:tcPr>
          <w:p w14:paraId="07AB8FE7">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3AA05E6E">
            <w:pPr>
              <w:jc w:val="center"/>
              <w:rPr>
                <w:rFonts w:ascii="新宋体" w:hAnsi="新宋体" w:eastAsia="新宋体" w:cs="新宋体"/>
                <w:sz w:val="24"/>
                <w:szCs w:val="24"/>
              </w:rPr>
            </w:pPr>
          </w:p>
        </w:tc>
      </w:tr>
      <w:tr w14:paraId="250A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1C0D36E6">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4</w:t>
            </w:r>
          </w:p>
        </w:tc>
        <w:tc>
          <w:tcPr>
            <w:tcW w:w="1698" w:type="pct"/>
            <w:vAlign w:val="center"/>
          </w:tcPr>
          <w:p w14:paraId="1CBFA1A4">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医药箱</w:t>
            </w:r>
          </w:p>
        </w:tc>
        <w:tc>
          <w:tcPr>
            <w:tcW w:w="908" w:type="pct"/>
            <w:vAlign w:val="center"/>
          </w:tcPr>
          <w:p w14:paraId="7485D779">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46</w:t>
            </w:r>
          </w:p>
        </w:tc>
        <w:tc>
          <w:tcPr>
            <w:tcW w:w="797" w:type="pct"/>
            <w:vAlign w:val="center"/>
          </w:tcPr>
          <w:p w14:paraId="21FC774D">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58877EA4">
            <w:pPr>
              <w:jc w:val="center"/>
              <w:rPr>
                <w:rFonts w:ascii="新宋体" w:hAnsi="新宋体" w:eastAsia="新宋体" w:cs="新宋体"/>
                <w:sz w:val="24"/>
                <w:szCs w:val="24"/>
              </w:rPr>
            </w:pPr>
          </w:p>
        </w:tc>
      </w:tr>
      <w:tr w14:paraId="58E2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44EAABC1">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5</w:t>
            </w:r>
          </w:p>
        </w:tc>
        <w:tc>
          <w:tcPr>
            <w:tcW w:w="1698" w:type="pct"/>
            <w:vAlign w:val="center"/>
          </w:tcPr>
          <w:p w14:paraId="3ABFFD0B">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金属盾牌</w:t>
            </w:r>
          </w:p>
        </w:tc>
        <w:tc>
          <w:tcPr>
            <w:tcW w:w="908" w:type="pct"/>
            <w:vAlign w:val="center"/>
          </w:tcPr>
          <w:p w14:paraId="07FD8F29">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50</w:t>
            </w:r>
          </w:p>
        </w:tc>
        <w:tc>
          <w:tcPr>
            <w:tcW w:w="797" w:type="pct"/>
            <w:vAlign w:val="center"/>
          </w:tcPr>
          <w:p w14:paraId="7633C004">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229FFF77">
            <w:pPr>
              <w:jc w:val="center"/>
              <w:rPr>
                <w:rFonts w:ascii="新宋体" w:hAnsi="新宋体" w:eastAsia="新宋体" w:cs="新宋体"/>
                <w:sz w:val="24"/>
                <w:szCs w:val="24"/>
              </w:rPr>
            </w:pPr>
          </w:p>
        </w:tc>
      </w:tr>
      <w:tr w14:paraId="4633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643B7BE1">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6</w:t>
            </w:r>
          </w:p>
        </w:tc>
        <w:tc>
          <w:tcPr>
            <w:tcW w:w="1698" w:type="pct"/>
            <w:vAlign w:val="center"/>
          </w:tcPr>
          <w:p w14:paraId="558C14D4">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车载灭火器</w:t>
            </w:r>
          </w:p>
        </w:tc>
        <w:tc>
          <w:tcPr>
            <w:tcW w:w="908" w:type="pct"/>
            <w:vAlign w:val="center"/>
          </w:tcPr>
          <w:p w14:paraId="2A6F7FB2">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46</w:t>
            </w:r>
          </w:p>
        </w:tc>
        <w:tc>
          <w:tcPr>
            <w:tcW w:w="797" w:type="pct"/>
            <w:vAlign w:val="center"/>
          </w:tcPr>
          <w:p w14:paraId="45B16FC8">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13714B8A">
            <w:pPr>
              <w:jc w:val="center"/>
              <w:rPr>
                <w:rFonts w:ascii="新宋体" w:hAnsi="新宋体" w:eastAsia="新宋体" w:cs="新宋体"/>
                <w:sz w:val="24"/>
                <w:szCs w:val="24"/>
              </w:rPr>
            </w:pPr>
          </w:p>
        </w:tc>
      </w:tr>
      <w:tr w14:paraId="3818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7C0BCC77">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7</w:t>
            </w:r>
          </w:p>
        </w:tc>
        <w:tc>
          <w:tcPr>
            <w:tcW w:w="1698" w:type="pct"/>
            <w:vAlign w:val="center"/>
          </w:tcPr>
          <w:p w14:paraId="43278AC2">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多功能腰带</w:t>
            </w:r>
          </w:p>
        </w:tc>
        <w:tc>
          <w:tcPr>
            <w:tcW w:w="908" w:type="pct"/>
            <w:vAlign w:val="center"/>
          </w:tcPr>
          <w:p w14:paraId="136255AA">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35</w:t>
            </w:r>
          </w:p>
        </w:tc>
        <w:tc>
          <w:tcPr>
            <w:tcW w:w="797" w:type="pct"/>
            <w:vAlign w:val="center"/>
          </w:tcPr>
          <w:p w14:paraId="55BA1A46">
            <w:pPr>
              <w:jc w:val="center"/>
              <w:rPr>
                <w:rFonts w:ascii="新宋体" w:hAnsi="新宋体" w:eastAsia="新宋体" w:cs="新宋体"/>
                <w:sz w:val="24"/>
                <w:szCs w:val="24"/>
              </w:rPr>
            </w:pPr>
            <w:r>
              <w:rPr>
                <w:rFonts w:hint="eastAsia" w:ascii="新宋体" w:hAnsi="新宋体" w:eastAsia="新宋体" w:cs="新宋体"/>
                <w:sz w:val="24"/>
                <w:szCs w:val="24"/>
              </w:rPr>
              <w:t>条</w:t>
            </w:r>
          </w:p>
        </w:tc>
        <w:tc>
          <w:tcPr>
            <w:tcW w:w="1029" w:type="pct"/>
            <w:vMerge w:val="continue"/>
            <w:vAlign w:val="center"/>
          </w:tcPr>
          <w:p w14:paraId="6D34389B">
            <w:pPr>
              <w:jc w:val="center"/>
              <w:rPr>
                <w:rFonts w:ascii="新宋体" w:hAnsi="新宋体" w:eastAsia="新宋体" w:cs="新宋体"/>
                <w:sz w:val="24"/>
                <w:szCs w:val="24"/>
              </w:rPr>
            </w:pPr>
          </w:p>
        </w:tc>
      </w:tr>
      <w:tr w14:paraId="324B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35493D8C">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8</w:t>
            </w:r>
          </w:p>
        </w:tc>
        <w:tc>
          <w:tcPr>
            <w:tcW w:w="1698" w:type="pct"/>
            <w:vAlign w:val="center"/>
          </w:tcPr>
          <w:p w14:paraId="0E2AF9AB">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防割手套</w:t>
            </w:r>
          </w:p>
        </w:tc>
        <w:tc>
          <w:tcPr>
            <w:tcW w:w="908" w:type="pct"/>
            <w:vAlign w:val="center"/>
          </w:tcPr>
          <w:p w14:paraId="5F370D6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170</w:t>
            </w:r>
          </w:p>
        </w:tc>
        <w:tc>
          <w:tcPr>
            <w:tcW w:w="797" w:type="pct"/>
            <w:vAlign w:val="center"/>
          </w:tcPr>
          <w:p w14:paraId="378A2903">
            <w:pPr>
              <w:jc w:val="center"/>
              <w:rPr>
                <w:rFonts w:ascii="新宋体" w:hAnsi="新宋体" w:eastAsia="新宋体" w:cs="新宋体"/>
                <w:sz w:val="24"/>
                <w:szCs w:val="24"/>
              </w:rPr>
            </w:pPr>
            <w:r>
              <w:rPr>
                <w:rFonts w:hint="eastAsia" w:ascii="新宋体" w:hAnsi="新宋体" w:eastAsia="新宋体" w:cs="新宋体"/>
                <w:sz w:val="24"/>
                <w:szCs w:val="24"/>
              </w:rPr>
              <w:t>套</w:t>
            </w:r>
          </w:p>
        </w:tc>
        <w:tc>
          <w:tcPr>
            <w:tcW w:w="1029" w:type="pct"/>
            <w:vMerge w:val="continue"/>
            <w:vAlign w:val="center"/>
          </w:tcPr>
          <w:p w14:paraId="4D268D0E">
            <w:pPr>
              <w:jc w:val="center"/>
              <w:rPr>
                <w:rFonts w:ascii="新宋体" w:hAnsi="新宋体" w:eastAsia="新宋体" w:cs="新宋体"/>
                <w:sz w:val="24"/>
                <w:szCs w:val="24"/>
              </w:rPr>
            </w:pPr>
          </w:p>
        </w:tc>
      </w:tr>
      <w:tr w14:paraId="4572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0A7D6E07">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9</w:t>
            </w:r>
          </w:p>
        </w:tc>
        <w:tc>
          <w:tcPr>
            <w:tcW w:w="1698" w:type="pct"/>
            <w:vAlign w:val="center"/>
          </w:tcPr>
          <w:p w14:paraId="2D07B7FE">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约束带</w:t>
            </w:r>
          </w:p>
        </w:tc>
        <w:tc>
          <w:tcPr>
            <w:tcW w:w="908" w:type="pct"/>
            <w:vAlign w:val="center"/>
          </w:tcPr>
          <w:p w14:paraId="154547EA">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900</w:t>
            </w:r>
          </w:p>
        </w:tc>
        <w:tc>
          <w:tcPr>
            <w:tcW w:w="797" w:type="pct"/>
            <w:vAlign w:val="center"/>
          </w:tcPr>
          <w:p w14:paraId="7744336F">
            <w:pPr>
              <w:jc w:val="center"/>
              <w:rPr>
                <w:rFonts w:ascii="新宋体" w:hAnsi="新宋体" w:eastAsia="新宋体" w:cs="新宋体"/>
                <w:sz w:val="24"/>
                <w:szCs w:val="24"/>
              </w:rPr>
            </w:pPr>
            <w:r>
              <w:rPr>
                <w:rFonts w:hint="eastAsia" w:ascii="新宋体" w:hAnsi="新宋体" w:eastAsia="新宋体" w:cs="新宋体"/>
                <w:sz w:val="24"/>
                <w:szCs w:val="24"/>
              </w:rPr>
              <w:t>条</w:t>
            </w:r>
          </w:p>
        </w:tc>
        <w:tc>
          <w:tcPr>
            <w:tcW w:w="1029" w:type="pct"/>
            <w:vMerge w:val="continue"/>
            <w:vAlign w:val="center"/>
          </w:tcPr>
          <w:p w14:paraId="69EBCF7B">
            <w:pPr>
              <w:jc w:val="center"/>
              <w:rPr>
                <w:rFonts w:ascii="新宋体" w:hAnsi="新宋体" w:eastAsia="新宋体" w:cs="新宋体"/>
                <w:sz w:val="24"/>
                <w:szCs w:val="24"/>
              </w:rPr>
            </w:pPr>
          </w:p>
        </w:tc>
      </w:tr>
      <w:tr w14:paraId="7BD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05455FC2">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10</w:t>
            </w:r>
          </w:p>
        </w:tc>
        <w:tc>
          <w:tcPr>
            <w:tcW w:w="1698" w:type="pct"/>
            <w:vAlign w:val="center"/>
          </w:tcPr>
          <w:p w14:paraId="77AD4A05">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反光锥形桶</w:t>
            </w:r>
          </w:p>
        </w:tc>
        <w:tc>
          <w:tcPr>
            <w:tcW w:w="908" w:type="pct"/>
            <w:vAlign w:val="center"/>
          </w:tcPr>
          <w:p w14:paraId="614F1B34">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110</w:t>
            </w:r>
          </w:p>
        </w:tc>
        <w:tc>
          <w:tcPr>
            <w:tcW w:w="797" w:type="pct"/>
            <w:vAlign w:val="center"/>
          </w:tcPr>
          <w:p w14:paraId="567CA44F">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0916FFAE">
            <w:pPr>
              <w:jc w:val="center"/>
              <w:rPr>
                <w:rFonts w:ascii="新宋体" w:hAnsi="新宋体" w:eastAsia="新宋体" w:cs="新宋体"/>
                <w:sz w:val="24"/>
                <w:szCs w:val="24"/>
              </w:rPr>
            </w:pPr>
          </w:p>
        </w:tc>
      </w:tr>
      <w:tr w14:paraId="376F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014B21C3">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11</w:t>
            </w:r>
          </w:p>
        </w:tc>
        <w:tc>
          <w:tcPr>
            <w:tcW w:w="1698" w:type="pct"/>
            <w:vAlign w:val="center"/>
          </w:tcPr>
          <w:p w14:paraId="4EEA6785">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反光背心</w:t>
            </w:r>
          </w:p>
        </w:tc>
        <w:tc>
          <w:tcPr>
            <w:tcW w:w="908" w:type="pct"/>
            <w:vAlign w:val="center"/>
          </w:tcPr>
          <w:p w14:paraId="5387441D">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80</w:t>
            </w:r>
          </w:p>
        </w:tc>
        <w:tc>
          <w:tcPr>
            <w:tcW w:w="797" w:type="pct"/>
            <w:vAlign w:val="center"/>
          </w:tcPr>
          <w:p w14:paraId="0118B549">
            <w:pPr>
              <w:jc w:val="center"/>
              <w:rPr>
                <w:rFonts w:ascii="新宋体" w:hAnsi="新宋体" w:eastAsia="新宋体" w:cs="新宋体"/>
                <w:sz w:val="24"/>
                <w:szCs w:val="24"/>
              </w:rPr>
            </w:pPr>
            <w:r>
              <w:rPr>
                <w:rFonts w:hint="eastAsia" w:ascii="新宋体" w:hAnsi="新宋体" w:eastAsia="新宋体" w:cs="新宋体"/>
                <w:sz w:val="24"/>
                <w:szCs w:val="24"/>
              </w:rPr>
              <w:t>件</w:t>
            </w:r>
          </w:p>
        </w:tc>
        <w:tc>
          <w:tcPr>
            <w:tcW w:w="1029" w:type="pct"/>
            <w:vMerge w:val="continue"/>
            <w:vAlign w:val="center"/>
          </w:tcPr>
          <w:p w14:paraId="70BC0B62">
            <w:pPr>
              <w:jc w:val="center"/>
              <w:rPr>
                <w:rFonts w:ascii="新宋体" w:hAnsi="新宋体" w:eastAsia="新宋体" w:cs="新宋体"/>
                <w:sz w:val="24"/>
                <w:szCs w:val="24"/>
              </w:rPr>
            </w:pPr>
          </w:p>
        </w:tc>
      </w:tr>
      <w:tr w14:paraId="36C1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6E72063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12</w:t>
            </w:r>
          </w:p>
        </w:tc>
        <w:tc>
          <w:tcPr>
            <w:tcW w:w="1698" w:type="pct"/>
            <w:vAlign w:val="center"/>
          </w:tcPr>
          <w:p w14:paraId="03037299">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遮挡布</w:t>
            </w:r>
          </w:p>
        </w:tc>
        <w:tc>
          <w:tcPr>
            <w:tcW w:w="908" w:type="pct"/>
            <w:vAlign w:val="center"/>
          </w:tcPr>
          <w:p w14:paraId="0B9798BA">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36</w:t>
            </w:r>
          </w:p>
        </w:tc>
        <w:tc>
          <w:tcPr>
            <w:tcW w:w="797" w:type="pct"/>
            <w:vAlign w:val="center"/>
          </w:tcPr>
          <w:p w14:paraId="3C8A18BD">
            <w:pPr>
              <w:jc w:val="center"/>
              <w:rPr>
                <w:rFonts w:ascii="新宋体" w:hAnsi="新宋体" w:eastAsia="新宋体" w:cs="新宋体"/>
                <w:sz w:val="24"/>
                <w:szCs w:val="24"/>
              </w:rPr>
            </w:pPr>
            <w:r>
              <w:rPr>
                <w:rFonts w:hint="eastAsia" w:ascii="新宋体" w:hAnsi="新宋体" w:eastAsia="新宋体" w:cs="新宋体"/>
                <w:sz w:val="24"/>
                <w:szCs w:val="24"/>
              </w:rPr>
              <w:t>件</w:t>
            </w:r>
          </w:p>
        </w:tc>
        <w:tc>
          <w:tcPr>
            <w:tcW w:w="1029" w:type="pct"/>
            <w:vMerge w:val="continue"/>
            <w:vAlign w:val="center"/>
          </w:tcPr>
          <w:p w14:paraId="196DC2C3">
            <w:pPr>
              <w:jc w:val="center"/>
              <w:rPr>
                <w:rFonts w:ascii="新宋体" w:hAnsi="新宋体" w:eastAsia="新宋体" w:cs="新宋体"/>
                <w:sz w:val="24"/>
                <w:szCs w:val="24"/>
              </w:rPr>
            </w:pPr>
          </w:p>
        </w:tc>
      </w:tr>
      <w:tr w14:paraId="4F1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1EE40D7A">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13</w:t>
            </w:r>
          </w:p>
        </w:tc>
        <w:tc>
          <w:tcPr>
            <w:tcW w:w="1698" w:type="pct"/>
            <w:vAlign w:val="center"/>
          </w:tcPr>
          <w:p w14:paraId="2E5CCDB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阻车器</w:t>
            </w:r>
          </w:p>
        </w:tc>
        <w:tc>
          <w:tcPr>
            <w:tcW w:w="908" w:type="pct"/>
            <w:vAlign w:val="center"/>
          </w:tcPr>
          <w:p w14:paraId="649B3C29">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23</w:t>
            </w:r>
          </w:p>
        </w:tc>
        <w:tc>
          <w:tcPr>
            <w:tcW w:w="797" w:type="pct"/>
            <w:vAlign w:val="center"/>
          </w:tcPr>
          <w:p w14:paraId="1C1167A3">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334087E0">
            <w:pPr>
              <w:jc w:val="center"/>
              <w:rPr>
                <w:rFonts w:ascii="新宋体" w:hAnsi="新宋体" w:eastAsia="新宋体" w:cs="新宋体"/>
                <w:sz w:val="24"/>
                <w:szCs w:val="24"/>
              </w:rPr>
            </w:pPr>
          </w:p>
        </w:tc>
      </w:tr>
      <w:tr w14:paraId="08FC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1A603CC4">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14</w:t>
            </w:r>
          </w:p>
        </w:tc>
        <w:tc>
          <w:tcPr>
            <w:tcW w:w="1698" w:type="pct"/>
            <w:vAlign w:val="center"/>
          </w:tcPr>
          <w:p w14:paraId="00671DBD">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强光手电</w:t>
            </w:r>
          </w:p>
        </w:tc>
        <w:tc>
          <w:tcPr>
            <w:tcW w:w="908" w:type="pct"/>
            <w:vAlign w:val="center"/>
          </w:tcPr>
          <w:p w14:paraId="2858434F">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170</w:t>
            </w:r>
          </w:p>
        </w:tc>
        <w:tc>
          <w:tcPr>
            <w:tcW w:w="797" w:type="pct"/>
            <w:vAlign w:val="center"/>
          </w:tcPr>
          <w:p w14:paraId="0ED18042">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371B4F53">
            <w:pPr>
              <w:jc w:val="center"/>
              <w:rPr>
                <w:rFonts w:ascii="新宋体" w:hAnsi="新宋体" w:eastAsia="新宋体" w:cs="新宋体"/>
                <w:sz w:val="24"/>
                <w:szCs w:val="24"/>
              </w:rPr>
            </w:pPr>
          </w:p>
        </w:tc>
      </w:tr>
      <w:tr w14:paraId="6048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7068292B">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15</w:t>
            </w:r>
          </w:p>
        </w:tc>
        <w:tc>
          <w:tcPr>
            <w:tcW w:w="1698" w:type="pct"/>
            <w:vAlign w:val="center"/>
          </w:tcPr>
          <w:p w14:paraId="25427989">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催泪喷射器</w:t>
            </w:r>
          </w:p>
        </w:tc>
        <w:tc>
          <w:tcPr>
            <w:tcW w:w="908" w:type="pct"/>
            <w:vAlign w:val="center"/>
          </w:tcPr>
          <w:p w14:paraId="4E424D7A">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160</w:t>
            </w:r>
          </w:p>
        </w:tc>
        <w:tc>
          <w:tcPr>
            <w:tcW w:w="797" w:type="pct"/>
            <w:vAlign w:val="center"/>
          </w:tcPr>
          <w:p w14:paraId="616874A7">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1AB6A5A9">
            <w:pPr>
              <w:jc w:val="center"/>
              <w:rPr>
                <w:rFonts w:ascii="新宋体" w:hAnsi="新宋体" w:eastAsia="新宋体" w:cs="新宋体"/>
                <w:sz w:val="24"/>
                <w:szCs w:val="24"/>
              </w:rPr>
            </w:pPr>
          </w:p>
        </w:tc>
      </w:tr>
      <w:tr w14:paraId="33BE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5FC01552">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16</w:t>
            </w:r>
          </w:p>
        </w:tc>
        <w:tc>
          <w:tcPr>
            <w:tcW w:w="1698" w:type="pct"/>
            <w:vAlign w:val="center"/>
          </w:tcPr>
          <w:p w14:paraId="78A75CD2">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强光搜索灯</w:t>
            </w:r>
          </w:p>
        </w:tc>
        <w:tc>
          <w:tcPr>
            <w:tcW w:w="908" w:type="pct"/>
            <w:vAlign w:val="center"/>
          </w:tcPr>
          <w:p w14:paraId="1C2A6E80">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36</w:t>
            </w:r>
          </w:p>
        </w:tc>
        <w:tc>
          <w:tcPr>
            <w:tcW w:w="797" w:type="pct"/>
            <w:vAlign w:val="center"/>
          </w:tcPr>
          <w:p w14:paraId="4B4C6EDD">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548F2E66">
            <w:pPr>
              <w:jc w:val="center"/>
              <w:rPr>
                <w:rFonts w:ascii="新宋体" w:hAnsi="新宋体" w:eastAsia="新宋体" w:cs="新宋体"/>
                <w:sz w:val="24"/>
                <w:szCs w:val="24"/>
              </w:rPr>
            </w:pPr>
          </w:p>
        </w:tc>
      </w:tr>
      <w:tr w14:paraId="318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67635451">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17</w:t>
            </w:r>
          </w:p>
        </w:tc>
        <w:tc>
          <w:tcPr>
            <w:tcW w:w="1698" w:type="pct"/>
            <w:vAlign w:val="center"/>
          </w:tcPr>
          <w:p w14:paraId="011472E7">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伸缩钢叉</w:t>
            </w:r>
          </w:p>
        </w:tc>
        <w:tc>
          <w:tcPr>
            <w:tcW w:w="908" w:type="pct"/>
            <w:vAlign w:val="center"/>
          </w:tcPr>
          <w:p w14:paraId="1A3E8A90">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36</w:t>
            </w:r>
          </w:p>
        </w:tc>
        <w:tc>
          <w:tcPr>
            <w:tcW w:w="797" w:type="pct"/>
            <w:vAlign w:val="center"/>
          </w:tcPr>
          <w:p w14:paraId="2FEDF1F5">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0CFC452C">
            <w:pPr>
              <w:jc w:val="center"/>
              <w:rPr>
                <w:rFonts w:ascii="新宋体" w:hAnsi="新宋体" w:eastAsia="新宋体" w:cs="新宋体"/>
                <w:sz w:val="24"/>
                <w:szCs w:val="24"/>
              </w:rPr>
            </w:pPr>
          </w:p>
        </w:tc>
      </w:tr>
      <w:tr w14:paraId="32A0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42AAC139">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18</w:t>
            </w:r>
          </w:p>
        </w:tc>
        <w:tc>
          <w:tcPr>
            <w:tcW w:w="1698" w:type="pct"/>
            <w:vAlign w:val="center"/>
          </w:tcPr>
          <w:p w14:paraId="3183664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伸缩警棍</w:t>
            </w:r>
          </w:p>
        </w:tc>
        <w:tc>
          <w:tcPr>
            <w:tcW w:w="908" w:type="pct"/>
            <w:vAlign w:val="center"/>
          </w:tcPr>
          <w:p w14:paraId="4371DEF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110</w:t>
            </w:r>
          </w:p>
        </w:tc>
        <w:tc>
          <w:tcPr>
            <w:tcW w:w="797" w:type="pct"/>
            <w:vAlign w:val="center"/>
          </w:tcPr>
          <w:p w14:paraId="6D60C426">
            <w:pPr>
              <w:jc w:val="center"/>
              <w:rPr>
                <w:rFonts w:ascii="新宋体" w:hAnsi="新宋体" w:eastAsia="新宋体" w:cs="新宋体"/>
                <w:sz w:val="24"/>
                <w:szCs w:val="24"/>
              </w:rPr>
            </w:pPr>
            <w:r>
              <w:rPr>
                <w:rFonts w:hint="eastAsia" w:ascii="新宋体" w:hAnsi="新宋体" w:eastAsia="新宋体" w:cs="新宋体"/>
                <w:sz w:val="24"/>
                <w:szCs w:val="24"/>
              </w:rPr>
              <w:t>根</w:t>
            </w:r>
          </w:p>
        </w:tc>
        <w:tc>
          <w:tcPr>
            <w:tcW w:w="1029" w:type="pct"/>
            <w:vMerge w:val="continue"/>
            <w:vAlign w:val="center"/>
          </w:tcPr>
          <w:p w14:paraId="245D633B">
            <w:pPr>
              <w:jc w:val="center"/>
              <w:rPr>
                <w:rFonts w:ascii="新宋体" w:hAnsi="新宋体" w:eastAsia="新宋体" w:cs="新宋体"/>
                <w:sz w:val="24"/>
                <w:szCs w:val="24"/>
              </w:rPr>
            </w:pPr>
          </w:p>
        </w:tc>
      </w:tr>
      <w:tr w14:paraId="64DD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600BE8B3">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19</w:t>
            </w:r>
          </w:p>
        </w:tc>
        <w:tc>
          <w:tcPr>
            <w:tcW w:w="1698" w:type="pct"/>
            <w:vAlign w:val="center"/>
          </w:tcPr>
          <w:p w14:paraId="3373540F">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肩灯</w:t>
            </w:r>
          </w:p>
        </w:tc>
        <w:tc>
          <w:tcPr>
            <w:tcW w:w="908" w:type="pct"/>
            <w:vAlign w:val="center"/>
          </w:tcPr>
          <w:p w14:paraId="1CCAF561">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95</w:t>
            </w:r>
          </w:p>
        </w:tc>
        <w:tc>
          <w:tcPr>
            <w:tcW w:w="797" w:type="pct"/>
            <w:vAlign w:val="center"/>
          </w:tcPr>
          <w:p w14:paraId="0CFDFB3F">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6508D50A">
            <w:pPr>
              <w:jc w:val="center"/>
              <w:rPr>
                <w:rFonts w:ascii="新宋体" w:hAnsi="新宋体" w:eastAsia="新宋体" w:cs="新宋体"/>
                <w:sz w:val="24"/>
                <w:szCs w:val="24"/>
              </w:rPr>
            </w:pPr>
          </w:p>
        </w:tc>
      </w:tr>
      <w:tr w14:paraId="6A66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4D5CFF95">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20</w:t>
            </w:r>
          </w:p>
        </w:tc>
        <w:tc>
          <w:tcPr>
            <w:tcW w:w="1698" w:type="pct"/>
            <w:vAlign w:val="center"/>
          </w:tcPr>
          <w:p w14:paraId="5EFB84FD">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金属手铐</w:t>
            </w:r>
          </w:p>
        </w:tc>
        <w:tc>
          <w:tcPr>
            <w:tcW w:w="908" w:type="pct"/>
            <w:vAlign w:val="center"/>
          </w:tcPr>
          <w:p w14:paraId="69038018">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95</w:t>
            </w:r>
          </w:p>
        </w:tc>
        <w:tc>
          <w:tcPr>
            <w:tcW w:w="797" w:type="pct"/>
            <w:vAlign w:val="center"/>
          </w:tcPr>
          <w:p w14:paraId="6E46FBA3">
            <w:pPr>
              <w:jc w:val="center"/>
              <w:rPr>
                <w:rFonts w:ascii="新宋体" w:hAnsi="新宋体" w:eastAsia="新宋体" w:cs="新宋体"/>
                <w:sz w:val="24"/>
                <w:szCs w:val="24"/>
              </w:rPr>
            </w:pPr>
            <w:r>
              <w:rPr>
                <w:rFonts w:hint="eastAsia" w:ascii="新宋体" w:hAnsi="新宋体" w:eastAsia="新宋体" w:cs="新宋体"/>
                <w:sz w:val="24"/>
                <w:szCs w:val="24"/>
              </w:rPr>
              <w:t>副</w:t>
            </w:r>
          </w:p>
        </w:tc>
        <w:tc>
          <w:tcPr>
            <w:tcW w:w="1029" w:type="pct"/>
            <w:vMerge w:val="continue"/>
            <w:vAlign w:val="center"/>
          </w:tcPr>
          <w:p w14:paraId="2435001A">
            <w:pPr>
              <w:jc w:val="center"/>
              <w:rPr>
                <w:rFonts w:ascii="新宋体" w:hAnsi="新宋体" w:eastAsia="新宋体" w:cs="新宋体"/>
                <w:sz w:val="24"/>
                <w:szCs w:val="24"/>
              </w:rPr>
            </w:pPr>
          </w:p>
        </w:tc>
      </w:tr>
      <w:tr w14:paraId="0622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34DDE02B">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21</w:t>
            </w:r>
          </w:p>
        </w:tc>
        <w:tc>
          <w:tcPr>
            <w:tcW w:w="1698" w:type="pct"/>
            <w:vAlign w:val="center"/>
          </w:tcPr>
          <w:p w14:paraId="1AB00FB1">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闪爆灯</w:t>
            </w:r>
          </w:p>
        </w:tc>
        <w:tc>
          <w:tcPr>
            <w:tcW w:w="908" w:type="pct"/>
            <w:vAlign w:val="center"/>
          </w:tcPr>
          <w:p w14:paraId="73A3E9AF">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38</w:t>
            </w:r>
          </w:p>
        </w:tc>
        <w:tc>
          <w:tcPr>
            <w:tcW w:w="797" w:type="pct"/>
            <w:vAlign w:val="center"/>
          </w:tcPr>
          <w:p w14:paraId="6C6B005B">
            <w:pPr>
              <w:jc w:val="center"/>
              <w:rPr>
                <w:rFonts w:ascii="新宋体" w:hAnsi="新宋体" w:eastAsia="新宋体" w:cs="新宋体"/>
                <w:sz w:val="24"/>
                <w:szCs w:val="24"/>
              </w:rPr>
            </w:pPr>
            <w:r>
              <w:rPr>
                <w:rFonts w:hint="eastAsia" w:ascii="新宋体" w:hAnsi="新宋体" w:eastAsia="新宋体" w:cs="新宋体"/>
                <w:sz w:val="24"/>
                <w:szCs w:val="24"/>
              </w:rPr>
              <w:t>个</w:t>
            </w:r>
          </w:p>
        </w:tc>
        <w:tc>
          <w:tcPr>
            <w:tcW w:w="1029" w:type="pct"/>
            <w:vMerge w:val="continue"/>
            <w:vAlign w:val="center"/>
          </w:tcPr>
          <w:p w14:paraId="68693435">
            <w:pPr>
              <w:jc w:val="center"/>
              <w:rPr>
                <w:rFonts w:ascii="新宋体" w:hAnsi="新宋体" w:eastAsia="新宋体" w:cs="新宋体"/>
                <w:sz w:val="24"/>
                <w:szCs w:val="24"/>
              </w:rPr>
            </w:pPr>
          </w:p>
        </w:tc>
      </w:tr>
      <w:tr w14:paraId="080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585AA887">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22</w:t>
            </w:r>
          </w:p>
        </w:tc>
        <w:tc>
          <w:tcPr>
            <w:tcW w:w="1698" w:type="pct"/>
            <w:vAlign w:val="center"/>
          </w:tcPr>
          <w:p w14:paraId="0B07A50E">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皮划艇</w:t>
            </w:r>
          </w:p>
        </w:tc>
        <w:tc>
          <w:tcPr>
            <w:tcW w:w="908" w:type="pct"/>
            <w:vAlign w:val="center"/>
          </w:tcPr>
          <w:p w14:paraId="344B1BEA">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w:t>
            </w:r>
          </w:p>
        </w:tc>
        <w:tc>
          <w:tcPr>
            <w:tcW w:w="797" w:type="pct"/>
            <w:vAlign w:val="center"/>
          </w:tcPr>
          <w:p w14:paraId="26DDE2A4">
            <w:pPr>
              <w:jc w:val="center"/>
              <w:rPr>
                <w:rFonts w:ascii="新宋体" w:hAnsi="新宋体" w:eastAsia="新宋体" w:cs="新宋体"/>
                <w:sz w:val="24"/>
                <w:szCs w:val="24"/>
              </w:rPr>
            </w:pPr>
            <w:r>
              <w:rPr>
                <w:rFonts w:hint="eastAsia" w:ascii="新宋体" w:hAnsi="新宋体" w:eastAsia="新宋体" w:cs="新宋体"/>
                <w:sz w:val="24"/>
                <w:szCs w:val="24"/>
              </w:rPr>
              <w:t>条</w:t>
            </w:r>
          </w:p>
        </w:tc>
        <w:tc>
          <w:tcPr>
            <w:tcW w:w="1029" w:type="pct"/>
            <w:vMerge w:val="continue"/>
            <w:vAlign w:val="center"/>
          </w:tcPr>
          <w:p w14:paraId="2E34FC26">
            <w:pPr>
              <w:jc w:val="center"/>
              <w:rPr>
                <w:rFonts w:ascii="新宋体" w:hAnsi="新宋体" w:eastAsia="新宋体" w:cs="新宋体"/>
                <w:sz w:val="24"/>
                <w:szCs w:val="24"/>
              </w:rPr>
            </w:pPr>
          </w:p>
        </w:tc>
      </w:tr>
      <w:tr w14:paraId="20D0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vAlign w:val="center"/>
          </w:tcPr>
          <w:p w14:paraId="1AEFB62E">
            <w:pPr>
              <w:widowControl/>
              <w:jc w:val="center"/>
              <w:textAlignment w:val="center"/>
              <w:rPr>
                <w:rFonts w:ascii="新宋体" w:hAnsi="新宋体" w:eastAsia="新宋体" w:cs="新宋体"/>
                <w:color w:val="000000"/>
                <w:kern w:val="0"/>
                <w:sz w:val="24"/>
                <w:szCs w:val="24"/>
                <w:lang w:bidi="ar"/>
              </w:rPr>
            </w:pPr>
            <w:r>
              <w:rPr>
                <w:rFonts w:hint="eastAsia" w:ascii="新宋体" w:hAnsi="新宋体" w:eastAsia="新宋体" w:cs="新宋体"/>
                <w:color w:val="000000"/>
                <w:kern w:val="0"/>
                <w:sz w:val="24"/>
                <w:szCs w:val="24"/>
                <w:lang w:bidi="ar"/>
              </w:rPr>
              <w:t>23</w:t>
            </w:r>
          </w:p>
        </w:tc>
        <w:tc>
          <w:tcPr>
            <w:tcW w:w="1698" w:type="pct"/>
            <w:vAlign w:val="center"/>
          </w:tcPr>
          <w:p w14:paraId="3036762F">
            <w:pPr>
              <w:widowControl/>
              <w:jc w:val="center"/>
              <w:textAlignment w:val="center"/>
              <w:rPr>
                <w:rFonts w:ascii="新宋体" w:hAnsi="新宋体" w:eastAsia="新宋体" w:cs="新宋体"/>
                <w:color w:val="000000"/>
                <w:kern w:val="0"/>
                <w:sz w:val="24"/>
                <w:szCs w:val="24"/>
                <w:lang w:bidi="ar"/>
              </w:rPr>
            </w:pPr>
            <w:r>
              <w:rPr>
                <w:rFonts w:hint="eastAsia" w:ascii="新宋体" w:hAnsi="新宋体" w:eastAsia="新宋体" w:cs="新宋体"/>
                <w:color w:val="000000"/>
                <w:kern w:val="0"/>
                <w:sz w:val="24"/>
                <w:szCs w:val="24"/>
                <w:lang w:bidi="ar"/>
              </w:rPr>
              <w:t>防弹背心</w:t>
            </w:r>
          </w:p>
        </w:tc>
        <w:tc>
          <w:tcPr>
            <w:tcW w:w="908" w:type="pct"/>
            <w:vAlign w:val="center"/>
          </w:tcPr>
          <w:p w14:paraId="5FF8E24F">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25</w:t>
            </w:r>
          </w:p>
        </w:tc>
        <w:tc>
          <w:tcPr>
            <w:tcW w:w="797" w:type="pct"/>
            <w:vAlign w:val="center"/>
          </w:tcPr>
          <w:p w14:paraId="39272F4A">
            <w:pPr>
              <w:jc w:val="center"/>
              <w:rPr>
                <w:rFonts w:ascii="新宋体" w:hAnsi="新宋体" w:eastAsia="新宋体" w:cs="新宋体"/>
                <w:sz w:val="24"/>
                <w:szCs w:val="24"/>
              </w:rPr>
            </w:pPr>
            <w:r>
              <w:rPr>
                <w:rFonts w:hint="eastAsia" w:ascii="新宋体" w:hAnsi="新宋体" w:eastAsia="新宋体" w:cs="新宋体"/>
                <w:sz w:val="24"/>
                <w:szCs w:val="24"/>
              </w:rPr>
              <w:t>件</w:t>
            </w:r>
          </w:p>
        </w:tc>
        <w:tc>
          <w:tcPr>
            <w:tcW w:w="1029" w:type="pct"/>
            <w:vMerge w:val="continue"/>
            <w:vAlign w:val="center"/>
          </w:tcPr>
          <w:p w14:paraId="25F19187">
            <w:pPr>
              <w:jc w:val="center"/>
              <w:rPr>
                <w:rFonts w:ascii="新宋体" w:hAnsi="新宋体" w:eastAsia="新宋体" w:cs="新宋体"/>
                <w:sz w:val="24"/>
                <w:szCs w:val="24"/>
              </w:rPr>
            </w:pPr>
          </w:p>
        </w:tc>
      </w:tr>
      <w:tr w14:paraId="0A8B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5" w:type="pct"/>
            <w:vAlign w:val="center"/>
          </w:tcPr>
          <w:p w14:paraId="65815345">
            <w:pPr>
              <w:widowControl/>
              <w:jc w:val="center"/>
              <w:textAlignment w:val="center"/>
              <w:rPr>
                <w:rFonts w:ascii="新宋体" w:hAnsi="新宋体" w:eastAsia="新宋体" w:cs="新宋体"/>
                <w:color w:val="000000"/>
                <w:kern w:val="0"/>
                <w:sz w:val="24"/>
                <w:szCs w:val="24"/>
                <w:lang w:bidi="ar"/>
              </w:rPr>
            </w:pPr>
            <w:r>
              <w:rPr>
                <w:rFonts w:hint="eastAsia" w:ascii="新宋体" w:hAnsi="新宋体" w:eastAsia="新宋体" w:cs="新宋体"/>
                <w:color w:val="000000"/>
                <w:kern w:val="0"/>
                <w:sz w:val="24"/>
                <w:szCs w:val="24"/>
                <w:lang w:bidi="ar"/>
              </w:rPr>
              <w:t>24</w:t>
            </w:r>
          </w:p>
        </w:tc>
        <w:tc>
          <w:tcPr>
            <w:tcW w:w="1698" w:type="pct"/>
            <w:vAlign w:val="center"/>
          </w:tcPr>
          <w:p w14:paraId="5F6DEC3C">
            <w:pPr>
              <w:widowControl/>
              <w:jc w:val="center"/>
              <w:textAlignment w:val="center"/>
              <w:rPr>
                <w:rFonts w:ascii="新宋体" w:hAnsi="新宋体" w:eastAsia="新宋体" w:cs="新宋体"/>
                <w:color w:val="000000"/>
                <w:kern w:val="0"/>
                <w:sz w:val="24"/>
                <w:szCs w:val="24"/>
                <w:lang w:bidi="ar"/>
              </w:rPr>
            </w:pPr>
            <w:r>
              <w:rPr>
                <w:rFonts w:hint="eastAsia" w:ascii="新宋体" w:hAnsi="新宋体" w:eastAsia="新宋体" w:cs="新宋体"/>
                <w:color w:val="000000"/>
                <w:kern w:val="0"/>
                <w:sz w:val="24"/>
                <w:szCs w:val="24"/>
                <w:lang w:bidi="ar"/>
              </w:rPr>
              <w:t>防刺背心</w:t>
            </w:r>
          </w:p>
        </w:tc>
        <w:tc>
          <w:tcPr>
            <w:tcW w:w="908" w:type="pct"/>
            <w:vAlign w:val="center"/>
          </w:tcPr>
          <w:p w14:paraId="63ADB91E">
            <w:pPr>
              <w:widowControl/>
              <w:jc w:val="center"/>
              <w:textAlignment w:val="center"/>
              <w:rPr>
                <w:rFonts w:ascii="新宋体" w:hAnsi="新宋体" w:eastAsia="新宋体" w:cs="新宋体"/>
                <w:sz w:val="24"/>
                <w:szCs w:val="24"/>
              </w:rPr>
            </w:pPr>
            <w:r>
              <w:rPr>
                <w:rFonts w:hint="eastAsia" w:ascii="新宋体" w:hAnsi="新宋体" w:eastAsia="新宋体" w:cs="新宋体"/>
                <w:color w:val="000000"/>
                <w:kern w:val="0"/>
                <w:sz w:val="24"/>
                <w:szCs w:val="24"/>
                <w:lang w:bidi="ar"/>
              </w:rPr>
              <w:t>25</w:t>
            </w:r>
          </w:p>
        </w:tc>
        <w:tc>
          <w:tcPr>
            <w:tcW w:w="797" w:type="pct"/>
            <w:vAlign w:val="center"/>
          </w:tcPr>
          <w:p w14:paraId="463F5F52">
            <w:pPr>
              <w:jc w:val="center"/>
              <w:rPr>
                <w:rFonts w:ascii="新宋体" w:hAnsi="新宋体" w:eastAsia="新宋体" w:cs="新宋体"/>
                <w:sz w:val="24"/>
                <w:szCs w:val="24"/>
              </w:rPr>
            </w:pPr>
            <w:r>
              <w:rPr>
                <w:rFonts w:hint="eastAsia" w:ascii="新宋体" w:hAnsi="新宋体" w:eastAsia="新宋体" w:cs="新宋体"/>
                <w:sz w:val="24"/>
                <w:szCs w:val="24"/>
              </w:rPr>
              <w:t>件</w:t>
            </w:r>
          </w:p>
        </w:tc>
        <w:tc>
          <w:tcPr>
            <w:tcW w:w="1029" w:type="pct"/>
            <w:vMerge w:val="continue"/>
            <w:vAlign w:val="center"/>
          </w:tcPr>
          <w:p w14:paraId="2591FBF5">
            <w:pPr>
              <w:jc w:val="center"/>
              <w:rPr>
                <w:rFonts w:ascii="新宋体" w:hAnsi="新宋体" w:eastAsia="新宋体" w:cs="新宋体"/>
                <w:sz w:val="24"/>
                <w:szCs w:val="24"/>
              </w:rPr>
            </w:pPr>
          </w:p>
        </w:tc>
      </w:tr>
      <w:bookmarkEnd w:id="6"/>
      <w:bookmarkEnd w:id="7"/>
    </w:tbl>
    <w:p w14:paraId="30DBDFB4">
      <w:pPr>
        <w:rPr>
          <w:rFonts w:ascii="新宋体" w:hAnsi="新宋体" w:eastAsia="新宋体" w:cs="新宋体"/>
          <w:b/>
          <w:bCs/>
          <w:sz w:val="24"/>
          <w:szCs w:val="24"/>
        </w:rPr>
      </w:pPr>
    </w:p>
    <w:p w14:paraId="623A79D7">
      <w:pPr>
        <w:rPr>
          <w:rFonts w:ascii="新宋体" w:hAnsi="新宋体" w:eastAsia="新宋体" w:cs="新宋体"/>
          <w:b/>
          <w:bCs/>
          <w:sz w:val="24"/>
          <w:szCs w:val="24"/>
        </w:rPr>
      </w:pPr>
      <w:r>
        <w:rPr>
          <w:rFonts w:hint="eastAsia" w:ascii="新宋体" w:hAnsi="新宋体" w:eastAsia="新宋体" w:cs="新宋体"/>
          <w:b/>
          <w:bCs/>
          <w:sz w:val="24"/>
          <w:szCs w:val="24"/>
        </w:rPr>
        <w:t>其他要求：</w:t>
      </w:r>
    </w:p>
    <w:tbl>
      <w:tblPr>
        <w:tblStyle w:val="7"/>
        <w:tblW w:w="5372" w:type="pct"/>
        <w:jc w:val="center"/>
        <w:tblLayout w:type="autofit"/>
        <w:tblCellMar>
          <w:top w:w="0" w:type="dxa"/>
          <w:left w:w="108" w:type="dxa"/>
          <w:bottom w:w="0" w:type="dxa"/>
          <w:right w:w="108" w:type="dxa"/>
        </w:tblCellMar>
      </w:tblPr>
      <w:tblGrid>
        <w:gridCol w:w="3129"/>
        <w:gridCol w:w="6058"/>
      </w:tblGrid>
      <w:tr w14:paraId="76E24E39">
        <w:tblPrEx>
          <w:tblCellMar>
            <w:top w:w="0" w:type="dxa"/>
            <w:left w:w="108" w:type="dxa"/>
            <w:bottom w:w="0" w:type="dxa"/>
            <w:right w:w="108" w:type="dxa"/>
          </w:tblCellMar>
        </w:tblPrEx>
        <w:trPr>
          <w:trHeight w:val="656" w:hRule="atLeast"/>
          <w:jc w:val="center"/>
        </w:trPr>
        <w:tc>
          <w:tcPr>
            <w:tcW w:w="1703" w:type="pct"/>
            <w:tcBorders>
              <w:top w:val="single" w:color="auto" w:sz="4" w:space="0"/>
              <w:left w:val="single" w:color="auto" w:sz="4" w:space="0"/>
              <w:bottom w:val="single" w:color="auto" w:sz="4" w:space="0"/>
              <w:right w:val="single" w:color="auto" w:sz="4" w:space="0"/>
            </w:tcBorders>
            <w:vAlign w:val="center"/>
          </w:tcPr>
          <w:p w14:paraId="24B1252F">
            <w:pPr>
              <w:pStyle w:val="12"/>
              <w:spacing w:line="360" w:lineRule="auto"/>
              <w:jc w:val="center"/>
              <w:rPr>
                <w:rFonts w:ascii="新宋体" w:hAnsi="新宋体" w:eastAsia="新宋体" w:cs="新宋体"/>
                <w:b/>
                <w:bCs/>
                <w:szCs w:val="24"/>
              </w:rPr>
            </w:pPr>
            <w:r>
              <w:rPr>
                <w:rFonts w:hint="eastAsia" w:ascii="新宋体" w:hAnsi="新宋体" w:eastAsia="新宋体" w:cs="新宋体"/>
                <w:bCs/>
                <w:szCs w:val="24"/>
              </w:rPr>
              <w:t>质保期</w:t>
            </w:r>
          </w:p>
        </w:tc>
        <w:tc>
          <w:tcPr>
            <w:tcW w:w="3297" w:type="pct"/>
            <w:tcBorders>
              <w:top w:val="single" w:color="auto" w:sz="4" w:space="0"/>
              <w:left w:val="single" w:color="auto" w:sz="4" w:space="0"/>
              <w:bottom w:val="single" w:color="auto" w:sz="4" w:space="0"/>
              <w:right w:val="single" w:color="auto" w:sz="4" w:space="0"/>
            </w:tcBorders>
            <w:vAlign w:val="center"/>
          </w:tcPr>
          <w:p w14:paraId="6258AF43">
            <w:pPr>
              <w:spacing w:line="360" w:lineRule="auto"/>
              <w:rPr>
                <w:rFonts w:ascii="新宋体" w:hAnsi="新宋体" w:eastAsia="新宋体" w:cs="新宋体"/>
                <w:sz w:val="24"/>
                <w:szCs w:val="24"/>
              </w:rPr>
            </w:pPr>
            <w:r>
              <w:rPr>
                <w:rFonts w:hint="eastAsia" w:ascii="新宋体" w:hAnsi="新宋体" w:eastAsia="新宋体" w:cs="新宋体"/>
                <w:bCs/>
                <w:sz w:val="24"/>
                <w:szCs w:val="24"/>
              </w:rPr>
              <w:t>项目验收合格之日起所有装备1年质保期</w:t>
            </w:r>
          </w:p>
        </w:tc>
      </w:tr>
      <w:tr w14:paraId="1060A20C">
        <w:tblPrEx>
          <w:tblCellMar>
            <w:top w:w="0" w:type="dxa"/>
            <w:left w:w="108" w:type="dxa"/>
            <w:bottom w:w="0" w:type="dxa"/>
            <w:right w:w="108" w:type="dxa"/>
          </w:tblCellMar>
        </w:tblPrEx>
        <w:trPr>
          <w:trHeight w:val="656" w:hRule="atLeast"/>
          <w:jc w:val="center"/>
        </w:trPr>
        <w:tc>
          <w:tcPr>
            <w:tcW w:w="1703" w:type="pct"/>
            <w:tcBorders>
              <w:top w:val="single" w:color="auto" w:sz="4" w:space="0"/>
              <w:left w:val="single" w:color="auto" w:sz="4" w:space="0"/>
              <w:bottom w:val="single" w:color="auto" w:sz="4" w:space="0"/>
              <w:right w:val="single" w:color="auto" w:sz="4" w:space="0"/>
            </w:tcBorders>
            <w:vAlign w:val="center"/>
          </w:tcPr>
          <w:p w14:paraId="1983C585">
            <w:pPr>
              <w:pStyle w:val="12"/>
              <w:spacing w:line="360" w:lineRule="auto"/>
              <w:jc w:val="center"/>
              <w:rPr>
                <w:rFonts w:ascii="新宋体" w:hAnsi="新宋体" w:eastAsia="新宋体" w:cs="新宋体"/>
                <w:bCs/>
                <w:szCs w:val="24"/>
              </w:rPr>
            </w:pPr>
            <w:r>
              <w:rPr>
                <w:rFonts w:hint="eastAsia" w:ascii="新宋体" w:hAnsi="新宋体" w:eastAsia="新宋体" w:cs="新宋体"/>
                <w:bCs/>
                <w:szCs w:val="24"/>
              </w:rPr>
              <w:t>合同履行期限（交货期）</w:t>
            </w:r>
          </w:p>
        </w:tc>
        <w:tc>
          <w:tcPr>
            <w:tcW w:w="3297" w:type="pct"/>
            <w:tcBorders>
              <w:top w:val="single" w:color="auto" w:sz="4" w:space="0"/>
              <w:left w:val="single" w:color="auto" w:sz="4" w:space="0"/>
              <w:bottom w:val="single" w:color="auto" w:sz="4" w:space="0"/>
              <w:right w:val="single" w:color="auto" w:sz="4" w:space="0"/>
            </w:tcBorders>
            <w:vAlign w:val="center"/>
          </w:tcPr>
          <w:p w14:paraId="19A748D0">
            <w:pPr>
              <w:spacing w:line="360" w:lineRule="auto"/>
              <w:rPr>
                <w:rFonts w:ascii="新宋体" w:hAnsi="新宋体" w:eastAsia="新宋体" w:cs="新宋体"/>
                <w:bCs/>
                <w:sz w:val="24"/>
                <w:szCs w:val="24"/>
              </w:rPr>
            </w:pPr>
            <w:r>
              <w:rPr>
                <w:rFonts w:hint="eastAsia" w:ascii="新宋体" w:hAnsi="新宋体" w:eastAsia="新宋体" w:cs="新宋体"/>
                <w:bCs/>
                <w:sz w:val="24"/>
                <w:szCs w:val="24"/>
              </w:rPr>
              <w:t>合同签订之日起20个日历天</w:t>
            </w:r>
          </w:p>
        </w:tc>
      </w:tr>
      <w:tr w14:paraId="12D33299">
        <w:tblPrEx>
          <w:tblCellMar>
            <w:top w:w="0" w:type="dxa"/>
            <w:left w:w="108" w:type="dxa"/>
            <w:bottom w:w="0" w:type="dxa"/>
            <w:right w:w="108" w:type="dxa"/>
          </w:tblCellMar>
        </w:tblPrEx>
        <w:trPr>
          <w:trHeight w:val="656" w:hRule="atLeast"/>
          <w:jc w:val="center"/>
        </w:trPr>
        <w:tc>
          <w:tcPr>
            <w:tcW w:w="1703" w:type="pct"/>
            <w:tcBorders>
              <w:top w:val="single" w:color="auto" w:sz="4" w:space="0"/>
              <w:left w:val="single" w:color="auto" w:sz="4" w:space="0"/>
              <w:bottom w:val="single" w:color="auto" w:sz="4" w:space="0"/>
              <w:right w:val="single" w:color="auto" w:sz="4" w:space="0"/>
            </w:tcBorders>
            <w:vAlign w:val="center"/>
          </w:tcPr>
          <w:p w14:paraId="026259D2">
            <w:pPr>
              <w:pStyle w:val="12"/>
              <w:spacing w:line="360" w:lineRule="auto"/>
              <w:jc w:val="center"/>
              <w:rPr>
                <w:rFonts w:ascii="新宋体" w:hAnsi="新宋体" w:eastAsia="新宋体" w:cs="新宋体"/>
                <w:bCs/>
                <w:szCs w:val="24"/>
              </w:rPr>
            </w:pPr>
            <w:bookmarkStart w:id="8" w:name="_Toc181181456"/>
            <w:r>
              <w:rPr>
                <w:rFonts w:hint="eastAsia" w:ascii="新宋体" w:hAnsi="新宋体" w:eastAsia="新宋体" w:cs="新宋体"/>
                <w:bCs/>
                <w:szCs w:val="24"/>
              </w:rPr>
              <w:t>核心产品</w:t>
            </w:r>
          </w:p>
        </w:tc>
        <w:tc>
          <w:tcPr>
            <w:tcW w:w="3297" w:type="pct"/>
            <w:tcBorders>
              <w:top w:val="single" w:color="auto" w:sz="4" w:space="0"/>
              <w:left w:val="single" w:color="auto" w:sz="4" w:space="0"/>
              <w:bottom w:val="single" w:color="auto" w:sz="4" w:space="0"/>
              <w:right w:val="single" w:color="auto" w:sz="4" w:space="0"/>
            </w:tcBorders>
            <w:vAlign w:val="center"/>
          </w:tcPr>
          <w:p w14:paraId="0EDBE65E">
            <w:pPr>
              <w:spacing w:line="360" w:lineRule="auto"/>
              <w:rPr>
                <w:rFonts w:ascii="新宋体" w:hAnsi="新宋体" w:eastAsia="新宋体" w:cs="新宋体"/>
                <w:bCs/>
                <w:sz w:val="24"/>
                <w:szCs w:val="24"/>
              </w:rPr>
            </w:pPr>
            <w:r>
              <w:rPr>
                <w:rFonts w:hint="eastAsia" w:ascii="新宋体" w:hAnsi="新宋体" w:eastAsia="新宋体" w:cs="新宋体"/>
                <w:bCs/>
                <w:sz w:val="24"/>
                <w:szCs w:val="24"/>
              </w:rPr>
              <w:t>根据中华人民共和国财政部令第87号《政府采购货物和服务招标投标管理办法》中关于核心产品的规定，本项目中</w:t>
            </w:r>
            <w:r>
              <w:rPr>
                <w:rFonts w:hint="eastAsia" w:ascii="新宋体" w:hAnsi="新宋体" w:eastAsia="新宋体" w:cs="新宋体"/>
                <w:b/>
                <w:sz w:val="24"/>
                <w:szCs w:val="24"/>
                <w:u w:val="single"/>
                <w:shd w:val="clear" w:color="FFFFFF" w:fill="D9D9D9"/>
              </w:rPr>
              <w:t>防弹背心</w:t>
            </w:r>
            <w:r>
              <w:rPr>
                <w:rFonts w:hint="eastAsia" w:ascii="新宋体" w:hAnsi="新宋体" w:eastAsia="新宋体" w:cs="新宋体"/>
                <w:bCs/>
                <w:sz w:val="24"/>
                <w:szCs w:val="24"/>
              </w:rPr>
              <w:t>为项目的核心设备。如多家投标人提供的核心产品品牌相同的，视为提供相同品牌产品。提供相同品牌产品且通过资格审查、符合性审查的不同投标人，有效投标人数按一家投标人计算，评审后得分最高的同品牌投标人获得中标推荐资格。</w:t>
            </w:r>
          </w:p>
        </w:tc>
      </w:tr>
      <w:bookmarkEnd w:id="8"/>
    </w:tbl>
    <w:p w14:paraId="69EC9F1D">
      <w:pPr>
        <w:spacing w:line="360" w:lineRule="auto"/>
        <w:jc w:val="left"/>
        <w:rPr>
          <w:rFonts w:ascii="新宋体" w:hAnsi="新宋体" w:eastAsia="新宋体" w:cs="新宋体"/>
          <w:b/>
          <w:bCs/>
          <w:spacing w:val="5"/>
          <w:sz w:val="28"/>
          <w:szCs w:val="28"/>
          <w:lang w:val="zh-CN"/>
        </w:rPr>
      </w:pPr>
      <w:bookmarkStart w:id="9" w:name="_Toc25537"/>
    </w:p>
    <w:bookmarkEnd w:id="9"/>
    <w:p w14:paraId="1E6B9612">
      <w:pPr>
        <w:spacing w:line="360" w:lineRule="auto"/>
        <w:ind w:left="130"/>
        <w:outlineLvl w:val="1"/>
        <w:rPr>
          <w:rFonts w:ascii="新宋体" w:hAnsi="新宋体" w:eastAsia="新宋体" w:cs="新宋体"/>
          <w:b/>
          <w:bCs/>
          <w:spacing w:val="5"/>
          <w:sz w:val="28"/>
          <w:szCs w:val="28"/>
        </w:rPr>
      </w:pPr>
      <w:r>
        <w:rPr>
          <w:rFonts w:hint="eastAsia" w:ascii="新宋体" w:hAnsi="新宋体" w:eastAsia="新宋体" w:cs="新宋体"/>
          <w:b/>
          <w:bCs/>
          <w:spacing w:val="5"/>
          <w:sz w:val="28"/>
          <w:szCs w:val="28"/>
        </w:rPr>
        <w:t>二、项目概述</w:t>
      </w:r>
    </w:p>
    <w:p w14:paraId="5433A237">
      <w:pPr>
        <w:pStyle w:val="2"/>
        <w:spacing w:line="360" w:lineRule="auto"/>
        <w:ind w:firstLine="480" w:firstLineChars="200"/>
        <w:rPr>
          <w:rFonts w:ascii="新宋体" w:hAnsi="新宋体" w:eastAsia="新宋体" w:cs="新宋体"/>
          <w:bCs/>
          <w:sz w:val="24"/>
        </w:rPr>
      </w:pPr>
      <w:r>
        <w:rPr>
          <w:rFonts w:hint="eastAsia" w:ascii="新宋体" w:hAnsi="新宋体" w:eastAsia="新宋体" w:cs="新宋体"/>
          <w:bCs/>
          <w:sz w:val="24"/>
        </w:rPr>
        <w:t>围绕新时代公安工作的职责使命，以提升东西湖区分局警务实战能力为核心，通过系统性、前瞻性的装备采购与更新，构建“科技赋能、精准高效、保障有力、安全规范”的现代化警用装备体系。旨在全面提升分局在巡逻防控、应急处突、执法办案、服务群众等方面的综合效能，为维护东西湖区社会大局稳定、保障人民生命财产安全提供坚实的物质技术支撑。</w:t>
      </w:r>
    </w:p>
    <w:p w14:paraId="2581E752">
      <w:pPr>
        <w:pStyle w:val="2"/>
        <w:spacing w:line="360" w:lineRule="auto"/>
        <w:ind w:firstLine="480" w:firstLineChars="200"/>
        <w:rPr>
          <w:rFonts w:ascii="新宋体" w:hAnsi="新宋体" w:eastAsia="新宋体" w:cs="新宋体"/>
          <w:sz w:val="24"/>
        </w:rPr>
      </w:pPr>
      <w:r>
        <w:rPr>
          <w:rFonts w:ascii="新宋体" w:hAnsi="新宋体" w:eastAsia="新宋体" w:cs="新宋体"/>
          <w:sz w:val="24"/>
        </w:rPr>
        <w:t>本次警用装备采购项目，正值我国基础警用装备产业迭代升级的窗口期。传统防护、执法与保障类装备正经历由“有无”向“优劣”的深刻转变，其更新换代的需求迫切且明确。</w:t>
      </w:r>
    </w:p>
    <w:p w14:paraId="2A25EEE1">
      <w:pPr>
        <w:spacing w:line="360" w:lineRule="auto"/>
        <w:ind w:firstLine="480" w:firstLineChars="200"/>
        <w:jc w:val="left"/>
        <w:rPr>
          <w:rFonts w:ascii="新宋体" w:hAnsi="新宋体" w:eastAsia="新宋体" w:cs="新宋体"/>
          <w:sz w:val="24"/>
          <w:szCs w:val="24"/>
        </w:rPr>
      </w:pPr>
      <w:r>
        <w:rPr>
          <w:rFonts w:ascii="新宋体" w:hAnsi="新宋体" w:eastAsia="新宋体" w:cs="新宋体"/>
          <w:sz w:val="24"/>
          <w:szCs w:val="24"/>
        </w:rPr>
        <w:t>具体而言，产业升级主要体现在：一是材料迭代，新型高分子复合材料、高性能合金的应用，使新一代防护装备与警械在同等防护等级下更轻、更强、更耐用；二是工艺革新，精加工与模块化设计已成为主流，显著提升了装备的可靠性、人机工效与维护便利性；三是标准提升，随着国家标准的修订与完善，市场对产品的安全性、环境适应性与互换性提出了更高要求，大量依据旧标准生产、性能老化的装备已无法满足现代警务实战需求。</w:t>
      </w:r>
    </w:p>
    <w:p w14:paraId="3C605E41">
      <w:pPr>
        <w:spacing w:line="360" w:lineRule="auto"/>
        <w:ind w:firstLine="480" w:firstLineChars="200"/>
        <w:jc w:val="left"/>
        <w:rPr>
          <w:rFonts w:ascii="新宋体" w:hAnsi="新宋体" w:eastAsia="新宋体" w:cs="新宋体"/>
          <w:bCs/>
          <w:sz w:val="24"/>
          <w:szCs w:val="24"/>
        </w:rPr>
      </w:pPr>
      <w:r>
        <w:rPr>
          <w:rFonts w:ascii="新宋体" w:hAnsi="新宋体" w:eastAsia="新宋体" w:cs="新宋体"/>
          <w:sz w:val="24"/>
          <w:szCs w:val="24"/>
        </w:rPr>
        <w:t>因此，当前产业现状决定了本次采购并非简单的数量补充，而是对现有装备体系进行系统性、代际化的更新。通过淘汰超期服役、技术落后的装备，换装符合最新技术标准、具备更优实战性能的新一代产品，将直接转化为一线干警更强的单兵防护能力、更高的执法效率与更可靠的后勤保障，从而实质性地提升分局的整体警务效能。</w:t>
      </w:r>
    </w:p>
    <w:p w14:paraId="75378E30">
      <w:pPr>
        <w:spacing w:line="360" w:lineRule="auto"/>
        <w:outlineLvl w:val="1"/>
        <w:rPr>
          <w:rFonts w:ascii="新宋体" w:hAnsi="新宋体" w:eastAsia="新宋体" w:cs="新宋体"/>
          <w:b/>
          <w:bCs/>
          <w:spacing w:val="5"/>
          <w:sz w:val="28"/>
          <w:szCs w:val="28"/>
        </w:rPr>
      </w:pPr>
      <w:r>
        <w:rPr>
          <w:rFonts w:hint="eastAsia" w:ascii="新宋体" w:hAnsi="新宋体" w:eastAsia="新宋体" w:cs="新宋体"/>
          <w:b/>
          <w:bCs/>
          <w:spacing w:val="5"/>
          <w:sz w:val="28"/>
          <w:szCs w:val="28"/>
        </w:rPr>
        <w:t>三、采购需求执行的相关标准、规范</w:t>
      </w:r>
    </w:p>
    <w:p w14:paraId="3F5003EB">
      <w:pPr>
        <w:spacing w:line="360" w:lineRule="auto"/>
        <w:ind w:firstLine="420" w:firstLineChars="200"/>
        <w:rPr>
          <w:rFonts w:ascii="新宋体" w:hAnsi="新宋体" w:eastAsia="新宋体" w:cs="新宋体"/>
          <w:szCs w:val="24"/>
        </w:rPr>
      </w:pPr>
      <w:r>
        <w:rPr>
          <w:rFonts w:hint="eastAsia" w:ascii="新宋体" w:hAnsi="新宋体" w:eastAsia="新宋体" w:cs="新宋体"/>
          <w:szCs w:val="24"/>
        </w:rPr>
        <w:t>GA 422-2019《警用防暴盾牌》</w:t>
      </w:r>
    </w:p>
    <w:p w14:paraId="1722848C">
      <w:pPr>
        <w:spacing w:line="360" w:lineRule="auto"/>
        <w:ind w:firstLine="420" w:firstLineChars="200"/>
        <w:rPr>
          <w:rFonts w:ascii="新宋体" w:hAnsi="新宋体" w:eastAsia="新宋体" w:cs="新宋体"/>
          <w:szCs w:val="24"/>
        </w:rPr>
      </w:pPr>
      <w:bookmarkStart w:id="10" w:name="OLE_LINK33"/>
      <w:r>
        <w:rPr>
          <w:rFonts w:hint="eastAsia" w:ascii="新宋体" w:hAnsi="新宋体" w:eastAsia="新宋体" w:cs="新宋体"/>
          <w:szCs w:val="24"/>
        </w:rPr>
        <w:t>GA 890-2018《公安单警装备多功能腰带》</w:t>
      </w:r>
    </w:p>
    <w:p w14:paraId="638723EB">
      <w:pPr>
        <w:spacing w:line="360" w:lineRule="auto"/>
        <w:ind w:firstLine="420" w:firstLineChars="200"/>
        <w:rPr>
          <w:rFonts w:ascii="新宋体" w:hAnsi="新宋体" w:eastAsia="新宋体" w:cs="新宋体"/>
          <w:szCs w:val="24"/>
        </w:rPr>
      </w:pPr>
      <w:r>
        <w:rPr>
          <w:rFonts w:hint="eastAsia" w:ascii="新宋体" w:hAnsi="新宋体" w:eastAsia="新宋体" w:cs="新宋体"/>
          <w:szCs w:val="24"/>
        </w:rPr>
        <w:t>GA 883-2018《</w:t>
      </w:r>
      <w:r>
        <w:fldChar w:fldCharType="begin"/>
      </w:r>
      <w:r>
        <w:instrText xml:space="preserve"> HYPERLINK "https://hbba.sacinfo.org.cn/stdDetail/5e6d614fbf75bed033b171a05db62e27d128f380aa93c7dbe5c58c67d9d2075e" \t "https://hbba.sacinfo.org.cn/stdList?key=GB/_blank" \o "公安单警装备  强光手电" </w:instrText>
      </w:r>
      <w:r>
        <w:fldChar w:fldCharType="separate"/>
      </w:r>
      <w:r>
        <w:rPr>
          <w:rFonts w:hint="eastAsia" w:ascii="新宋体" w:hAnsi="新宋体" w:eastAsia="新宋体" w:cs="新宋体"/>
          <w:szCs w:val="24"/>
        </w:rPr>
        <w:t>公安单警装备强光手电</w:t>
      </w:r>
      <w:r>
        <w:rPr>
          <w:rFonts w:hint="eastAsia" w:ascii="新宋体" w:hAnsi="新宋体" w:eastAsia="新宋体" w:cs="新宋体"/>
          <w:szCs w:val="24"/>
        </w:rPr>
        <w:fldChar w:fldCharType="end"/>
      </w:r>
      <w:r>
        <w:rPr>
          <w:rFonts w:hint="eastAsia" w:ascii="新宋体" w:hAnsi="新宋体" w:eastAsia="新宋体" w:cs="新宋体"/>
          <w:szCs w:val="24"/>
        </w:rPr>
        <w:t>》</w:t>
      </w:r>
    </w:p>
    <w:p w14:paraId="0DB930AC">
      <w:pPr>
        <w:spacing w:line="360" w:lineRule="auto"/>
        <w:ind w:firstLine="420" w:firstLineChars="200"/>
        <w:rPr>
          <w:rFonts w:ascii="新宋体" w:hAnsi="新宋体" w:eastAsia="新宋体" w:cs="新宋体"/>
          <w:szCs w:val="24"/>
        </w:rPr>
      </w:pPr>
      <w:r>
        <w:rPr>
          <w:rFonts w:hint="eastAsia" w:ascii="新宋体" w:hAnsi="新宋体" w:eastAsia="新宋体" w:cs="新宋体"/>
          <w:szCs w:val="24"/>
        </w:rPr>
        <w:t>GA 884-2018《</w:t>
      </w:r>
      <w:r>
        <w:fldChar w:fldCharType="begin"/>
      </w:r>
      <w:r>
        <w:instrText xml:space="preserve"> HYPERLINK "https://hbba.sacinfo.org.cn/stdDetail/5e6d614fbf75bed033b171a05db62e27d128f380aa93c7dbe5c58c67d9d2075e" \t "https://hbba.sacinfo.org.cn/stdList?key=GB/_blank" \o "公安单警装备  强光手电" </w:instrText>
      </w:r>
      <w:r>
        <w:fldChar w:fldCharType="separate"/>
      </w:r>
      <w:r>
        <w:rPr>
          <w:rFonts w:hint="eastAsia" w:ascii="新宋体" w:hAnsi="新宋体" w:eastAsia="新宋体" w:cs="新宋体"/>
          <w:szCs w:val="24"/>
        </w:rPr>
        <w:t>公安单警装备催泪</w:t>
      </w:r>
      <w:r>
        <w:rPr>
          <w:rFonts w:hint="eastAsia" w:ascii="新宋体" w:hAnsi="新宋体" w:eastAsia="新宋体" w:cs="新宋体"/>
          <w:szCs w:val="24"/>
        </w:rPr>
        <w:fldChar w:fldCharType="end"/>
      </w:r>
      <w:r>
        <w:rPr>
          <w:rFonts w:hint="eastAsia" w:ascii="新宋体" w:hAnsi="新宋体" w:eastAsia="新宋体" w:cs="新宋体"/>
          <w:szCs w:val="24"/>
        </w:rPr>
        <w:t>喷射器》</w:t>
      </w:r>
    </w:p>
    <w:p w14:paraId="058F965E">
      <w:pPr>
        <w:spacing w:line="360" w:lineRule="auto"/>
        <w:ind w:firstLine="420" w:firstLineChars="200"/>
        <w:rPr>
          <w:rFonts w:ascii="新宋体" w:hAnsi="新宋体" w:eastAsia="新宋体" w:cs="新宋体"/>
          <w:szCs w:val="24"/>
        </w:rPr>
      </w:pPr>
      <w:r>
        <w:rPr>
          <w:rFonts w:hint="eastAsia" w:ascii="新宋体" w:hAnsi="新宋体" w:eastAsia="新宋体" w:cs="新宋体"/>
          <w:szCs w:val="24"/>
        </w:rPr>
        <w:t>GA 886-2018《公安单警装备伸缩警棍》</w:t>
      </w:r>
    </w:p>
    <w:p w14:paraId="474F96B0">
      <w:pPr>
        <w:spacing w:line="360" w:lineRule="auto"/>
        <w:ind w:firstLine="420" w:firstLineChars="200"/>
        <w:rPr>
          <w:rFonts w:ascii="新宋体" w:hAnsi="新宋体" w:eastAsia="新宋体" w:cs="新宋体"/>
          <w:szCs w:val="24"/>
        </w:rPr>
      </w:pPr>
      <w:r>
        <w:rPr>
          <w:rFonts w:hint="eastAsia" w:ascii="新宋体" w:hAnsi="新宋体" w:eastAsia="新宋体" w:cs="新宋体"/>
          <w:szCs w:val="24"/>
        </w:rPr>
        <w:t>GA 1512-2018《公安单警装备金属手铐</w:t>
      </w:r>
      <w:bookmarkEnd w:id="10"/>
      <w:r>
        <w:rPr>
          <w:rFonts w:hint="eastAsia" w:ascii="新宋体" w:hAnsi="新宋体" w:eastAsia="新宋体" w:cs="新宋体"/>
          <w:szCs w:val="24"/>
        </w:rPr>
        <w:t>》</w:t>
      </w:r>
    </w:p>
    <w:p w14:paraId="79E02DF9">
      <w:pPr>
        <w:spacing w:line="360" w:lineRule="auto"/>
        <w:ind w:firstLine="420" w:firstLineChars="200"/>
        <w:rPr>
          <w:rFonts w:ascii="新宋体" w:hAnsi="新宋体" w:eastAsia="新宋体" w:cs="新宋体"/>
          <w:szCs w:val="24"/>
        </w:rPr>
      </w:pPr>
      <w:r>
        <w:rPr>
          <w:rFonts w:hint="eastAsia" w:ascii="新宋体" w:hAnsi="新宋体" w:eastAsia="新宋体" w:cs="新宋体"/>
          <w:szCs w:val="24"/>
        </w:rPr>
        <w:t>GA 141-2010《警用防弹衣》</w:t>
      </w:r>
    </w:p>
    <w:p w14:paraId="578971F0">
      <w:pPr>
        <w:spacing w:line="360" w:lineRule="auto"/>
        <w:ind w:firstLine="420" w:firstLineChars="200"/>
        <w:rPr>
          <w:rFonts w:ascii="新宋体" w:hAnsi="新宋体" w:eastAsia="新宋体" w:cs="新宋体"/>
          <w:szCs w:val="24"/>
        </w:rPr>
      </w:pPr>
      <w:r>
        <w:rPr>
          <w:rFonts w:hint="eastAsia" w:ascii="新宋体" w:hAnsi="新宋体" w:eastAsia="新宋体" w:cs="新宋体"/>
          <w:szCs w:val="24"/>
        </w:rPr>
        <w:t>GA 68-2024《警用防刺服》</w:t>
      </w:r>
    </w:p>
    <w:p w14:paraId="7A556859">
      <w:pPr>
        <w:spacing w:line="360" w:lineRule="auto"/>
        <w:ind w:firstLine="420" w:firstLineChars="200"/>
        <w:rPr>
          <w:rFonts w:ascii="新宋体" w:hAnsi="新宋体" w:eastAsia="新宋体" w:cs="新宋体"/>
          <w:szCs w:val="24"/>
        </w:rPr>
        <w:sectPr>
          <w:headerReference r:id="rId3" w:type="default"/>
          <w:footerReference r:id="rId4" w:type="default"/>
          <w:pgSz w:w="11907" w:h="16840"/>
          <w:pgMar w:top="1218" w:right="1786" w:bottom="1170" w:left="1786" w:header="885" w:footer="898" w:gutter="0"/>
          <w:cols w:space="720" w:num="1"/>
        </w:sectPr>
      </w:pPr>
      <w:r>
        <w:rPr>
          <w:rFonts w:hint="eastAsia" w:ascii="新宋体" w:hAnsi="新宋体" w:eastAsia="新宋体" w:cs="新宋体"/>
          <w:szCs w:val="24"/>
        </w:rPr>
        <w:t>以上所有规范如有新的版本以最新规范为准，除上述规范以外，还须遵循国家现行的其他相关规范和标准要求。</w:t>
      </w:r>
    </w:p>
    <w:p w14:paraId="4E85560B">
      <w:pPr>
        <w:spacing w:line="360" w:lineRule="auto"/>
        <w:jc w:val="left"/>
        <w:rPr>
          <w:rFonts w:ascii="新宋体" w:hAnsi="新宋体" w:eastAsia="新宋体" w:cs="新宋体"/>
          <w:b/>
          <w:bCs/>
          <w:spacing w:val="5"/>
          <w:sz w:val="28"/>
          <w:szCs w:val="28"/>
        </w:rPr>
      </w:pPr>
      <w:r>
        <w:rPr>
          <w:rFonts w:hint="eastAsia" w:ascii="新宋体" w:hAnsi="新宋体" w:eastAsia="新宋体" w:cs="新宋体"/>
          <w:b/>
          <w:bCs/>
          <w:spacing w:val="5"/>
          <w:sz w:val="28"/>
          <w:szCs w:val="28"/>
        </w:rPr>
        <w:t>四、采购货物技术参数需求</w:t>
      </w:r>
    </w:p>
    <w:tbl>
      <w:tblPr>
        <w:tblStyle w:val="13"/>
        <w:tblW w:w="8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483"/>
        <w:gridCol w:w="6319"/>
      </w:tblGrid>
      <w:tr w14:paraId="164E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776" w:type="dxa"/>
            <w:vAlign w:val="center"/>
          </w:tcPr>
          <w:p w14:paraId="65C5DFD3">
            <w:pPr>
              <w:pStyle w:val="4"/>
              <w:spacing w:before="0" w:after="0" w:line="360" w:lineRule="auto"/>
              <w:jc w:val="center"/>
              <w:rPr>
                <w:rFonts w:ascii="新宋体" w:hAnsi="新宋体" w:eastAsia="新宋体" w:cs="新宋体"/>
                <w:sz w:val="24"/>
                <w:szCs w:val="24"/>
              </w:rPr>
            </w:pPr>
            <w:bookmarkStart w:id="11" w:name="_Toc17102"/>
            <w:r>
              <w:rPr>
                <w:rFonts w:hint="eastAsia" w:ascii="新宋体" w:hAnsi="新宋体" w:eastAsia="新宋体" w:cs="新宋体"/>
                <w:sz w:val="24"/>
                <w:szCs w:val="24"/>
              </w:rPr>
              <w:t>序号</w:t>
            </w:r>
            <w:bookmarkEnd w:id="11"/>
          </w:p>
        </w:tc>
        <w:tc>
          <w:tcPr>
            <w:tcW w:w="1483" w:type="dxa"/>
            <w:vAlign w:val="center"/>
          </w:tcPr>
          <w:p w14:paraId="1E4C5146">
            <w:pPr>
              <w:pStyle w:val="4"/>
              <w:spacing w:before="0" w:after="0" w:line="360" w:lineRule="auto"/>
              <w:jc w:val="center"/>
              <w:rPr>
                <w:rFonts w:ascii="新宋体" w:hAnsi="新宋体" w:eastAsia="新宋体" w:cs="新宋体"/>
                <w:sz w:val="24"/>
                <w:szCs w:val="24"/>
              </w:rPr>
            </w:pPr>
            <w:bookmarkStart w:id="12" w:name="_Toc15551"/>
            <w:r>
              <w:rPr>
                <w:rFonts w:hint="eastAsia" w:ascii="新宋体" w:hAnsi="新宋体" w:eastAsia="新宋体" w:cs="新宋体"/>
                <w:sz w:val="24"/>
                <w:szCs w:val="24"/>
              </w:rPr>
              <w:t>产品名称</w:t>
            </w:r>
            <w:bookmarkEnd w:id="12"/>
          </w:p>
        </w:tc>
        <w:tc>
          <w:tcPr>
            <w:tcW w:w="6319" w:type="dxa"/>
            <w:vAlign w:val="center"/>
          </w:tcPr>
          <w:p w14:paraId="3DE53F19">
            <w:pPr>
              <w:pStyle w:val="4"/>
              <w:spacing w:before="0" w:after="0" w:line="360" w:lineRule="auto"/>
              <w:jc w:val="center"/>
              <w:rPr>
                <w:rFonts w:ascii="新宋体" w:hAnsi="新宋体" w:eastAsia="新宋体" w:cs="新宋体"/>
                <w:sz w:val="24"/>
                <w:szCs w:val="24"/>
              </w:rPr>
            </w:pPr>
            <w:bookmarkStart w:id="13" w:name="_Toc15598"/>
            <w:r>
              <w:rPr>
                <w:rFonts w:hint="eastAsia" w:ascii="新宋体" w:hAnsi="新宋体" w:eastAsia="新宋体" w:cs="新宋体"/>
                <w:sz w:val="24"/>
                <w:szCs w:val="24"/>
              </w:rPr>
              <w:t>技术参数</w:t>
            </w:r>
            <w:bookmarkEnd w:id="13"/>
          </w:p>
        </w:tc>
      </w:tr>
      <w:tr w14:paraId="6736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1" w:hRule="atLeast"/>
          <w:jc w:val="center"/>
        </w:trPr>
        <w:tc>
          <w:tcPr>
            <w:tcW w:w="776" w:type="dxa"/>
            <w:vAlign w:val="center"/>
          </w:tcPr>
          <w:p w14:paraId="157F67A4">
            <w:pPr>
              <w:spacing w:line="360" w:lineRule="auto"/>
              <w:ind w:firstLine="277"/>
              <w:rPr>
                <w:rFonts w:ascii="新宋体" w:hAnsi="新宋体" w:eastAsia="新宋体" w:cs="新宋体"/>
                <w:sz w:val="24"/>
                <w:szCs w:val="24"/>
              </w:rPr>
            </w:pPr>
            <w:r>
              <w:rPr>
                <w:rFonts w:hint="eastAsia" w:ascii="新宋体" w:hAnsi="新宋体" w:eastAsia="新宋体" w:cs="新宋体"/>
                <w:sz w:val="24"/>
                <w:szCs w:val="24"/>
              </w:rPr>
              <w:t>1</w:t>
            </w:r>
          </w:p>
        </w:tc>
        <w:tc>
          <w:tcPr>
            <w:tcW w:w="1483" w:type="dxa"/>
            <w:vAlign w:val="center"/>
          </w:tcPr>
          <w:p w14:paraId="07D5FED4">
            <w:pPr>
              <w:spacing w:line="360" w:lineRule="auto"/>
              <w:jc w:val="center"/>
              <w:rPr>
                <w:rFonts w:ascii="新宋体" w:hAnsi="新宋体" w:eastAsia="新宋体" w:cs="新宋体"/>
                <w:sz w:val="24"/>
                <w:szCs w:val="24"/>
              </w:rPr>
            </w:pPr>
            <w:r>
              <w:rPr>
                <w:rFonts w:hint="eastAsia" w:ascii="新宋体" w:hAnsi="新宋体" w:eastAsia="新宋体" w:cs="新宋体"/>
                <w:spacing w:val="8"/>
                <w:sz w:val="24"/>
                <w:szCs w:val="24"/>
              </w:rPr>
              <w:t>发光指挥棒</w:t>
            </w:r>
          </w:p>
        </w:tc>
        <w:tc>
          <w:tcPr>
            <w:tcW w:w="6319" w:type="dxa"/>
          </w:tcPr>
          <w:p w14:paraId="1EF14436">
            <w:pPr>
              <w:spacing w:line="360" w:lineRule="auto"/>
              <w:ind w:left="109" w:right="103" w:firstLine="19"/>
              <w:rPr>
                <w:rFonts w:ascii="新宋体" w:hAnsi="新宋体" w:eastAsia="新宋体" w:cs="新宋体"/>
                <w:sz w:val="24"/>
                <w:szCs w:val="24"/>
              </w:rPr>
            </w:pPr>
            <w:r>
              <w:rPr>
                <w:rFonts w:hint="eastAsia" w:ascii="新宋体" w:hAnsi="新宋体" w:eastAsia="新宋体" w:cs="新宋体"/>
                <w:spacing w:val="5"/>
                <w:sz w:val="24"/>
                <w:szCs w:val="24"/>
              </w:rPr>
              <w:t>1.功能：具备发出红蓝两色光、警哨和白光照明功能，尾</w:t>
            </w:r>
            <w:r>
              <w:rPr>
                <w:rFonts w:hint="eastAsia" w:ascii="新宋体" w:hAnsi="新宋体" w:eastAsia="新宋体" w:cs="新宋体"/>
                <w:spacing w:val="7"/>
                <w:sz w:val="24"/>
                <w:szCs w:val="24"/>
              </w:rPr>
              <w:t>端有吸铁石。</w:t>
            </w:r>
          </w:p>
          <w:p w14:paraId="60419EB0">
            <w:pPr>
              <w:spacing w:line="360" w:lineRule="auto"/>
              <w:ind w:left="110" w:right="104"/>
              <w:rPr>
                <w:rFonts w:ascii="新宋体" w:hAnsi="新宋体" w:eastAsia="新宋体" w:cs="新宋体"/>
                <w:sz w:val="24"/>
                <w:szCs w:val="24"/>
              </w:rPr>
            </w:pPr>
            <w:r>
              <w:rPr>
                <w:rFonts w:hint="eastAsia" w:ascii="新宋体" w:hAnsi="新宋体" w:eastAsia="新宋体" w:cs="新宋体"/>
                <w:spacing w:val="4"/>
                <w:sz w:val="24"/>
                <w:szCs w:val="24"/>
              </w:rPr>
              <w:t>2.组成：指挥棒由发光部分、警哨部分、</w:t>
            </w:r>
            <w:r>
              <w:rPr>
                <w:rFonts w:hint="eastAsia" w:ascii="新宋体" w:hAnsi="新宋体" w:eastAsia="新宋体" w:cs="新宋体"/>
                <w:spacing w:val="-51"/>
                <w:sz w:val="24"/>
                <w:szCs w:val="24"/>
              </w:rPr>
              <w:t xml:space="preserve"> </w:t>
            </w:r>
            <w:r>
              <w:rPr>
                <w:rFonts w:hint="eastAsia" w:ascii="新宋体" w:hAnsi="新宋体" w:eastAsia="新宋体" w:cs="新宋体"/>
                <w:spacing w:val="4"/>
                <w:sz w:val="24"/>
                <w:szCs w:val="24"/>
              </w:rPr>
              <w:t>白光照明部分、</w:t>
            </w:r>
            <w:r>
              <w:rPr>
                <w:rFonts w:hint="eastAsia" w:ascii="新宋体" w:hAnsi="新宋体" w:eastAsia="新宋体" w:cs="新宋体"/>
                <w:sz w:val="24"/>
                <w:szCs w:val="24"/>
              </w:rPr>
              <w:t xml:space="preserve"> </w:t>
            </w:r>
            <w:r>
              <w:rPr>
                <w:rFonts w:hint="eastAsia" w:ascii="新宋体" w:hAnsi="新宋体" w:eastAsia="新宋体" w:cs="新宋体"/>
                <w:spacing w:val="7"/>
                <w:sz w:val="24"/>
                <w:szCs w:val="24"/>
              </w:rPr>
              <w:t>手柄部分（含控制部分）、可充电电池和挂绳、磁吸尾盖</w:t>
            </w:r>
            <w:r>
              <w:rPr>
                <w:rFonts w:hint="eastAsia" w:ascii="新宋体" w:hAnsi="新宋体" w:eastAsia="新宋体" w:cs="新宋体"/>
                <w:spacing w:val="5"/>
                <w:sz w:val="24"/>
                <w:szCs w:val="24"/>
              </w:rPr>
              <w:t>等组成。</w:t>
            </w:r>
          </w:p>
          <w:p w14:paraId="0C1BC54C">
            <w:pPr>
              <w:spacing w:line="360" w:lineRule="auto"/>
              <w:ind w:left="109" w:right="100" w:firstLine="6"/>
              <w:rPr>
                <w:rFonts w:ascii="新宋体" w:hAnsi="新宋体" w:eastAsia="新宋体" w:cs="新宋体"/>
                <w:sz w:val="24"/>
                <w:szCs w:val="24"/>
              </w:rPr>
            </w:pPr>
            <w:r>
              <w:rPr>
                <w:rFonts w:hint="eastAsia" w:ascii="新宋体" w:hAnsi="新宋体" w:eastAsia="新宋体" w:cs="新宋体"/>
                <w:spacing w:val="-4"/>
                <w:sz w:val="24"/>
                <w:szCs w:val="24"/>
              </w:rPr>
              <w:t>3.总质量：≤180g（含电池、挂绳等工作必备附件）。</w:t>
            </w:r>
            <w:r>
              <w:rPr>
                <w:rFonts w:hint="eastAsia" w:ascii="新宋体" w:hAnsi="新宋体" w:eastAsia="新宋体" w:cs="新宋体"/>
                <w:sz w:val="24"/>
                <w:szCs w:val="24"/>
              </w:rPr>
              <w:t xml:space="preserve">   </w:t>
            </w:r>
          </w:p>
          <w:p w14:paraId="40C43307">
            <w:pPr>
              <w:spacing w:line="360" w:lineRule="auto"/>
              <w:ind w:left="109" w:right="100" w:firstLine="6"/>
              <w:rPr>
                <w:rFonts w:ascii="新宋体" w:hAnsi="新宋体" w:eastAsia="新宋体" w:cs="新宋体"/>
                <w:sz w:val="24"/>
                <w:szCs w:val="24"/>
              </w:rPr>
            </w:pPr>
            <w:r>
              <w:rPr>
                <w:rFonts w:hint="eastAsia" w:ascii="新宋体" w:hAnsi="新宋体" w:eastAsia="新宋体" w:cs="新宋体"/>
                <w:spacing w:val="6"/>
                <w:sz w:val="24"/>
                <w:szCs w:val="24"/>
              </w:rPr>
              <w:t>4.充电功能：可通过专用适配器对内置可充电电池进行充</w:t>
            </w:r>
            <w:r>
              <w:rPr>
                <w:rFonts w:hint="eastAsia" w:ascii="新宋体" w:hAnsi="新宋体" w:eastAsia="新宋体" w:cs="新宋体"/>
                <w:spacing w:val="11"/>
                <w:sz w:val="24"/>
                <w:szCs w:val="24"/>
              </w:rPr>
              <w:t>电，充电时有明显充电及完成状态指示</w:t>
            </w:r>
            <w:r>
              <w:rPr>
                <w:rFonts w:hint="eastAsia" w:ascii="新宋体" w:hAnsi="新宋体" w:eastAsia="新宋体" w:cs="新宋体"/>
                <w:spacing w:val="-50"/>
                <w:sz w:val="24"/>
                <w:szCs w:val="24"/>
              </w:rPr>
              <w:t xml:space="preserve"> </w:t>
            </w:r>
            <w:r>
              <w:rPr>
                <w:rFonts w:hint="eastAsia" w:ascii="新宋体" w:hAnsi="新宋体" w:eastAsia="新宋体" w:cs="新宋体"/>
                <w:spacing w:val="11"/>
                <w:sz w:val="24"/>
                <w:szCs w:val="24"/>
              </w:rPr>
              <w:t>，电池充电时间小</w:t>
            </w:r>
            <w:r>
              <w:rPr>
                <w:rFonts w:hint="eastAsia" w:ascii="新宋体" w:hAnsi="新宋体" w:eastAsia="新宋体" w:cs="新宋体"/>
                <w:spacing w:val="7"/>
                <w:sz w:val="24"/>
                <w:szCs w:val="24"/>
              </w:rPr>
              <w:t>于</w:t>
            </w:r>
            <w:r>
              <w:rPr>
                <w:rFonts w:hint="eastAsia" w:ascii="新宋体" w:hAnsi="新宋体" w:eastAsia="新宋体" w:cs="新宋体"/>
                <w:spacing w:val="-39"/>
                <w:sz w:val="24"/>
                <w:szCs w:val="24"/>
              </w:rPr>
              <w:t xml:space="preserve"> </w:t>
            </w:r>
            <w:r>
              <w:rPr>
                <w:rFonts w:hint="eastAsia" w:ascii="新宋体" w:hAnsi="新宋体" w:eastAsia="新宋体" w:cs="新宋体"/>
                <w:spacing w:val="7"/>
                <w:sz w:val="24"/>
                <w:szCs w:val="24"/>
              </w:rPr>
              <w:t>6h。</w:t>
            </w:r>
          </w:p>
          <w:p w14:paraId="36F244EB">
            <w:pPr>
              <w:spacing w:line="360" w:lineRule="auto"/>
              <w:ind w:left="110" w:right="102" w:firstLine="4"/>
              <w:rPr>
                <w:rFonts w:ascii="新宋体" w:hAnsi="新宋体" w:eastAsia="新宋体" w:cs="新宋体"/>
                <w:sz w:val="24"/>
                <w:szCs w:val="24"/>
              </w:rPr>
            </w:pPr>
            <w:r>
              <w:rPr>
                <w:rFonts w:hint="eastAsia" w:ascii="新宋体" w:hAnsi="新宋体" w:eastAsia="新宋体" w:cs="新宋体"/>
                <w:spacing w:val="6"/>
                <w:sz w:val="24"/>
                <w:szCs w:val="24"/>
              </w:rPr>
              <w:t>5.频闪频率：闪烁频率应在</w:t>
            </w:r>
            <w:r>
              <w:rPr>
                <w:rFonts w:hint="eastAsia" w:ascii="新宋体" w:hAnsi="新宋体" w:eastAsia="新宋体" w:cs="新宋体"/>
                <w:spacing w:val="-36"/>
                <w:sz w:val="24"/>
                <w:szCs w:val="24"/>
              </w:rPr>
              <w:t xml:space="preserve"> </w:t>
            </w:r>
            <w:r>
              <w:rPr>
                <w:rFonts w:hint="eastAsia" w:ascii="新宋体" w:hAnsi="新宋体" w:eastAsia="新宋体" w:cs="新宋体"/>
                <w:spacing w:val="6"/>
                <w:sz w:val="24"/>
                <w:szCs w:val="24"/>
              </w:rPr>
              <w:t>3Hz±1Hz</w:t>
            </w:r>
            <w:r>
              <w:rPr>
                <w:rFonts w:hint="eastAsia" w:ascii="新宋体" w:hAnsi="新宋体" w:eastAsia="新宋体" w:cs="新宋体"/>
                <w:spacing w:val="-39"/>
                <w:sz w:val="24"/>
                <w:szCs w:val="24"/>
              </w:rPr>
              <w:t xml:space="preserve"> </w:t>
            </w:r>
            <w:r>
              <w:rPr>
                <w:rFonts w:hint="eastAsia" w:ascii="新宋体" w:hAnsi="新宋体" w:eastAsia="新宋体" w:cs="新宋体"/>
                <w:spacing w:val="6"/>
                <w:sz w:val="24"/>
                <w:szCs w:val="24"/>
              </w:rPr>
              <w:t>范围内。</w:t>
            </w:r>
            <w:r>
              <w:rPr>
                <w:rFonts w:hint="eastAsia" w:ascii="新宋体" w:hAnsi="新宋体" w:eastAsia="新宋体" w:cs="新宋体"/>
                <w:sz w:val="24"/>
                <w:szCs w:val="24"/>
              </w:rPr>
              <w:t xml:space="preserve">          </w:t>
            </w:r>
            <w:r>
              <w:rPr>
                <w:rFonts w:hint="eastAsia" w:ascii="新宋体" w:hAnsi="新宋体" w:eastAsia="新宋体" w:cs="新宋体"/>
                <w:spacing w:val="5"/>
                <w:sz w:val="24"/>
                <w:szCs w:val="24"/>
              </w:rPr>
              <w:t>6.警哨功能：警哨在电池充满电条件下，10cm</w:t>
            </w:r>
            <w:r>
              <w:rPr>
                <w:rFonts w:hint="eastAsia" w:ascii="新宋体" w:hAnsi="新宋体" w:eastAsia="新宋体" w:cs="新宋体"/>
                <w:spacing w:val="-40"/>
                <w:sz w:val="24"/>
                <w:szCs w:val="24"/>
              </w:rPr>
              <w:t xml:space="preserve"> </w:t>
            </w:r>
            <w:r>
              <w:rPr>
                <w:rFonts w:hint="eastAsia" w:ascii="新宋体" w:hAnsi="新宋体" w:eastAsia="新宋体" w:cs="新宋体"/>
                <w:spacing w:val="5"/>
                <w:sz w:val="24"/>
                <w:szCs w:val="24"/>
              </w:rPr>
              <w:t>处警哨声压</w:t>
            </w:r>
            <w:r>
              <w:rPr>
                <w:rFonts w:hint="eastAsia" w:ascii="新宋体" w:hAnsi="新宋体" w:eastAsia="新宋体" w:cs="新宋体"/>
                <w:sz w:val="24"/>
                <w:szCs w:val="24"/>
              </w:rPr>
              <w:t xml:space="preserve"> </w:t>
            </w:r>
            <w:r>
              <w:rPr>
                <w:rFonts w:hint="eastAsia" w:ascii="新宋体" w:hAnsi="新宋体" w:eastAsia="新宋体" w:cs="新宋体"/>
                <w:spacing w:val="10"/>
                <w:w w:val="101"/>
                <w:sz w:val="24"/>
                <w:szCs w:val="24"/>
              </w:rPr>
              <w:t>≥110db(A)</w:t>
            </w:r>
            <w:r>
              <w:rPr>
                <w:rFonts w:hint="eastAsia" w:ascii="新宋体" w:hAnsi="新宋体" w:eastAsia="新宋体" w:cs="新宋体"/>
                <w:spacing w:val="-51"/>
                <w:sz w:val="24"/>
                <w:szCs w:val="24"/>
              </w:rPr>
              <w:t>，</w:t>
            </w:r>
            <w:r>
              <w:rPr>
                <w:rFonts w:hint="eastAsia" w:ascii="新宋体" w:hAnsi="新宋体" w:eastAsia="新宋体" w:cs="新宋体"/>
                <w:spacing w:val="10"/>
                <w:w w:val="101"/>
                <w:sz w:val="24"/>
                <w:szCs w:val="24"/>
              </w:rPr>
              <w:t>100cm</w:t>
            </w:r>
            <w:r>
              <w:rPr>
                <w:rFonts w:hint="eastAsia" w:ascii="新宋体" w:hAnsi="新宋体" w:eastAsia="新宋体" w:cs="新宋体"/>
                <w:spacing w:val="-40"/>
                <w:sz w:val="24"/>
                <w:szCs w:val="24"/>
              </w:rPr>
              <w:t xml:space="preserve"> </w:t>
            </w:r>
            <w:r>
              <w:rPr>
                <w:rFonts w:hint="eastAsia" w:ascii="新宋体" w:hAnsi="新宋体" w:eastAsia="新宋体" w:cs="新宋体"/>
                <w:spacing w:val="10"/>
                <w:w w:val="101"/>
                <w:sz w:val="24"/>
                <w:szCs w:val="24"/>
              </w:rPr>
              <w:t>处警哨声压≥95db(A)。</w:t>
            </w:r>
            <w:r>
              <w:rPr>
                <w:rFonts w:hint="eastAsia" w:ascii="新宋体" w:hAnsi="新宋体" w:eastAsia="新宋体" w:cs="新宋体"/>
                <w:sz w:val="24"/>
                <w:szCs w:val="24"/>
              </w:rPr>
              <w:t xml:space="preserve">          </w:t>
            </w:r>
          </w:p>
          <w:p w14:paraId="17EFC3F2">
            <w:pPr>
              <w:spacing w:line="360" w:lineRule="auto"/>
              <w:ind w:left="110" w:right="102" w:firstLine="4"/>
              <w:rPr>
                <w:rFonts w:ascii="新宋体" w:hAnsi="新宋体" w:eastAsia="新宋体" w:cs="新宋体"/>
                <w:sz w:val="24"/>
                <w:szCs w:val="24"/>
              </w:rPr>
            </w:pPr>
            <w:r>
              <w:rPr>
                <w:rFonts w:hint="eastAsia" w:ascii="新宋体" w:hAnsi="新宋体" w:eastAsia="新宋体" w:cs="新宋体"/>
                <w:spacing w:val="4"/>
                <w:sz w:val="24"/>
                <w:szCs w:val="24"/>
              </w:rPr>
              <w:t>7.开关耐久性能：触压开关动作</w:t>
            </w:r>
            <w:r>
              <w:rPr>
                <w:rFonts w:hint="eastAsia" w:ascii="新宋体" w:hAnsi="新宋体" w:eastAsia="新宋体" w:cs="新宋体"/>
                <w:spacing w:val="-33"/>
                <w:sz w:val="24"/>
                <w:szCs w:val="24"/>
              </w:rPr>
              <w:t xml:space="preserve"> </w:t>
            </w:r>
            <w:r>
              <w:rPr>
                <w:rFonts w:hint="eastAsia" w:ascii="新宋体" w:hAnsi="新宋体" w:eastAsia="新宋体" w:cs="新宋体"/>
                <w:spacing w:val="4"/>
                <w:sz w:val="24"/>
                <w:szCs w:val="24"/>
              </w:rPr>
              <w:t>30000</w:t>
            </w:r>
            <w:r>
              <w:rPr>
                <w:rFonts w:hint="eastAsia" w:ascii="新宋体" w:hAnsi="新宋体" w:eastAsia="新宋体" w:cs="新宋体"/>
                <w:spacing w:val="-38"/>
                <w:sz w:val="24"/>
                <w:szCs w:val="24"/>
              </w:rPr>
              <w:t xml:space="preserve"> </w:t>
            </w:r>
            <w:r>
              <w:rPr>
                <w:rFonts w:hint="eastAsia" w:ascii="新宋体" w:hAnsi="新宋体" w:eastAsia="新宋体" w:cs="新宋体"/>
                <w:spacing w:val="4"/>
                <w:sz w:val="24"/>
                <w:szCs w:val="24"/>
              </w:rPr>
              <w:t>次，开关功能应正</w:t>
            </w:r>
            <w:r>
              <w:rPr>
                <w:rFonts w:hint="eastAsia" w:ascii="新宋体" w:hAnsi="新宋体" w:eastAsia="新宋体" w:cs="新宋体"/>
                <w:spacing w:val="5"/>
                <w:sz w:val="24"/>
                <w:szCs w:val="24"/>
              </w:rPr>
              <w:t>常工作。</w:t>
            </w:r>
          </w:p>
          <w:p w14:paraId="6AC5AF91">
            <w:pPr>
              <w:spacing w:line="360" w:lineRule="auto"/>
              <w:ind w:left="111" w:right="103" w:firstLine="5"/>
              <w:rPr>
                <w:rFonts w:ascii="新宋体" w:hAnsi="新宋体" w:eastAsia="新宋体" w:cs="新宋体"/>
                <w:sz w:val="24"/>
                <w:szCs w:val="24"/>
              </w:rPr>
            </w:pPr>
            <w:r>
              <w:rPr>
                <w:rFonts w:hint="eastAsia" w:ascii="新宋体" w:hAnsi="新宋体" w:eastAsia="新宋体" w:cs="新宋体"/>
                <w:spacing w:val="6"/>
                <w:sz w:val="24"/>
                <w:szCs w:val="24"/>
              </w:rPr>
              <w:t>8.连续工作时间：在电池充满电条件下，指挥棒</w:t>
            </w:r>
            <w:r>
              <w:rPr>
                <w:rFonts w:hint="eastAsia" w:ascii="新宋体" w:hAnsi="新宋体" w:eastAsia="新宋体" w:cs="新宋体"/>
                <w:spacing w:val="-42"/>
                <w:sz w:val="24"/>
                <w:szCs w:val="24"/>
              </w:rPr>
              <w:t xml:space="preserve"> </w:t>
            </w:r>
            <w:r>
              <w:rPr>
                <w:rFonts w:hint="eastAsia" w:ascii="新宋体" w:hAnsi="新宋体" w:eastAsia="新宋体" w:cs="新宋体"/>
                <w:spacing w:val="6"/>
                <w:sz w:val="24"/>
                <w:szCs w:val="24"/>
              </w:rPr>
              <w:t>LED</w:t>
            </w:r>
            <w:r>
              <w:rPr>
                <w:rFonts w:hint="eastAsia" w:ascii="新宋体" w:hAnsi="新宋体" w:eastAsia="新宋体" w:cs="新宋体"/>
                <w:spacing w:val="-42"/>
                <w:sz w:val="24"/>
                <w:szCs w:val="24"/>
              </w:rPr>
              <w:t xml:space="preserve"> </w:t>
            </w:r>
            <w:r>
              <w:rPr>
                <w:rFonts w:hint="eastAsia" w:ascii="新宋体" w:hAnsi="新宋体" w:eastAsia="新宋体" w:cs="新宋体"/>
                <w:spacing w:val="6"/>
                <w:sz w:val="24"/>
                <w:szCs w:val="24"/>
              </w:rPr>
              <w:t>频闪</w:t>
            </w:r>
            <w:r>
              <w:rPr>
                <w:rFonts w:hint="eastAsia" w:ascii="新宋体" w:hAnsi="新宋体" w:eastAsia="新宋体" w:cs="新宋体"/>
                <w:sz w:val="24"/>
                <w:szCs w:val="24"/>
              </w:rPr>
              <w:t xml:space="preserve"> </w:t>
            </w:r>
            <w:r>
              <w:rPr>
                <w:rFonts w:hint="eastAsia" w:ascii="新宋体" w:hAnsi="新宋体" w:eastAsia="新宋体" w:cs="新宋体"/>
                <w:spacing w:val="3"/>
                <w:sz w:val="24"/>
                <w:szCs w:val="24"/>
              </w:rPr>
              <w:t>模式下连续工作时间应≥18h；白光灯常亮连续工作时间≥</w:t>
            </w:r>
            <w:r>
              <w:rPr>
                <w:rFonts w:hint="eastAsia" w:ascii="新宋体" w:hAnsi="新宋体" w:eastAsia="新宋体" w:cs="新宋体"/>
                <w:sz w:val="24"/>
                <w:szCs w:val="24"/>
              </w:rPr>
              <w:t xml:space="preserve"> </w:t>
            </w:r>
            <w:r>
              <w:rPr>
                <w:rFonts w:hint="eastAsia" w:ascii="新宋体" w:hAnsi="新宋体" w:eastAsia="新宋体" w:cs="新宋体"/>
                <w:spacing w:val="8"/>
                <w:sz w:val="24"/>
                <w:szCs w:val="24"/>
              </w:rPr>
              <w:t>8h。</w:t>
            </w:r>
          </w:p>
        </w:tc>
      </w:tr>
      <w:tr w14:paraId="18957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6" w:type="dxa"/>
            <w:vAlign w:val="center"/>
          </w:tcPr>
          <w:p w14:paraId="2E4DF81A">
            <w:pPr>
              <w:spacing w:line="360" w:lineRule="auto"/>
              <w:ind w:firstLine="259"/>
              <w:rPr>
                <w:rFonts w:ascii="新宋体" w:hAnsi="新宋体" w:eastAsia="新宋体" w:cs="新宋体"/>
                <w:sz w:val="24"/>
                <w:szCs w:val="24"/>
              </w:rPr>
            </w:pPr>
            <w:r>
              <w:rPr>
                <w:rFonts w:hint="eastAsia" w:ascii="新宋体" w:hAnsi="新宋体" w:eastAsia="新宋体" w:cs="新宋体"/>
                <w:sz w:val="24"/>
                <w:szCs w:val="24"/>
              </w:rPr>
              <w:t>2</w:t>
            </w:r>
          </w:p>
        </w:tc>
        <w:tc>
          <w:tcPr>
            <w:tcW w:w="1483" w:type="dxa"/>
            <w:vAlign w:val="center"/>
          </w:tcPr>
          <w:p w14:paraId="79D3DE6F">
            <w:pPr>
              <w:spacing w:line="360" w:lineRule="auto"/>
              <w:jc w:val="center"/>
              <w:rPr>
                <w:rFonts w:ascii="新宋体" w:hAnsi="新宋体" w:eastAsia="新宋体" w:cs="新宋体"/>
                <w:sz w:val="24"/>
                <w:szCs w:val="24"/>
              </w:rPr>
            </w:pPr>
            <w:r>
              <w:rPr>
                <w:rFonts w:hint="eastAsia" w:ascii="新宋体" w:hAnsi="新宋体" w:eastAsia="新宋体" w:cs="新宋体"/>
                <w:spacing w:val="9"/>
                <w:sz w:val="24"/>
                <w:szCs w:val="24"/>
              </w:rPr>
              <w:t>停车示意牌</w:t>
            </w:r>
          </w:p>
        </w:tc>
        <w:tc>
          <w:tcPr>
            <w:tcW w:w="6319" w:type="dxa"/>
          </w:tcPr>
          <w:p w14:paraId="62D92B71">
            <w:pPr>
              <w:spacing w:line="360" w:lineRule="auto"/>
              <w:ind w:left="110" w:right="145" w:firstLine="18"/>
              <w:rPr>
                <w:rFonts w:ascii="新宋体" w:hAnsi="新宋体" w:eastAsia="新宋体" w:cs="新宋体"/>
                <w:spacing w:val="4"/>
                <w:sz w:val="24"/>
                <w:szCs w:val="24"/>
              </w:rPr>
            </w:pPr>
            <w:r>
              <w:rPr>
                <w:rFonts w:hint="eastAsia" w:ascii="新宋体" w:hAnsi="新宋体" w:eastAsia="新宋体" w:cs="新宋体"/>
                <w:spacing w:val="2"/>
                <w:sz w:val="24"/>
                <w:szCs w:val="24"/>
              </w:rPr>
              <w:t>1.材质结构：外壳采用工程塑料制作。</w:t>
            </w:r>
            <w:r>
              <w:rPr>
                <w:rFonts w:hint="eastAsia" w:ascii="新宋体" w:hAnsi="新宋体" w:eastAsia="新宋体" w:cs="新宋体"/>
                <w:spacing w:val="-57"/>
                <w:sz w:val="24"/>
                <w:szCs w:val="24"/>
              </w:rPr>
              <w:t xml:space="preserve"> </w:t>
            </w:r>
            <w:r>
              <w:rPr>
                <w:rFonts w:hint="eastAsia" w:ascii="新宋体" w:hAnsi="新宋体" w:eastAsia="新宋体" w:cs="新宋体"/>
                <w:spacing w:val="2"/>
                <w:sz w:val="24"/>
                <w:szCs w:val="24"/>
              </w:rPr>
              <w:t>由标志、警示灯、</w:t>
            </w:r>
            <w:r>
              <w:rPr>
                <w:rFonts w:hint="eastAsia" w:ascii="新宋体" w:hAnsi="新宋体" w:eastAsia="新宋体" w:cs="新宋体"/>
                <w:spacing w:val="4"/>
                <w:sz w:val="24"/>
                <w:szCs w:val="24"/>
              </w:rPr>
              <w:t>手柄（含控制开关）、可充电电池、照明灯等组成。</w:t>
            </w:r>
          </w:p>
          <w:p w14:paraId="3B79BD95">
            <w:pPr>
              <w:spacing w:line="360" w:lineRule="auto"/>
              <w:ind w:left="110" w:right="145" w:firstLine="18"/>
              <w:rPr>
                <w:rFonts w:ascii="新宋体" w:hAnsi="新宋体" w:eastAsia="新宋体" w:cs="新宋体"/>
                <w:sz w:val="24"/>
                <w:szCs w:val="24"/>
              </w:rPr>
            </w:pPr>
            <w:r>
              <w:rPr>
                <w:rFonts w:hint="eastAsia" w:ascii="新宋体" w:hAnsi="新宋体" w:eastAsia="新宋体" w:cs="新宋体"/>
                <w:spacing w:val="-7"/>
                <w:sz w:val="24"/>
                <w:szCs w:val="24"/>
              </w:rPr>
              <w:t>2.总质量：≤280g（含可充电电池）。</w:t>
            </w:r>
          </w:p>
          <w:p w14:paraId="0335DD99">
            <w:pPr>
              <w:spacing w:line="360" w:lineRule="auto"/>
              <w:ind w:left="128" w:right="108" w:hanging="13"/>
              <w:rPr>
                <w:rFonts w:ascii="新宋体" w:hAnsi="新宋体" w:eastAsia="新宋体" w:cs="新宋体"/>
                <w:sz w:val="24"/>
                <w:szCs w:val="24"/>
              </w:rPr>
            </w:pPr>
            <w:r>
              <w:rPr>
                <w:rFonts w:hint="eastAsia" w:ascii="新宋体" w:hAnsi="新宋体" w:eastAsia="新宋体" w:cs="新宋体"/>
                <w:spacing w:val="11"/>
                <w:w w:val="102"/>
                <w:sz w:val="24"/>
                <w:szCs w:val="24"/>
              </w:rPr>
              <w:t>3.发光强度：警示灯基准轴上的发光强度应大于或等于</w:t>
            </w:r>
            <w:r>
              <w:rPr>
                <w:rFonts w:hint="eastAsia" w:ascii="新宋体" w:hAnsi="新宋体" w:eastAsia="新宋体" w:cs="新宋体"/>
                <w:spacing w:val="-2"/>
                <w:sz w:val="24"/>
                <w:szCs w:val="24"/>
              </w:rPr>
              <w:t>15cd。</w:t>
            </w:r>
          </w:p>
          <w:p w14:paraId="2DE8865F">
            <w:pPr>
              <w:spacing w:line="360" w:lineRule="auto"/>
              <w:ind w:left="110" w:right="145" w:firstLine="18"/>
              <w:rPr>
                <w:rFonts w:ascii="新宋体" w:hAnsi="新宋体" w:eastAsia="新宋体" w:cs="新宋体"/>
                <w:spacing w:val="-7"/>
                <w:sz w:val="24"/>
                <w:szCs w:val="24"/>
              </w:rPr>
            </w:pPr>
            <w:r>
              <w:rPr>
                <w:rFonts w:hint="eastAsia" w:ascii="新宋体" w:hAnsi="新宋体" w:eastAsia="新宋体" w:cs="新宋体"/>
                <w:spacing w:val="7"/>
                <w:sz w:val="24"/>
                <w:szCs w:val="24"/>
              </w:rPr>
              <w:t>4.连续工作时间：警示灯可连续工作≥8h，手电</w:t>
            </w:r>
            <w:r>
              <w:rPr>
                <w:rFonts w:hint="eastAsia" w:ascii="新宋体" w:hAnsi="新宋体" w:eastAsia="新宋体" w:cs="新宋体"/>
                <w:spacing w:val="-7"/>
                <w:sz w:val="24"/>
                <w:szCs w:val="24"/>
              </w:rPr>
              <w:t>筒可连续工作时间≥2h。</w:t>
            </w:r>
          </w:p>
          <w:p w14:paraId="63E9BAAB">
            <w:pPr>
              <w:spacing w:line="360" w:lineRule="auto"/>
              <w:ind w:left="110" w:right="145" w:firstLine="18"/>
              <w:rPr>
                <w:rFonts w:ascii="新宋体" w:hAnsi="新宋体" w:eastAsia="新宋体" w:cs="新宋体"/>
                <w:sz w:val="24"/>
                <w:szCs w:val="24"/>
              </w:rPr>
            </w:pPr>
            <w:r>
              <w:rPr>
                <w:rFonts w:hint="eastAsia" w:ascii="新宋体" w:hAnsi="新宋体" w:eastAsia="新宋体" w:cs="新宋体"/>
                <w:spacing w:val="-7"/>
                <w:sz w:val="24"/>
                <w:szCs w:val="24"/>
              </w:rPr>
              <w:t>5.充电功能：停车示意牌应具有充电接口，充电过程中应有充电提示。</w:t>
            </w:r>
          </w:p>
        </w:tc>
      </w:tr>
      <w:tr w14:paraId="7184D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9" w:hRule="atLeast"/>
          <w:jc w:val="center"/>
        </w:trPr>
        <w:tc>
          <w:tcPr>
            <w:tcW w:w="776" w:type="dxa"/>
            <w:vAlign w:val="center"/>
          </w:tcPr>
          <w:p w14:paraId="66664BE5">
            <w:pPr>
              <w:spacing w:line="360" w:lineRule="auto"/>
              <w:ind w:firstLine="264"/>
              <w:rPr>
                <w:rFonts w:ascii="新宋体" w:hAnsi="新宋体" w:eastAsia="新宋体" w:cs="新宋体"/>
                <w:sz w:val="24"/>
                <w:szCs w:val="24"/>
              </w:rPr>
            </w:pPr>
            <w:r>
              <w:rPr>
                <w:rFonts w:hint="eastAsia" w:ascii="新宋体" w:hAnsi="新宋体" w:eastAsia="新宋体" w:cs="新宋体"/>
                <w:sz w:val="24"/>
                <w:szCs w:val="24"/>
              </w:rPr>
              <w:t>3</w:t>
            </w:r>
          </w:p>
        </w:tc>
        <w:tc>
          <w:tcPr>
            <w:tcW w:w="1483" w:type="dxa"/>
            <w:vAlign w:val="center"/>
          </w:tcPr>
          <w:p w14:paraId="1E73C070">
            <w:pPr>
              <w:spacing w:line="360" w:lineRule="auto"/>
              <w:ind w:firstLine="339"/>
              <w:rPr>
                <w:rFonts w:ascii="新宋体" w:hAnsi="新宋体" w:eastAsia="新宋体" w:cs="新宋体"/>
                <w:sz w:val="24"/>
                <w:szCs w:val="24"/>
              </w:rPr>
            </w:pPr>
            <w:r>
              <w:rPr>
                <w:rFonts w:hint="eastAsia" w:ascii="新宋体" w:hAnsi="新宋体" w:eastAsia="新宋体" w:cs="新宋体"/>
                <w:spacing w:val="7"/>
                <w:sz w:val="24"/>
                <w:szCs w:val="24"/>
              </w:rPr>
              <w:t>喊话器</w:t>
            </w:r>
          </w:p>
        </w:tc>
        <w:tc>
          <w:tcPr>
            <w:tcW w:w="6319" w:type="dxa"/>
          </w:tcPr>
          <w:p w14:paraId="3A76C469">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1.录音功能：可通过触发相应按键进行录音 ，录音时长应不小于240s。</w:t>
            </w:r>
          </w:p>
          <w:p w14:paraId="2B8A9EA0">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2.照明功能：可通过触发相应按键开启内置白光照明灯，照明模式包括强光、弱光、闪灯可调节。</w:t>
            </w:r>
          </w:p>
          <w:p w14:paraId="6FE36EF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3.喊话功能：可通过触发相应按键进行喊话。             4.录音播放：可播放TF卡或U盘中的MP3格式录音文件。 </w:t>
            </w:r>
          </w:p>
          <w:p w14:paraId="3FCB9EA7">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5.蓝牙功能：可通过触发相应按键开启蓝牙功能，并与手机配对连接。</w:t>
            </w:r>
          </w:p>
          <w:p w14:paraId="76856C08">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6.供电电池：可通过拨动开关切换供电方式为内置锂电池供电或干电池供电，同时可通过外接充电器对内置锂电池进行充电。</w:t>
            </w:r>
          </w:p>
          <w:p w14:paraId="5418BAA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7.声压级：电池充满电后，距喊话器出口10cm处警报音及哨子音声级均应大于等于120db（A）。</w:t>
            </w:r>
          </w:p>
          <w:p w14:paraId="1BA248B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8.重量：≤650 克（不含干电池） 。</w:t>
            </w:r>
          </w:p>
        </w:tc>
      </w:tr>
      <w:tr w14:paraId="73BA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776" w:type="dxa"/>
            <w:vAlign w:val="center"/>
          </w:tcPr>
          <w:p w14:paraId="2E891990">
            <w:pPr>
              <w:spacing w:before="65" w:line="360" w:lineRule="auto"/>
              <w:jc w:val="center"/>
              <w:rPr>
                <w:rFonts w:ascii="新宋体" w:hAnsi="新宋体" w:eastAsia="新宋体" w:cs="新宋体"/>
                <w:sz w:val="24"/>
                <w:szCs w:val="24"/>
              </w:rPr>
            </w:pPr>
            <w:r>
              <w:rPr>
                <w:rFonts w:hint="eastAsia" w:ascii="新宋体" w:hAnsi="新宋体" w:eastAsia="新宋体" w:cs="新宋体"/>
                <w:sz w:val="24"/>
                <w:szCs w:val="24"/>
              </w:rPr>
              <w:t>4</w:t>
            </w:r>
          </w:p>
        </w:tc>
        <w:tc>
          <w:tcPr>
            <w:tcW w:w="1483" w:type="dxa"/>
            <w:vAlign w:val="center"/>
          </w:tcPr>
          <w:p w14:paraId="199FF199">
            <w:pPr>
              <w:spacing w:before="65" w:line="360" w:lineRule="auto"/>
              <w:jc w:val="center"/>
              <w:rPr>
                <w:rFonts w:ascii="新宋体" w:hAnsi="新宋体" w:eastAsia="新宋体" w:cs="新宋体"/>
                <w:spacing w:val="7"/>
                <w:sz w:val="24"/>
                <w:szCs w:val="24"/>
              </w:rPr>
            </w:pPr>
            <w:r>
              <w:rPr>
                <w:rFonts w:hint="eastAsia" w:ascii="新宋体" w:hAnsi="新宋体" w:eastAsia="新宋体" w:cs="新宋体"/>
                <w:spacing w:val="3"/>
                <w:sz w:val="24"/>
                <w:szCs w:val="24"/>
              </w:rPr>
              <w:t>医药箱</w:t>
            </w:r>
          </w:p>
        </w:tc>
        <w:tc>
          <w:tcPr>
            <w:tcW w:w="6319" w:type="dxa"/>
          </w:tcPr>
          <w:p w14:paraId="385657D4">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配置及说明</w:t>
            </w:r>
          </w:p>
          <w:p w14:paraId="7D85F5F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1.眼垫：尺寸 6*8cm（公差±5mm），装入一面纸一面塑料 消毒袋中，保护眼睛；</w:t>
            </w:r>
          </w:p>
          <w:p w14:paraId="6C820E9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2.吸血垫：尺寸10×10cm（公差±10mm），包扎伤口；</w:t>
            </w:r>
          </w:p>
          <w:p w14:paraId="61DC40A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3.医用胶带：尺寸1.25cm*500cm（公差±5mm），装入自封塑料袋，固定绷带用。</w:t>
            </w:r>
          </w:p>
          <w:p w14:paraId="58555F34">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4.剪刀：尺寸14.5cm（公差±5mm），不锈钢材料，裁剪布料用；</w:t>
            </w:r>
          </w:p>
          <w:p w14:paraId="5DA0405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5.急救毯：用自封轻包，展开 210cm*160cm（公差±5mm）； </w:t>
            </w:r>
          </w:p>
          <w:p w14:paraId="53B98CD4">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6.烧伤敷料：尺寸40cm*60cm（公差±5mm），包扎较大伤口用；</w:t>
            </w:r>
          </w:p>
          <w:p w14:paraId="600488C3">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7.弹性绷带：尺寸8cm*400cm（公差±5mm），固定伤口绷带用；</w:t>
            </w:r>
          </w:p>
          <w:p w14:paraId="3348906F">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8.急救呼吸器：20cm*20cm（公差±5mm），急救时人工呼吸用；</w:t>
            </w:r>
          </w:p>
          <w:p w14:paraId="75F94864">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9.三角绷带：尺寸95cm*95cm*135cm（公差±5mm） ，固定骨折夹板；</w:t>
            </w:r>
          </w:p>
          <w:p w14:paraId="765987D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10.医用手套：大号，每2只装一 自封塑料袋，防止感染用； </w:t>
            </w:r>
          </w:p>
          <w:p w14:paraId="3BBEB8E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11.防水创口贴：尺寸7.2cm*1.9cm（公差±5mm），包扎小伤口用；</w:t>
            </w:r>
          </w:p>
          <w:p w14:paraId="65AD0736">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12.塑料镊子：尺寸12.8cm（公差±5mm），避免交叉感染；</w:t>
            </w:r>
          </w:p>
          <w:p w14:paraId="60A60F9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13.止血带：2.5cm*46cm（公差±5mm）；</w:t>
            </w:r>
          </w:p>
          <w:p w14:paraId="2E412AE6">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14.消毒片：酒精片尺寸6.5cm*3cm（公差±5mm），碘伏片尺寸 6.5cm*3cm（公差±5mm），消毒用；</w:t>
            </w:r>
          </w:p>
          <w:p w14:paraId="7B6BEC4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15.纱布片：尺寸 5cm*5cm（公差±5mm） ，尺寸10cm*10cm （公差±5mm），装入纸袋，消毒，包扎小伤口用；</w:t>
            </w:r>
          </w:p>
          <w:p w14:paraId="18F8651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16.一次性冷/热敷：冷敷袋 160g（公差±5g），热敷袋 200g（公差±5g），用于灼伤时使用。</w:t>
            </w:r>
          </w:p>
        </w:tc>
      </w:tr>
      <w:tr w14:paraId="04046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646D06EF">
            <w:pPr>
              <w:spacing w:before="65" w:line="360" w:lineRule="auto"/>
              <w:jc w:val="center"/>
              <w:rPr>
                <w:rFonts w:ascii="新宋体" w:hAnsi="新宋体" w:eastAsia="新宋体" w:cs="新宋体"/>
                <w:sz w:val="24"/>
                <w:szCs w:val="24"/>
              </w:rPr>
            </w:pPr>
            <w:r>
              <w:rPr>
                <w:rFonts w:hint="eastAsia" w:ascii="新宋体" w:hAnsi="新宋体" w:eastAsia="新宋体" w:cs="新宋体"/>
                <w:sz w:val="24"/>
                <w:szCs w:val="24"/>
              </w:rPr>
              <w:t>5</w:t>
            </w:r>
          </w:p>
        </w:tc>
        <w:tc>
          <w:tcPr>
            <w:tcW w:w="1483" w:type="dxa"/>
            <w:vAlign w:val="center"/>
          </w:tcPr>
          <w:p w14:paraId="13D64729">
            <w:pPr>
              <w:spacing w:before="65" w:line="360" w:lineRule="auto"/>
              <w:jc w:val="center"/>
              <w:rPr>
                <w:rFonts w:ascii="新宋体" w:hAnsi="新宋体" w:eastAsia="新宋体" w:cs="新宋体"/>
                <w:sz w:val="24"/>
                <w:szCs w:val="24"/>
              </w:rPr>
            </w:pPr>
            <w:r>
              <w:rPr>
                <w:rFonts w:hint="eastAsia" w:ascii="新宋体" w:hAnsi="新宋体" w:eastAsia="新宋体" w:cs="新宋体"/>
                <w:sz w:val="24"/>
                <w:szCs w:val="24"/>
              </w:rPr>
              <w:t>金属盾牌</w:t>
            </w:r>
          </w:p>
        </w:tc>
        <w:tc>
          <w:tcPr>
            <w:tcW w:w="6319" w:type="dxa"/>
          </w:tcPr>
          <w:p w14:paraId="7B5FCF36">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1.结构：背体有握把和臂带，正面配有照明装置(单元)及破窗器，照明装置(单元)开关为嵌入式，安装在盾体上，具有强光、弱光和爆闪三种工作模式，内置充电电池组并配有充电器，可循环充电使用，破窗器安装于盾体前端两侧，用于破碎玻璃。（提供具有资质的检验检测机构出具的有效检测报告佐证）</w:t>
            </w:r>
          </w:p>
          <w:p w14:paraId="3CB51FD7">
            <w:pPr>
              <w:spacing w:line="360" w:lineRule="auto"/>
              <w:ind w:left="112" w:right="105" w:firstLine="15"/>
              <w:rPr>
                <w:rFonts w:ascii="新宋体" w:hAnsi="新宋体" w:eastAsia="新宋体" w:cs="新宋体"/>
                <w:color w:val="EE0000"/>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2.规格：长710mm±5mm*宽290mm±5mm*厚度2</w:t>
            </w:r>
            <w:bookmarkStart w:id="14" w:name="OLE_LINK11"/>
            <w:r>
              <w:rPr>
                <w:rFonts w:hint="eastAsia" w:ascii="新宋体" w:hAnsi="新宋体" w:eastAsia="新宋体" w:cs="新宋体"/>
                <w:spacing w:val="8"/>
                <w:szCs w:val="24"/>
              </w:rPr>
              <w:t>.</w:t>
            </w:r>
            <w:bookmarkEnd w:id="14"/>
            <w:r>
              <w:rPr>
                <w:rFonts w:hint="eastAsia" w:ascii="新宋体" w:hAnsi="新宋体" w:eastAsia="新宋体" w:cs="新宋体"/>
                <w:spacing w:val="8"/>
                <w:szCs w:val="24"/>
              </w:rPr>
              <w:t>5mm±0</w:t>
            </w:r>
            <w:bookmarkStart w:id="15" w:name="OLE_LINK12"/>
            <w:r>
              <w:rPr>
                <w:rFonts w:hint="eastAsia" w:ascii="新宋体" w:hAnsi="新宋体" w:eastAsia="新宋体" w:cs="新宋体"/>
                <w:spacing w:val="8"/>
                <w:szCs w:val="24"/>
              </w:rPr>
              <w:t>.</w:t>
            </w:r>
            <w:bookmarkEnd w:id="15"/>
            <w:r>
              <w:rPr>
                <w:rFonts w:hint="eastAsia" w:ascii="新宋体" w:hAnsi="新宋体" w:eastAsia="新宋体" w:cs="新宋体"/>
                <w:spacing w:val="8"/>
                <w:szCs w:val="24"/>
              </w:rPr>
              <w:t>5mm。</w:t>
            </w:r>
            <w:bookmarkStart w:id="16" w:name="OLE_LINK16"/>
            <w:r>
              <w:rPr>
                <w:rFonts w:hint="eastAsia" w:ascii="新宋体" w:hAnsi="新宋体" w:eastAsia="新宋体" w:cs="新宋体"/>
                <w:spacing w:val="8"/>
                <w:szCs w:val="24"/>
              </w:rPr>
              <w:t>（提供具有资质的检验检测机构出具的有效检测报告佐证）</w:t>
            </w:r>
          </w:p>
          <w:bookmarkEnd w:id="16"/>
          <w:p w14:paraId="6D8B0B81">
            <w:pPr>
              <w:spacing w:line="360" w:lineRule="auto"/>
              <w:ind w:left="112" w:right="105" w:firstLine="15"/>
              <w:rPr>
                <w:rFonts w:ascii="新宋体" w:hAnsi="新宋体" w:eastAsia="新宋体" w:cs="新宋体"/>
                <w:color w:val="EE0000"/>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3.质量≤1.9kg。（提供具有资质的检验检测机构出具的有效检测报告佐证）</w:t>
            </w:r>
          </w:p>
          <w:p w14:paraId="1A45C423">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4.防护面积≥0.2㎡。（提供具有资质的检验检测机构出具的有效检测报告佐证）</w:t>
            </w:r>
          </w:p>
          <w:p w14:paraId="0F89E979">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5.握把连接强度：握把与盾体之间的连接应能承受≥500N的拉力，试验后不应有断裂、松动或脱落现象。</w:t>
            </w:r>
          </w:p>
          <w:p w14:paraId="6069F4EF">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 xml:space="preserve">6.耐冲击及击打强度：盾体应能承受≥147J 动能的冲击，冲击后受力点不应有穿洞或在受力点半径50mm之外出现贯穿性开裂；盾体能承受击打试验机的击打，击打点线速度为≥18m/s±0.3m/s，击打能量为342J±13J，击打后盾体不应破碎或出现长度大于50mm的贯穿性开裂。 </w:t>
            </w:r>
          </w:p>
          <w:p w14:paraId="7B4C3205">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7.耐穿刺及刀砍性能：盾体应能承受≥147J动能的冲击，穿刺后盾体受力点不应有大于6mm的穿洞或在受力点半径20mm之外出现贯穿性开裂；盾体的边沿应能抵御线速度为8.5m/s±0.5m/s、能量为100J±5J 的击砍，试验后刀砍痕迹深度应小于22mm。</w:t>
            </w:r>
          </w:p>
          <w:p w14:paraId="3F86D6CB">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 xml:space="preserve">8.强光初始照度：电池初始状态下，照明灯进入强光模式，距光源5m处光斑中心初始照度大于185lx。            </w:t>
            </w:r>
          </w:p>
          <w:p w14:paraId="11FDD1C7">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9.强光照明时间：电池初始状态下，照明灯进入强光模式，连续照明≥180min，距光源5m处光斑中心照度大于100lx。</w:t>
            </w:r>
          </w:p>
          <w:p w14:paraId="5768A5CE">
            <w:pPr>
              <w:spacing w:line="360" w:lineRule="auto"/>
              <w:ind w:left="112" w:right="105" w:firstLine="15"/>
              <w:rPr>
                <w:rFonts w:ascii="新宋体" w:hAnsi="新宋体" w:eastAsia="新宋体" w:cs="新宋体"/>
                <w:color w:val="EE0000"/>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10.防护性能：常温条件下，使用18.4mm霰弹枪和12号猎枪弹对臂盾进行防弹性能试验，距离不小于15m，射击不少于1发，臂盾应能完全阻断弹片。</w:t>
            </w:r>
            <w:bookmarkStart w:id="17" w:name="OLE_LINK10"/>
            <w:bookmarkStart w:id="18" w:name="OLE_LINK2"/>
            <w:r>
              <w:rPr>
                <w:rFonts w:hint="eastAsia" w:ascii="新宋体" w:hAnsi="新宋体" w:eastAsia="新宋体" w:cs="新宋体"/>
                <w:spacing w:val="8"/>
                <w:szCs w:val="24"/>
              </w:rPr>
              <w:t>（</w:t>
            </w:r>
            <w:bookmarkStart w:id="19" w:name="OLE_LINK6"/>
            <w:r>
              <w:rPr>
                <w:rFonts w:hint="eastAsia" w:ascii="新宋体" w:hAnsi="新宋体" w:eastAsia="新宋体" w:cs="新宋体"/>
                <w:spacing w:val="8"/>
                <w:szCs w:val="24"/>
              </w:rPr>
              <w:t>提供具有资质的检验检测机构出具的有效检测报告</w:t>
            </w:r>
            <w:bookmarkStart w:id="20" w:name="OLE_LINK5"/>
            <w:r>
              <w:rPr>
                <w:rFonts w:hint="eastAsia" w:ascii="新宋体" w:hAnsi="新宋体" w:eastAsia="新宋体" w:cs="新宋体"/>
                <w:spacing w:val="8"/>
                <w:szCs w:val="24"/>
              </w:rPr>
              <w:t>佐证</w:t>
            </w:r>
            <w:bookmarkEnd w:id="19"/>
            <w:bookmarkEnd w:id="20"/>
            <w:r>
              <w:rPr>
                <w:rFonts w:hint="eastAsia" w:ascii="新宋体" w:hAnsi="新宋体" w:eastAsia="新宋体" w:cs="新宋体"/>
                <w:spacing w:val="8"/>
                <w:szCs w:val="24"/>
              </w:rPr>
              <w:t>）</w:t>
            </w:r>
            <w:bookmarkEnd w:id="17"/>
          </w:p>
          <w:bookmarkEnd w:id="18"/>
          <w:p w14:paraId="5B11E45F">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11.执行标准：符合GA422-2019《警用防暴盾牌》中的有关要求，</w:t>
            </w:r>
            <w:bookmarkStart w:id="21" w:name="OLE_LINK7"/>
            <w:r>
              <w:rPr>
                <w:rFonts w:hint="eastAsia" w:ascii="新宋体" w:hAnsi="新宋体" w:eastAsia="新宋体" w:cs="新宋体"/>
                <w:spacing w:val="8"/>
                <w:szCs w:val="24"/>
              </w:rPr>
              <w:t>提供具有资质的检验检测机构出具的有效检测报告复印件。</w:t>
            </w:r>
            <w:bookmarkEnd w:id="21"/>
            <w:r>
              <w:rPr>
                <w:rFonts w:hint="eastAsia" w:ascii="新宋体" w:hAnsi="新宋体" w:eastAsia="新宋体" w:cs="新宋体"/>
                <w:spacing w:val="8"/>
                <w:szCs w:val="24"/>
              </w:rPr>
              <w:t>（原件备查）</w:t>
            </w:r>
          </w:p>
        </w:tc>
      </w:tr>
      <w:tr w14:paraId="670C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17EC6100">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6</w:t>
            </w:r>
          </w:p>
        </w:tc>
        <w:tc>
          <w:tcPr>
            <w:tcW w:w="1483" w:type="dxa"/>
            <w:vAlign w:val="center"/>
          </w:tcPr>
          <w:p w14:paraId="3B991D4D">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车载灭火器</w:t>
            </w:r>
          </w:p>
        </w:tc>
        <w:tc>
          <w:tcPr>
            <w:tcW w:w="6319" w:type="dxa"/>
          </w:tcPr>
          <w:p w14:paraId="4ECF42E8">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1.气溶胶发生剂主要成分： 硝酸锶 50%～58%（氧化剂）、三聚氰胺 20%～30%（还原剂）。</w:t>
            </w:r>
          </w:p>
          <w:p w14:paraId="19CC824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2.引发器：无桥点火头。</w:t>
            </w:r>
          </w:p>
          <w:p w14:paraId="76F7104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3.喷射性能：灭火器在20±5℃下进行喷射试验，有效喷射时间应≥9.5s、喷射滞后时间应≤1s、喷射距离≥3m； 灭火器在喷射过程中及喷射完成后1min内，壳体(手持部分)的表面温度应不大于35℃。</w:t>
            </w:r>
          </w:p>
          <w:p w14:paraId="1BFABEB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4.启动按钮： 灭火器的启动按钮应性能可靠 ，按钮的开启力不应大于 3N。</w:t>
            </w:r>
          </w:p>
          <w:p w14:paraId="393783D0">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5.保险装置：灭火器的启动按钮应设有防止意外操作的保险装置，保险装置应易于识别和操作 ，其解脱力不应大于3N。</w:t>
            </w:r>
          </w:p>
          <w:p w14:paraId="2E399024">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6.发生剂贮罐强度：气溶胶发生剂贮罐应采用低碳钢制造，其爆破压力不应小于12.0MPa。</w:t>
            </w:r>
          </w:p>
          <w:p w14:paraId="30C5EF4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7.工作环境温度范围： -30℃ ～+70℃。</w:t>
            </w:r>
          </w:p>
          <w:p w14:paraId="1953B47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8.总充装质量：100g±5g（发生剂与灭火组合物）。</w:t>
            </w:r>
          </w:p>
        </w:tc>
      </w:tr>
      <w:tr w14:paraId="095F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tcPr>
          <w:p w14:paraId="678F44AB">
            <w:pPr>
              <w:spacing w:line="360" w:lineRule="auto"/>
              <w:ind w:left="112" w:right="105" w:firstLine="15"/>
              <w:jc w:val="center"/>
              <w:rPr>
                <w:rFonts w:ascii="新宋体" w:hAnsi="新宋体" w:eastAsia="新宋体" w:cs="新宋体"/>
                <w:spacing w:val="3"/>
                <w:sz w:val="24"/>
                <w:szCs w:val="24"/>
              </w:rPr>
            </w:pPr>
          </w:p>
          <w:p w14:paraId="14A4CBB2">
            <w:pPr>
              <w:spacing w:line="360" w:lineRule="auto"/>
              <w:ind w:left="112" w:right="105" w:firstLine="15"/>
              <w:jc w:val="center"/>
              <w:rPr>
                <w:rFonts w:ascii="新宋体" w:hAnsi="新宋体" w:eastAsia="新宋体" w:cs="新宋体"/>
                <w:spacing w:val="3"/>
                <w:sz w:val="24"/>
                <w:szCs w:val="24"/>
              </w:rPr>
            </w:pPr>
          </w:p>
          <w:p w14:paraId="0592C3AC">
            <w:pPr>
              <w:spacing w:line="360" w:lineRule="auto"/>
              <w:ind w:left="112" w:right="105" w:firstLine="15"/>
              <w:jc w:val="center"/>
              <w:rPr>
                <w:rFonts w:ascii="新宋体" w:hAnsi="新宋体" w:eastAsia="新宋体" w:cs="新宋体"/>
                <w:spacing w:val="3"/>
                <w:sz w:val="24"/>
                <w:szCs w:val="24"/>
              </w:rPr>
            </w:pPr>
          </w:p>
          <w:p w14:paraId="7EDD1B7F">
            <w:pPr>
              <w:spacing w:line="360" w:lineRule="auto"/>
              <w:ind w:left="112" w:right="105" w:firstLine="15"/>
              <w:jc w:val="center"/>
              <w:rPr>
                <w:rFonts w:ascii="新宋体" w:hAnsi="新宋体" w:eastAsia="新宋体" w:cs="新宋体"/>
                <w:spacing w:val="3"/>
                <w:sz w:val="24"/>
                <w:szCs w:val="24"/>
              </w:rPr>
            </w:pPr>
          </w:p>
          <w:p w14:paraId="75D17454">
            <w:pPr>
              <w:spacing w:line="360" w:lineRule="auto"/>
              <w:ind w:left="112" w:right="105" w:firstLine="15"/>
              <w:jc w:val="center"/>
              <w:rPr>
                <w:rFonts w:ascii="新宋体" w:hAnsi="新宋体" w:eastAsia="新宋体" w:cs="新宋体"/>
                <w:spacing w:val="3"/>
                <w:sz w:val="24"/>
                <w:szCs w:val="24"/>
              </w:rPr>
            </w:pPr>
          </w:p>
          <w:p w14:paraId="535FBC10">
            <w:pPr>
              <w:spacing w:line="360" w:lineRule="auto"/>
              <w:ind w:left="112" w:right="105" w:firstLine="15"/>
              <w:jc w:val="center"/>
              <w:rPr>
                <w:rFonts w:ascii="新宋体" w:hAnsi="新宋体" w:eastAsia="新宋体" w:cs="新宋体"/>
                <w:spacing w:val="3"/>
                <w:sz w:val="24"/>
                <w:szCs w:val="24"/>
              </w:rPr>
            </w:pPr>
          </w:p>
          <w:p w14:paraId="2F5D65A8">
            <w:pPr>
              <w:spacing w:line="360" w:lineRule="auto"/>
              <w:ind w:left="112" w:right="105" w:firstLine="15"/>
              <w:jc w:val="center"/>
              <w:rPr>
                <w:rFonts w:ascii="新宋体" w:hAnsi="新宋体" w:eastAsia="新宋体" w:cs="新宋体"/>
                <w:spacing w:val="3"/>
                <w:sz w:val="24"/>
                <w:szCs w:val="24"/>
              </w:rPr>
            </w:pPr>
          </w:p>
          <w:p w14:paraId="7655E3B6">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7</w:t>
            </w:r>
          </w:p>
        </w:tc>
        <w:tc>
          <w:tcPr>
            <w:tcW w:w="1483" w:type="dxa"/>
          </w:tcPr>
          <w:p w14:paraId="53B9642F">
            <w:pPr>
              <w:spacing w:line="360" w:lineRule="auto"/>
              <w:ind w:left="112" w:right="105" w:firstLine="15"/>
              <w:jc w:val="center"/>
              <w:rPr>
                <w:rFonts w:ascii="新宋体" w:hAnsi="新宋体" w:eastAsia="新宋体" w:cs="新宋体"/>
                <w:spacing w:val="3"/>
                <w:sz w:val="24"/>
                <w:szCs w:val="24"/>
              </w:rPr>
            </w:pPr>
          </w:p>
          <w:p w14:paraId="3AA66F0F">
            <w:pPr>
              <w:spacing w:line="360" w:lineRule="auto"/>
              <w:ind w:left="112" w:right="105" w:firstLine="15"/>
              <w:jc w:val="center"/>
              <w:rPr>
                <w:rFonts w:ascii="新宋体" w:hAnsi="新宋体" w:eastAsia="新宋体" w:cs="新宋体"/>
                <w:spacing w:val="3"/>
                <w:sz w:val="24"/>
                <w:szCs w:val="24"/>
              </w:rPr>
            </w:pPr>
          </w:p>
          <w:p w14:paraId="267CD28D">
            <w:pPr>
              <w:spacing w:line="360" w:lineRule="auto"/>
              <w:ind w:left="112" w:right="105" w:firstLine="15"/>
              <w:jc w:val="center"/>
              <w:rPr>
                <w:rFonts w:ascii="新宋体" w:hAnsi="新宋体" w:eastAsia="新宋体" w:cs="新宋体"/>
                <w:spacing w:val="3"/>
                <w:sz w:val="24"/>
                <w:szCs w:val="24"/>
              </w:rPr>
            </w:pPr>
          </w:p>
          <w:p w14:paraId="342D07BF">
            <w:pPr>
              <w:spacing w:line="360" w:lineRule="auto"/>
              <w:ind w:left="112" w:right="105" w:firstLine="15"/>
              <w:jc w:val="center"/>
              <w:rPr>
                <w:rFonts w:ascii="新宋体" w:hAnsi="新宋体" w:eastAsia="新宋体" w:cs="新宋体"/>
                <w:spacing w:val="3"/>
                <w:sz w:val="24"/>
                <w:szCs w:val="24"/>
              </w:rPr>
            </w:pPr>
          </w:p>
          <w:p w14:paraId="6341564B">
            <w:pPr>
              <w:spacing w:line="360" w:lineRule="auto"/>
              <w:ind w:left="112" w:right="105" w:firstLine="15"/>
              <w:jc w:val="center"/>
              <w:rPr>
                <w:rFonts w:ascii="新宋体" w:hAnsi="新宋体" w:eastAsia="新宋体" w:cs="新宋体"/>
                <w:spacing w:val="3"/>
                <w:sz w:val="24"/>
                <w:szCs w:val="24"/>
              </w:rPr>
            </w:pPr>
          </w:p>
          <w:p w14:paraId="18389B76">
            <w:pPr>
              <w:spacing w:line="360" w:lineRule="auto"/>
              <w:ind w:left="112" w:right="105" w:firstLine="15"/>
              <w:jc w:val="center"/>
              <w:rPr>
                <w:rFonts w:ascii="新宋体" w:hAnsi="新宋体" w:eastAsia="新宋体" w:cs="新宋体"/>
                <w:spacing w:val="3"/>
                <w:sz w:val="24"/>
                <w:szCs w:val="24"/>
              </w:rPr>
            </w:pPr>
          </w:p>
          <w:p w14:paraId="25475BB5">
            <w:pPr>
              <w:spacing w:line="360" w:lineRule="auto"/>
              <w:ind w:left="112" w:right="105" w:firstLine="15"/>
              <w:jc w:val="center"/>
              <w:rPr>
                <w:rFonts w:ascii="新宋体" w:hAnsi="新宋体" w:eastAsia="新宋体" w:cs="新宋体"/>
                <w:spacing w:val="3"/>
                <w:sz w:val="24"/>
                <w:szCs w:val="24"/>
              </w:rPr>
            </w:pPr>
          </w:p>
          <w:p w14:paraId="0798B224">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多功能腰带</w:t>
            </w:r>
          </w:p>
        </w:tc>
        <w:tc>
          <w:tcPr>
            <w:tcW w:w="6319" w:type="dxa"/>
          </w:tcPr>
          <w:p w14:paraId="3270AE6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1.材质：主腰带带体、内带带体、斜挂带带体采用尼龙机织带，装具套挂袢等采用锦丝搭扣带，装具套面料为涤纶长丝牛津布。</w:t>
            </w:r>
          </w:p>
          <w:p w14:paraId="0AFE1A7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2.结构：多功能腰带由主腰带、内带、斜挂带和装具套组成，装具套含警棍套、强光手电套、工作包、手铐套、催泪喷射器套、对讲机套。                               3.警棍套、催泪喷射器套旋转性能/次：≥3000次后，能正常使用。</w:t>
            </w:r>
          </w:p>
          <w:p w14:paraId="4EBAF0E6">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4.警棍套警棍插拔性能/次：≥3000次后，能正常使用。</w:t>
            </w:r>
          </w:p>
          <w:p w14:paraId="5BFF464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5.斜挂带卡扣抗拉性能：在扣合状态下，施加≥500N的拉力并保持≥30s，卡扣不应破损，并能正常使用。             </w:t>
            </w:r>
          </w:p>
          <w:p w14:paraId="2B59CB5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6.装具套缝合抗拉性能：在开口缝合部位施加≥350N的拉力并保持≥30s，不应撕裂。</w:t>
            </w:r>
          </w:p>
          <w:p w14:paraId="6E544CE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7.腰带钎子抗拉性能：在扣合状态下，施加≥750N 的拉力并保持≥30s，钎子不应脱出或破损，并能正常使用。        </w:t>
            </w:r>
          </w:p>
          <w:p w14:paraId="63BB41F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8.警棍套、催泪喷射器套抗拉性能：对警棍套/催泪喷射器套施加≥900N 的拉力并保持≥30s，连接件不应断裂。       </w:t>
            </w:r>
          </w:p>
          <w:p w14:paraId="6394C61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9.执行标准：符合GA890-2018《公安单警装备多功能腰带》中的有关要求，提供具有资质的检验检测机构出具的有效检测报告复印件。（原件备查）</w:t>
            </w:r>
          </w:p>
        </w:tc>
      </w:tr>
      <w:tr w14:paraId="4354E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48ECB981">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8</w:t>
            </w:r>
          </w:p>
        </w:tc>
        <w:tc>
          <w:tcPr>
            <w:tcW w:w="1483" w:type="dxa"/>
            <w:vAlign w:val="center"/>
          </w:tcPr>
          <w:p w14:paraId="6468400F">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防割手套</w:t>
            </w:r>
          </w:p>
        </w:tc>
        <w:tc>
          <w:tcPr>
            <w:tcW w:w="6319" w:type="dxa"/>
          </w:tcPr>
          <w:p w14:paraId="6D5544B0">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1.结构：纤维材料包覆金属钢丝，手掌外表面采用浸胶处理。 </w:t>
            </w:r>
          </w:p>
          <w:p w14:paraId="4A0A40C1">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2.防割性能：用专用的手套切割试验机、设定刀 口压力为≥20N 、刀片转速为≥20r/min,在被检测的警用防割手套手掌 部货背部垂直手指方向进行≥5 次切割，每次割穿发生时，切割周数不少于七周，且耐切割系数不小于2.5 。</w:t>
            </w:r>
          </w:p>
          <w:p w14:paraId="13BED1C9">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3.触屏功能：在佩戴手套的情况下，可以正常操作智能手机 等触摸屏设备。</w:t>
            </w:r>
          </w:p>
          <w:p w14:paraId="4A183B2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4.耐穿刺/撕裂/摩擦性:≥70N(2级)/≥40N(2 级)/≥4 级。 </w:t>
            </w:r>
          </w:p>
          <w:p w14:paraId="57E8F69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5.高温试验：防割手套在环境温度+55℃±2℃恒温箱保持≥2h ，然后在10min 内用专用手套切割试验机，设定刀口压力为≥20N 、刀片转速为 ≥20r/min ，在被检测的警用防割手套掌部或背部垂直手指方向进行≥5次切割，每次割穿发生时，切割周数应大于7周。</w:t>
            </w:r>
          </w:p>
          <w:p w14:paraId="1727B31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6.低温贮存：防割手套放入环境温度-20℃±2℃恒温箱保持≥2h，常温下恢复2h，然后用专用手套切割试验机，设定刀口压力为≥20N 、刀片转速为 ≥20r/min ，在被检测的警用 防割手套掌部或背部垂直手指方向进行≥5次切割，每次割穿发生时，切割周数应大于7周。</w:t>
            </w:r>
          </w:p>
          <w:p w14:paraId="675FFC46">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7.重量：≤180g。</w:t>
            </w:r>
          </w:p>
        </w:tc>
      </w:tr>
      <w:tr w14:paraId="09A3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592A0E09">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9</w:t>
            </w:r>
          </w:p>
        </w:tc>
        <w:tc>
          <w:tcPr>
            <w:tcW w:w="1483" w:type="dxa"/>
            <w:vAlign w:val="center"/>
          </w:tcPr>
          <w:p w14:paraId="0B52863C">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约束带</w:t>
            </w:r>
          </w:p>
        </w:tc>
        <w:tc>
          <w:tcPr>
            <w:tcW w:w="6319" w:type="dxa"/>
          </w:tcPr>
          <w:p w14:paraId="07FDA718">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1.材质：高强度尼龙料，自锁式双扣。</w:t>
            </w:r>
          </w:p>
          <w:p w14:paraId="2AB6C4C9">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2.可承受拉力：不低于150公斤。</w:t>
            </w:r>
          </w:p>
          <w:p w14:paraId="3A1EDE8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3.尺寸：长度700mm±5mm，宽度12mm±2mm。</w:t>
            </w:r>
          </w:p>
          <w:p w14:paraId="5E8E7E4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4.重量：小于50g。</w:t>
            </w:r>
          </w:p>
        </w:tc>
      </w:tr>
      <w:tr w14:paraId="429E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776" w:type="dxa"/>
            <w:vAlign w:val="center"/>
          </w:tcPr>
          <w:p w14:paraId="25A232D5">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10</w:t>
            </w:r>
          </w:p>
        </w:tc>
        <w:tc>
          <w:tcPr>
            <w:tcW w:w="1483" w:type="dxa"/>
            <w:vAlign w:val="center"/>
          </w:tcPr>
          <w:p w14:paraId="0700B3CD">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反光锥形桶</w:t>
            </w:r>
          </w:p>
        </w:tc>
        <w:tc>
          <w:tcPr>
            <w:tcW w:w="6319" w:type="dxa"/>
          </w:tcPr>
          <w:p w14:paraId="70448FB6">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 xml:space="preserve">1.材质：底座采用塑料材质，伸缩布采用防水布料，高亮夜间灯。 </w:t>
            </w:r>
          </w:p>
          <w:p w14:paraId="2C7ED947">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 xml:space="preserve">2.伸展后高度：≥45cm。 </w:t>
            </w:r>
          </w:p>
          <w:p w14:paraId="51E76D1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8"/>
                <w:szCs w:val="24"/>
              </w:rPr>
              <w:t>3.重量：≥0.45kg。</w:t>
            </w:r>
          </w:p>
        </w:tc>
      </w:tr>
      <w:tr w14:paraId="4508F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65E4609D">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11</w:t>
            </w:r>
          </w:p>
        </w:tc>
        <w:tc>
          <w:tcPr>
            <w:tcW w:w="1483" w:type="dxa"/>
            <w:vAlign w:val="center"/>
          </w:tcPr>
          <w:p w14:paraId="2A0B1423">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反光背心</w:t>
            </w:r>
          </w:p>
        </w:tc>
        <w:tc>
          <w:tcPr>
            <w:tcW w:w="6319" w:type="dxa"/>
          </w:tcPr>
          <w:p w14:paraId="6D6FBCA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1.结构：反光背心为前开襟马甲式样，开襟用拉链拉合，两侧用四合扣分三档位调节人体胖瘦，肩部用锦丝毛刺搭粘调节。前胸、后背分别具有三道横向反光带。前胸第一 道反光带上左印“警”字样，右印“察”字样，对称排列，后背第一道反光带上印有“警 POLICE 察”字样。前胸部 左、右分别缝制对讲机、执法记录仪及警徽警号锦丝粘 贴 。</w:t>
            </w:r>
          </w:p>
          <w:p w14:paraId="6C48417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2.材质：采用荧光黄色网眼布及白色高亮光泽度晶格反光带等制成。</w:t>
            </w:r>
          </w:p>
          <w:p w14:paraId="02BF0D30">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3.荧光网眼布性能：网眼布密度直向20±2 眼/5m、横向10±2 眼/5cm ；顶破强力应大于等于 200N ，遮盖率应大于等于 45%。</w:t>
            </w:r>
          </w:p>
          <w:p w14:paraId="691E775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4.逆反光系数：常温 2℃±2℃，入射角 5°，观察角12′条件下，反光带的逆反射系数应大于等于 300cd/LX.㎡。</w:t>
            </w:r>
          </w:p>
          <w:p w14:paraId="3AD7C42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5.规格：适用身高170cm～180cm，适用胸围96cm～104cm。</w:t>
            </w:r>
          </w:p>
        </w:tc>
      </w:tr>
      <w:tr w14:paraId="41BA1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6D08327D">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12</w:t>
            </w:r>
          </w:p>
        </w:tc>
        <w:tc>
          <w:tcPr>
            <w:tcW w:w="1483" w:type="dxa"/>
            <w:vAlign w:val="center"/>
          </w:tcPr>
          <w:p w14:paraId="36C0DFB9">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遮挡布</w:t>
            </w:r>
          </w:p>
        </w:tc>
        <w:tc>
          <w:tcPr>
            <w:tcW w:w="6319" w:type="dxa"/>
          </w:tcPr>
          <w:p w14:paraId="20E492C0">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1.结构：袋状结构，在一个侧面的中线有 2m 长的开口，以尼龙粘胶或拉链方式封口，在四角处有四个尼龙材质提手，便于四人手拉提手。</w:t>
            </w:r>
          </w:p>
          <w:p w14:paraId="243F9A5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2.材质：尼龙布。</w:t>
            </w:r>
          </w:p>
          <w:p w14:paraId="1C37AC6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3.规格：不小于1mx2m±0.1m。</w:t>
            </w:r>
          </w:p>
          <w:p w14:paraId="21F1F897">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4.封口方式：尼龙粘胶或拉链封口。</w:t>
            </w:r>
          </w:p>
          <w:p w14:paraId="70D039B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5.承重：≥100kg。</w:t>
            </w:r>
          </w:p>
        </w:tc>
      </w:tr>
      <w:tr w14:paraId="2924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7100B5A4">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13</w:t>
            </w:r>
          </w:p>
        </w:tc>
        <w:tc>
          <w:tcPr>
            <w:tcW w:w="1483" w:type="dxa"/>
            <w:vAlign w:val="center"/>
          </w:tcPr>
          <w:p w14:paraId="486C1F71">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阻车器</w:t>
            </w:r>
          </w:p>
        </w:tc>
        <w:tc>
          <w:tcPr>
            <w:tcW w:w="6319" w:type="dxa"/>
          </w:tcPr>
          <w:p w14:paraId="63952078">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1.结构材质：机电复合型路障（可遥控控制路障的伸缩），刺针采用不锈钢制成。</w:t>
            </w:r>
          </w:p>
          <w:p w14:paraId="2D886B1E">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2.操作灵活性：应易于展开、收拢和操作方便，各组成部 分相互协调、动作准确；展开时间≤4S，收拢时间≤5S。</w:t>
            </w:r>
          </w:p>
          <w:p w14:paraId="24DC768F">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3.质量：路障质量≤11.5kg。</w:t>
            </w:r>
          </w:p>
          <w:p w14:paraId="5C8DEF0F">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4.路障有效长度：≥6.5m。</w:t>
            </w:r>
          </w:p>
          <w:p w14:paraId="1126C668">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5.针刺有效长度/间距：≥28mm/≤75mm。</w:t>
            </w:r>
          </w:p>
          <w:p w14:paraId="489C1625">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6.有效拦截时间：总质量为1200kg的试验汽车以20KM/h±5Km/h的速度压过路障，轮胎完全失去充气压力时间≤8S。</w:t>
            </w:r>
          </w:p>
          <w:p w14:paraId="59B69393">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8"/>
                <w:szCs w:val="24"/>
              </w:rPr>
              <w:t>7.气候环境适应性：在25℃±2℃保持30min后降温至-30℃士 3℃和升温至55℃±2 ℃保持≥4h，在10min内进行外观结构检查和操作灵活性试验，表面无锈蚀和机械损伤，紧固部位应牢靠、无松动，活动部位应灵活、可靠。各部件之间</w:t>
            </w:r>
            <w:bookmarkStart w:id="28" w:name="_GoBack"/>
            <w:bookmarkEnd w:id="28"/>
            <w:r>
              <w:rPr>
                <w:rFonts w:hint="eastAsia" w:ascii="新宋体" w:hAnsi="新宋体" w:eastAsia="新宋体" w:cs="新宋体"/>
                <w:spacing w:val="8"/>
                <w:szCs w:val="24"/>
              </w:rPr>
              <w:t>应连接方便；操作灵活性应符合要求。</w:t>
            </w:r>
          </w:p>
        </w:tc>
      </w:tr>
      <w:tr w14:paraId="4B10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79DE8B56">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14</w:t>
            </w:r>
          </w:p>
        </w:tc>
        <w:tc>
          <w:tcPr>
            <w:tcW w:w="1483" w:type="dxa"/>
            <w:vAlign w:val="center"/>
          </w:tcPr>
          <w:p w14:paraId="0F24F9BA">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强光手电</w:t>
            </w:r>
          </w:p>
        </w:tc>
        <w:tc>
          <w:tcPr>
            <w:tcW w:w="6319" w:type="dxa"/>
          </w:tcPr>
          <w:p w14:paraId="4F81097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1.材料：尾盖、筒身、头盖、反光杯、连接件采用 6061-T6或同档次铝合金，攻击头采用Y1Cr18Ni9 或同档次不锈钢，电池采用18650锂离子或同档次充电电池。</w:t>
            </w:r>
          </w:p>
          <w:p w14:paraId="07F53EC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2.结构： 强光手电采用前置开关 ，按钮区域分为照明键和 爆闪键，外壳为防滚动圆柱形结构。 由头盖组件（包括头 盖、攻击头等） 、筒身组件（包括筒身、隐藏式 USB 充电 接 口、开关部件、4 格电量提示灯等）、电池、尾盖组件及 手绳（包括调节扣）组成。</w:t>
            </w:r>
          </w:p>
          <w:p w14:paraId="778555F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3.尺寸及质量：总长度为 155mm ± 2mm 、 握柄直径 28mm±1mm、头盖外径 35mm±1mm、手绳长度 155mm ±5mm； 总质量（含18650锂离子或同档次充电电池和手绳）≤230g。</w:t>
            </w:r>
          </w:p>
          <w:p w14:paraId="2815FA71">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4.开关工作模式转换功能：强光手电在任何状态下（待机、 强光、弱光），按压爆闪键，直接进入爆闪模式，再次按压爆闪键，爆闪停止，恢复原工作状态（待机、强光、弱 光） ；待机状态下通过轻触照明键，实现强光点射功能（轻 触亮、松开灭） ；待机状态下按压照明键 ，应直接进入强 光模式，通过轻触照明键 ，应依顺序实现强光→弱光→强 光→弱光的模式转换，再次按压照明键进入待机状态。 </w:t>
            </w:r>
          </w:p>
          <w:p w14:paraId="1A62F0A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5.强光初始光通量：使用 18650 锂离子或同档次充电电池，在完全 充电的状态下强光手电进入强光模式 ，初始光通量应≥210lm。</w:t>
            </w:r>
          </w:p>
          <w:p w14:paraId="7BCBB494">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6.强光初始照度及色品坐标： 使用18650锂离子或同档次充电电池， 在完全充电的状态下强光手电进入强光模式，距光源5m处光斑中心初始照度应≥280lx ，其色品坐标应符合 GB/T8417-2003 中的白色色品区域有关规定。           </w:t>
            </w:r>
          </w:p>
          <w:p w14:paraId="4F4B2F77">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z w:val="24"/>
                <w:szCs w:val="24"/>
              </w:rPr>
              <w:t>▲</w:t>
            </w:r>
            <w:r>
              <w:rPr>
                <w:rFonts w:hint="eastAsia" w:ascii="新宋体" w:hAnsi="新宋体" w:eastAsia="新宋体" w:cs="新宋体"/>
                <w:spacing w:val="3"/>
                <w:sz w:val="24"/>
                <w:szCs w:val="24"/>
              </w:rPr>
              <w:t>7.外壳强度：强光手电外壳应能承受至少1500N 的径向压力后，强光手电不应变形、能正常使用，且符合开关工作模式转换功能相关要求。</w:t>
            </w:r>
          </w:p>
          <w:p w14:paraId="4DCE66D8">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8.开关耐久性：对照明键、爆闪键分别触压至少 45000次，开关按键应正常，且符合开关工作模式转换功能相关要求。 </w:t>
            </w:r>
          </w:p>
          <w:p w14:paraId="6EFF96FF">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z w:val="24"/>
                <w:szCs w:val="24"/>
              </w:rPr>
              <w:t>▲</w:t>
            </w:r>
            <w:r>
              <w:rPr>
                <w:rFonts w:hint="eastAsia" w:ascii="新宋体" w:hAnsi="新宋体" w:eastAsia="新宋体" w:cs="新宋体"/>
                <w:spacing w:val="3"/>
                <w:sz w:val="24"/>
                <w:szCs w:val="24"/>
              </w:rPr>
              <w:t>9.</w:t>
            </w:r>
            <w:r>
              <w:rPr>
                <w:rFonts w:hint="eastAsia" w:ascii="新宋体" w:hAnsi="新宋体" w:eastAsia="新宋体" w:cs="新宋体"/>
                <w:spacing w:val="8"/>
                <w:szCs w:val="24"/>
              </w:rPr>
              <w:t>执行标准：符合GA883-2018《公安单警装备强光手电》中基础型的有关要求，提供具有资质的检验检测机构出具的有效检测报告复印件。（原件备查）</w:t>
            </w:r>
          </w:p>
        </w:tc>
      </w:tr>
      <w:tr w14:paraId="34D8B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736881A0">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15</w:t>
            </w:r>
          </w:p>
        </w:tc>
        <w:tc>
          <w:tcPr>
            <w:tcW w:w="1483" w:type="dxa"/>
            <w:vAlign w:val="center"/>
          </w:tcPr>
          <w:p w14:paraId="35DC0194">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催泪喷射器</w:t>
            </w:r>
          </w:p>
        </w:tc>
        <w:tc>
          <w:tcPr>
            <w:tcW w:w="6319" w:type="dxa"/>
          </w:tcPr>
          <w:p w14:paraId="4F2B0A33">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1.材质：外罐采用6061或同档次铝合金棒材、内罐采用聚碳酸酯（PC）或同档次、催泪剂溶液采用合成辣椒素（OC）或同档次。</w:t>
            </w:r>
          </w:p>
          <w:p w14:paraId="28B39E51">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2.结构：由保险盖、扭簧、转轴、喷嘴、压套、支撑套、支撑盖、内罐、囊袋组件、催泪器溶液、外罐等零部件组成。</w:t>
            </w:r>
          </w:p>
          <w:p w14:paraId="03B1C2A9">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3.催泪器剂溶液体积：70mL ±3mL，包含溶质（合成辣椒素）和溶剂。</w:t>
            </w:r>
          </w:p>
          <w:p w14:paraId="4AC6746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4.规格及质量：高 188.5mm±2mm，筒身最大外径 40mm ±0.5mm，外罐外径 37.5mm±0.5mm；观察窗宽 8mm± 1mm，高 80mm±1mm；质量 185g±15g。              </w:t>
            </w:r>
          </w:p>
          <w:p w14:paraId="4E313659">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5.连续喷射性能：催泪喷射器应为定向射流状 ，喷射距离应≥4m，有效喷射时间≥7s。</w:t>
            </w:r>
          </w:p>
          <w:p w14:paraId="4CB7E06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6.间断喷射距离：催泪喷射器有效喷射 3s 后，放置8h后 再次进行喷射，喷射距离应≥3m，喷射距离达到3m的时间应≥4s，完全喷射后剩余溶液量≤7mL。</w:t>
            </w:r>
          </w:p>
          <w:p w14:paraId="5F5E8BC3">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7.保险盖可靠性：催泪喷射器应配有安全可靠的防止误喷射的保险盖；保险盖应装配平滑，复位顺畅、按钮开关松紧适度，有足够的回复力，保险盖重复启闭 100 次应可正常使用，且符合连续喷射性能的要求。</w:t>
            </w:r>
          </w:p>
          <w:p w14:paraId="2FF0B5D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8.执行标准：符合GA884-2018《公安单警装备催泪喷射器》中竖喷型的有关要求，提供具有资质的检验检测机构出具的有效检测报告复印件。（原件备查）</w:t>
            </w:r>
          </w:p>
        </w:tc>
      </w:tr>
      <w:tr w14:paraId="3AC8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3EA5866B">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16</w:t>
            </w:r>
          </w:p>
        </w:tc>
        <w:tc>
          <w:tcPr>
            <w:tcW w:w="1483" w:type="dxa"/>
            <w:vAlign w:val="center"/>
          </w:tcPr>
          <w:p w14:paraId="3687332D">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强光搜索灯</w:t>
            </w:r>
          </w:p>
        </w:tc>
        <w:tc>
          <w:tcPr>
            <w:tcW w:w="6319" w:type="dxa"/>
          </w:tcPr>
          <w:p w14:paraId="3D9C15E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1.材质结构：主体材料应为金属，内置可充电电池。电池可替换的灯具配备独立电池充电底座，充电器采用插头与交直流转换器分离式结构。</w:t>
            </w:r>
          </w:p>
          <w:p w14:paraId="5E0A3EE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3.功能：具有强、弱光切换功能，具有闪烁方式的低电压 告警功能。</w:t>
            </w:r>
          </w:p>
          <w:p w14:paraId="652605A9">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4.质量：≤1.0kg。</w:t>
            </w:r>
          </w:p>
          <w:p w14:paraId="2F622350">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5.低电压报警时间：10s～20s。</w:t>
            </w:r>
          </w:p>
          <w:p w14:paraId="79514C4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6.绝缘性能：在常温环境下，灯具带电端子与外壳间的绝 缘电阻不小于20MΩ。</w:t>
            </w:r>
          </w:p>
          <w:p w14:paraId="6EB1D0D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7.照度：测试距离≥5m，光束直径≥300mm，强光照度平均值≥250lx，弱光照度平均值≥150lx。</w:t>
            </w:r>
          </w:p>
          <w:p w14:paraId="5951948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8.开关可靠性： 开关经≥50000次可靠性试验后保持完好，且能正常点亮并实现强、弱光切换。</w:t>
            </w:r>
          </w:p>
        </w:tc>
      </w:tr>
      <w:tr w14:paraId="22AE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54EC1E3F">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17</w:t>
            </w:r>
          </w:p>
        </w:tc>
        <w:tc>
          <w:tcPr>
            <w:tcW w:w="1483" w:type="dxa"/>
            <w:vAlign w:val="center"/>
          </w:tcPr>
          <w:p w14:paraId="5A20E316">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伸缩钢叉</w:t>
            </w:r>
          </w:p>
        </w:tc>
        <w:tc>
          <w:tcPr>
            <w:tcW w:w="6319" w:type="dxa"/>
          </w:tcPr>
          <w:p w14:paraId="30548DB4">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1.结构：警用约束叉由叉头 ，叉杆、连接部位、触碰开关和控制部件组成； 末端有半月弧形插头，杆体可伸缩。</w:t>
            </w:r>
          </w:p>
          <w:p w14:paraId="0D212ED6">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2.尺寸：工作长度≥2000mm，携行长度≤1600mm,握持部位直径 30～35mm，叉头的闭合缝隙≤50mm</w:t>
            </w:r>
          </w:p>
          <w:p w14:paraId="1B7A72D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4.质量：≤3.5kg。</w:t>
            </w:r>
          </w:p>
          <w:p w14:paraId="1070C1C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5.快速约束/自锁功能：叉头叉套约束部位并闭合的时间不大于 5s/叉头闭合后,叉头自内向外不能自由开启。</w:t>
            </w:r>
          </w:p>
          <w:p w14:paraId="20D2D5FD">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6.状态转换时间：携行状态与工作状态能快速有效地转换，转换时间≤10s。</w:t>
            </w:r>
          </w:p>
          <w:p w14:paraId="42198779">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7.抗破坏能力：纵向抗拉能力≥500N，叉头横向抗拉能力 ≥500N，叉杠的中间点承受≥500N 的横向力作用时，叉杠未出现裂纹、断裂或拉脱。</w:t>
            </w:r>
          </w:p>
        </w:tc>
      </w:tr>
      <w:tr w14:paraId="697A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4BDB45E0">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18</w:t>
            </w:r>
          </w:p>
        </w:tc>
        <w:tc>
          <w:tcPr>
            <w:tcW w:w="1483" w:type="dxa"/>
            <w:vAlign w:val="center"/>
          </w:tcPr>
          <w:p w14:paraId="52272D84">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伸缩警棍</w:t>
            </w:r>
          </w:p>
        </w:tc>
        <w:tc>
          <w:tcPr>
            <w:tcW w:w="6319" w:type="dxa"/>
          </w:tcPr>
          <w:p w14:paraId="49C80E08">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1.材料： 握把体、中管、棍头采用7075-T6或同档次铝合金、小管采用30CrMo或同档次及以上合金钢。</w:t>
            </w:r>
          </w:p>
          <w:p w14:paraId="7C64736C">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2.结构：伸缩警棍由小管组件、中管组件、握把组件和开关组件组成。</w:t>
            </w:r>
          </w:p>
          <w:p w14:paraId="4C8C57CF">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 xml:space="preserve">3.尺寸及质量：收回长度 224mm±1.5mm、伸展长度 508mm±2mm、握把外径 26.5mm±0.15mm、 中管外径 20.5mm±0.1mm、小管外径 16mm±0.1mm；质量≤340g。 </w:t>
            </w:r>
          </w:p>
          <w:p w14:paraId="3C6651E8">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4.耐腐蚀性能：伸缩警棍经至少16h 盐雾试验，耐腐蚀等级不应低于 QB/T3832-1999 中1规定的 9 级，警徽和编号 应能辩识，应符合伸缩性能相关要求。</w:t>
            </w:r>
          </w:p>
          <w:p w14:paraId="13E75527">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5.伸缩可靠性：伸缩警棍伸展、收回为一个循环，分别用 拉出伸展和甩动伸展循环至少 5000 次后，应能正常伸展和收回。</w:t>
            </w:r>
          </w:p>
          <w:p w14:paraId="51E6CCDE">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6.抗弯性能：伸缩警棍完全伸展并锁定状态下 ，对伸缩警棍的中管施加至少 5500N 压力 ，并保持 1min后，应能正常伸展和收回。</w:t>
            </w:r>
          </w:p>
          <w:p w14:paraId="03B395AD">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7.耐击打性能：伸缩警棍完全伸展并锁定状态下，固定在专用击打试验机上，基础型伸缩警棍以≥3000N击打力连续击打至少4000次，伸缩警棍不应断裂，棍头不应脱落，应能正常伸展和收回。（提供具有资质的检验检测机构出具的有效检测报告佐证）</w:t>
            </w:r>
          </w:p>
          <w:p w14:paraId="66256E56">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8.握把橡胶套防脱性能：伸缩警棍在收回状态下，在警棍套中进行插拔试验至少5000次后，握把橡胶套应无卷边、翘起、鼓包、龟裂、移位等现象。</w:t>
            </w:r>
          </w:p>
          <w:p w14:paraId="48435B33">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9.执行标准：符合GA886-2018《公安单警装备伸缩警棍》中基础型的有关要求，提供具有资质的检验检测机构出具的有效检测报告复印件。（原件备查）</w:t>
            </w:r>
          </w:p>
        </w:tc>
      </w:tr>
      <w:tr w14:paraId="698EA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397E5DE6">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19</w:t>
            </w:r>
          </w:p>
        </w:tc>
        <w:tc>
          <w:tcPr>
            <w:tcW w:w="1483" w:type="dxa"/>
            <w:vAlign w:val="center"/>
          </w:tcPr>
          <w:p w14:paraId="2A6C5D2D">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肩灯</w:t>
            </w:r>
          </w:p>
        </w:tc>
        <w:tc>
          <w:tcPr>
            <w:tcW w:w="6319" w:type="dxa"/>
          </w:tcPr>
          <w:p w14:paraId="3654286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1.组件：由发光单元、外壳、内置可充电电池等组成。</w:t>
            </w:r>
          </w:p>
          <w:p w14:paraId="566F13F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2.颜色：警用肩灯发光区域应可通过透明材质外壳交替发出红色、蓝色光(可通过采用有色LED灯珠或有色透明材质外壳方式实现)。其他部分应为黑色不透光材质外壳。</w:t>
            </w:r>
          </w:p>
          <w:p w14:paraId="4A3A240F">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3.功能：警用肩灯应具有照明模式及频闪模式，通过单一控制按钮进行开关及模式切换。照明模式与频闪模式应独立工作。开启警用肩灯后应直接进入频闪模式，在频闪模式中任意时间按压一次开关 即可切换到照明模式。警用肩灯应具有电量提示功能，欠压及充满电状况均应有提示。</w:t>
            </w:r>
          </w:p>
          <w:p w14:paraId="4CF41E5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4.频闪模式：全部频闪发光单元同时点亮时的最大发光强度应为 2cd～4cd。单一LED 灯珠频闪频率应在 4Hz～6Hz范围内。完全充电状态进入频闪模式，连续工作时间应大于或等于 12 h,期间警用肩灯不应自动变换发光状态或熄灭。</w:t>
            </w:r>
          </w:p>
          <w:p w14:paraId="7C26B572">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5.照明模式：照明模式时，根据光源 300 mm 处光斑中心初始照度应为 801x～1101x。完全充电状态进入照明模式，连续工作2h,期间警用肩灯不应自动变换发光状态或熄灭，距光源300mm 处光斑中心照度应大于或等于80lx。</w:t>
            </w:r>
          </w:p>
          <w:p w14:paraId="5945C90A">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6.开关耐久性：以(20 次～30 次)/min 频率触压开关≥12000次，开关功能应正常。</w:t>
            </w:r>
          </w:p>
          <w:p w14:paraId="6F6485C5">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pacing w:val="3"/>
                <w:sz w:val="24"/>
                <w:szCs w:val="24"/>
              </w:rPr>
              <w:t>7.外壳防护等级:警用肩灯的外壳防护等级应符合GB/T4208-2017 中 IP56 的规定；</w:t>
            </w:r>
          </w:p>
        </w:tc>
      </w:tr>
      <w:tr w14:paraId="6D24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3F1F3B04">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20</w:t>
            </w:r>
          </w:p>
        </w:tc>
        <w:tc>
          <w:tcPr>
            <w:tcW w:w="1483" w:type="dxa"/>
            <w:vAlign w:val="center"/>
          </w:tcPr>
          <w:p w14:paraId="613FDA1D">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金属手铐</w:t>
            </w:r>
          </w:p>
        </w:tc>
        <w:tc>
          <w:tcPr>
            <w:tcW w:w="6319" w:type="dxa"/>
          </w:tcPr>
          <w:p w14:paraId="764E7B11">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1.材料：手铐左、右铐体、隔板采用不低于6061-T6铝合金，扇梁采用不低于2Cr13不锈钢。</w:t>
            </w:r>
          </w:p>
          <w:p w14:paraId="33F457D3">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2.结构：由左、右铐体和三排齿的扇梁、链座、链环、钥匙组成。</w:t>
            </w:r>
          </w:p>
          <w:p w14:paraId="1489F2F7">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3.尺寸及质量：L52～56mm（铐体间距）、H55±2mm（啮合三齿状态下手铐的最小孔径）、B82±2mm（啮合三齿状态下手铐的最大孔径）；质量（不含钥匙和包装）≤255g。</w:t>
            </w:r>
          </w:p>
          <w:p w14:paraId="152B7FCD">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4.反锁定位：金属手铐在锁闭并反锁定位状态下施加至少2500N静压力，不应出现啮合松动或失效现象。</w:t>
            </w:r>
          </w:p>
          <w:p w14:paraId="33C66FDF">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5.纵/横向静拉力：金属手铐在锁闭状态下，施加至少3200N纵向静拉力/至少4000N横向静拉力并保持≥30s试验过程中金属手铐不应被拉/打开，试验后铐体上不应有永久性变形或裂纹，应符合灵活性的相关要求。</w:t>
            </w:r>
          </w:p>
          <w:p w14:paraId="5733AB9B">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6.扇梁铆钉静压力：对金属手铐的扇梁铆钉施加至少4700N静压力，并保持≥30s，试验后固定连接件不应松脱，应符合灵活性的相关要求。</w:t>
            </w:r>
          </w:p>
          <w:p w14:paraId="65D4D9C0">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7.耐用度：金属手铐用钥匙正常开启、锁闭为一个循环，至少11000 次循环（每1000 次循环后反锁定位1次）后，金属手铐应啮合牢固可靠，不应被逆向拉开，对金属手铐施加2200N 纵向静拉力，保持≥30s，试验过程中金属手铐不应被拉开，试验后铐体上不应有永久性变形或裂纹，应符合灵活性的相关要求。</w:t>
            </w:r>
          </w:p>
          <w:p w14:paraId="799F2231">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8.耐腐等级：金属手铐耐腐蚀性等级应≥简易10级制定级法中的至少10级，连续喷雾时间至少12h。（提供具有资质的检验检测机构出具的有效检测报告佐证）</w:t>
            </w:r>
          </w:p>
          <w:p w14:paraId="5170E636">
            <w:pPr>
              <w:spacing w:line="360" w:lineRule="auto"/>
              <w:ind w:left="112" w:right="105" w:firstLine="15"/>
              <w:rPr>
                <w:rFonts w:ascii="新宋体" w:hAnsi="新宋体" w:eastAsia="新宋体" w:cs="新宋体"/>
              </w:rPr>
            </w:pPr>
            <w:r>
              <w:rPr>
                <w:rFonts w:hint="eastAsia" w:ascii="新宋体" w:hAnsi="新宋体" w:eastAsia="新宋体" w:cs="新宋体"/>
                <w:sz w:val="24"/>
                <w:szCs w:val="24"/>
              </w:rPr>
              <w:t>▲</w:t>
            </w:r>
            <w:r>
              <w:rPr>
                <w:rFonts w:hint="eastAsia" w:ascii="新宋体" w:hAnsi="新宋体" w:eastAsia="新宋体" w:cs="新宋体"/>
                <w:spacing w:val="8"/>
                <w:szCs w:val="24"/>
              </w:rPr>
              <w:t>9.符合标准：符合GA1512-2018《公安单警装备金属手铐》中的有关要求</w:t>
            </w:r>
            <w:bookmarkStart w:id="22" w:name="OLE_LINK15"/>
            <w:r>
              <w:rPr>
                <w:rFonts w:hint="eastAsia" w:ascii="新宋体" w:hAnsi="新宋体" w:eastAsia="新宋体" w:cs="新宋体"/>
                <w:spacing w:val="8"/>
                <w:szCs w:val="24"/>
              </w:rPr>
              <w:t>，提供</w:t>
            </w:r>
            <w:bookmarkStart w:id="23" w:name="OLE_LINK27"/>
            <w:r>
              <w:rPr>
                <w:rFonts w:hint="eastAsia" w:ascii="新宋体" w:hAnsi="新宋体" w:eastAsia="新宋体" w:cs="新宋体"/>
                <w:spacing w:val="8"/>
                <w:szCs w:val="24"/>
              </w:rPr>
              <w:t>具有资质的检验检测机构出具的有效检测报告</w:t>
            </w:r>
            <w:bookmarkEnd w:id="23"/>
            <w:r>
              <w:rPr>
                <w:rFonts w:hint="eastAsia" w:ascii="新宋体" w:hAnsi="新宋体" w:eastAsia="新宋体" w:cs="新宋体"/>
                <w:spacing w:val="8"/>
                <w:szCs w:val="24"/>
              </w:rPr>
              <w:t>复印件。</w:t>
            </w:r>
            <w:bookmarkEnd w:id="22"/>
            <w:r>
              <w:rPr>
                <w:rFonts w:hint="eastAsia" w:ascii="新宋体" w:hAnsi="新宋体" w:eastAsia="新宋体" w:cs="新宋体"/>
                <w:spacing w:val="8"/>
                <w:szCs w:val="24"/>
              </w:rPr>
              <w:t>（原件备查）</w:t>
            </w:r>
          </w:p>
        </w:tc>
      </w:tr>
      <w:tr w14:paraId="18A3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7CAB3C9E">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21</w:t>
            </w:r>
          </w:p>
        </w:tc>
        <w:tc>
          <w:tcPr>
            <w:tcW w:w="1483" w:type="dxa"/>
            <w:vAlign w:val="center"/>
          </w:tcPr>
          <w:p w14:paraId="21C59E61">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爆闪灯</w:t>
            </w:r>
          </w:p>
        </w:tc>
        <w:tc>
          <w:tcPr>
            <w:tcW w:w="6319" w:type="dxa"/>
          </w:tcPr>
          <w:p w14:paraId="4D730366">
            <w:pPr>
              <w:spacing w:line="360" w:lineRule="auto"/>
              <w:ind w:left="112" w:right="105" w:firstLine="15"/>
              <w:rPr>
                <w:rFonts w:ascii="新宋体" w:hAnsi="新宋体" w:eastAsia="新宋体" w:cs="新宋体"/>
              </w:rPr>
            </w:pPr>
            <w:r>
              <w:rPr>
                <w:rFonts w:hint="eastAsia" w:ascii="新宋体" w:hAnsi="新宋体" w:eastAsia="新宋体" w:cs="新宋体"/>
              </w:rPr>
              <w:t>1.外形尺寸：长 315mm±5mm*宽 55mm±5mm*厚 50mm±5mm。</w:t>
            </w:r>
          </w:p>
          <w:p w14:paraId="7AB14DDD">
            <w:pPr>
              <w:spacing w:line="360" w:lineRule="auto"/>
              <w:ind w:left="112" w:right="105" w:firstLine="15"/>
              <w:rPr>
                <w:rFonts w:ascii="新宋体" w:hAnsi="新宋体" w:eastAsia="新宋体" w:cs="新宋体"/>
              </w:rPr>
            </w:pPr>
            <w:r>
              <w:rPr>
                <w:rFonts w:hint="eastAsia" w:ascii="新宋体" w:hAnsi="新宋体" w:eastAsia="新宋体" w:cs="新宋体"/>
              </w:rPr>
              <w:t xml:space="preserve">2.外壳材质：铝型材灯座+聚碳酸酯灯罩+LED 灯珠。 </w:t>
            </w:r>
          </w:p>
          <w:p w14:paraId="09FD25B7">
            <w:pPr>
              <w:spacing w:line="360" w:lineRule="auto"/>
              <w:ind w:left="112" w:right="105" w:firstLine="15"/>
              <w:rPr>
                <w:rFonts w:ascii="新宋体" w:hAnsi="新宋体" w:eastAsia="新宋体" w:cs="新宋体"/>
              </w:rPr>
            </w:pPr>
            <w:r>
              <w:rPr>
                <w:rFonts w:hint="eastAsia" w:ascii="新宋体" w:hAnsi="新宋体" w:eastAsia="新宋体" w:cs="新宋体"/>
              </w:rPr>
              <w:t>3.内置电池：内置可充电</w:t>
            </w:r>
            <w:r>
              <w:rPr>
                <w:rFonts w:hint="eastAsia" w:ascii="新宋体" w:hAnsi="新宋体" w:eastAsia="新宋体" w:cs="新宋体"/>
                <w:spacing w:val="3"/>
                <w:sz w:val="24"/>
                <w:szCs w:val="24"/>
              </w:rPr>
              <w:t>≥</w:t>
            </w:r>
            <w:r>
              <w:rPr>
                <w:rFonts w:hint="eastAsia" w:ascii="新宋体" w:hAnsi="新宋体" w:eastAsia="新宋体" w:cs="新宋体"/>
              </w:rPr>
              <w:t xml:space="preserve">2000mA锂电池组。       </w:t>
            </w:r>
          </w:p>
          <w:p w14:paraId="144BDC95">
            <w:pPr>
              <w:spacing w:line="360" w:lineRule="auto"/>
              <w:ind w:left="112" w:right="105" w:firstLine="15"/>
              <w:rPr>
                <w:rFonts w:ascii="新宋体" w:hAnsi="新宋体" w:eastAsia="新宋体" w:cs="新宋体"/>
              </w:rPr>
            </w:pPr>
            <w:r>
              <w:rPr>
                <w:rFonts w:hint="eastAsia" w:ascii="新宋体" w:hAnsi="新宋体" w:eastAsia="新宋体" w:cs="新宋体"/>
              </w:rPr>
              <w:t>4.工作时间：≥20小时。</w:t>
            </w:r>
          </w:p>
          <w:p w14:paraId="60D8176F">
            <w:pPr>
              <w:spacing w:line="360" w:lineRule="auto"/>
              <w:ind w:left="112" w:right="105" w:firstLine="15"/>
              <w:rPr>
                <w:rFonts w:ascii="新宋体" w:hAnsi="新宋体" w:eastAsia="新宋体" w:cs="新宋体"/>
              </w:rPr>
            </w:pPr>
            <w:r>
              <w:rPr>
                <w:rFonts w:hint="eastAsia" w:ascii="新宋体" w:hAnsi="新宋体" w:eastAsia="新宋体" w:cs="新宋体"/>
              </w:rPr>
              <w:t>5.重量：≤0.7kg。</w:t>
            </w:r>
          </w:p>
          <w:p w14:paraId="11B28432">
            <w:pPr>
              <w:spacing w:line="360" w:lineRule="auto"/>
              <w:ind w:left="112" w:right="105" w:firstLine="15"/>
              <w:rPr>
                <w:rFonts w:ascii="新宋体" w:hAnsi="新宋体" w:eastAsia="新宋体" w:cs="新宋体"/>
              </w:rPr>
            </w:pPr>
            <w:r>
              <w:rPr>
                <w:rFonts w:hint="eastAsia" w:ascii="新宋体" w:hAnsi="新宋体" w:eastAsia="新宋体" w:cs="新宋体"/>
              </w:rPr>
              <w:t>6.警示距离：来车时速</w:t>
            </w:r>
            <w:r>
              <w:rPr>
                <w:rFonts w:hint="eastAsia" w:ascii="新宋体" w:hAnsi="新宋体" w:eastAsia="新宋体" w:cs="新宋体"/>
                <w:spacing w:val="3"/>
                <w:sz w:val="24"/>
                <w:szCs w:val="24"/>
              </w:rPr>
              <w:t>≥</w:t>
            </w:r>
            <w:r>
              <w:rPr>
                <w:rFonts w:hint="eastAsia" w:ascii="新宋体" w:hAnsi="新宋体" w:eastAsia="新宋体" w:cs="新宋体"/>
              </w:rPr>
              <w:t>120 公里/小时行车状态中可视距离可达500米以上。</w:t>
            </w:r>
          </w:p>
          <w:p w14:paraId="4E2A1404">
            <w:pPr>
              <w:spacing w:line="360" w:lineRule="auto"/>
              <w:ind w:left="112" w:right="105" w:firstLine="15"/>
              <w:rPr>
                <w:rFonts w:ascii="新宋体" w:hAnsi="新宋体" w:eastAsia="新宋体" w:cs="新宋体"/>
              </w:rPr>
            </w:pPr>
            <w:r>
              <w:rPr>
                <w:rFonts w:hint="eastAsia" w:ascii="新宋体" w:hAnsi="新宋体" w:eastAsia="新宋体" w:cs="新宋体"/>
              </w:rPr>
              <w:t>7.防水防尘：≥IP65。</w:t>
            </w:r>
          </w:p>
        </w:tc>
      </w:tr>
      <w:tr w14:paraId="728F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2BACEE8A">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22</w:t>
            </w:r>
          </w:p>
        </w:tc>
        <w:tc>
          <w:tcPr>
            <w:tcW w:w="1483" w:type="dxa"/>
            <w:vAlign w:val="center"/>
          </w:tcPr>
          <w:p w14:paraId="311A786A">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皮划艇</w:t>
            </w:r>
          </w:p>
        </w:tc>
        <w:tc>
          <w:tcPr>
            <w:tcW w:w="6319" w:type="dxa"/>
          </w:tcPr>
          <w:p w14:paraId="6FEEA368">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1.材质：艇身主体材料采用PVC 夹网聚氯乙，橡胶涂覆织物；底板为铝合金材质，阳极氧化铝合金纵梁加固。</w:t>
            </w:r>
          </w:p>
          <w:p w14:paraId="1B24204D">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2.承载：将橡皮艇放入水中，额定承载人数（6人，75kg/人）均匀坐于艇内，艇未出现断裂、裂纹、撕裂等现象，艇未翻转。</w:t>
            </w:r>
          </w:p>
          <w:p w14:paraId="0A737AF2">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3.气密性：浮囊在充气≥40kPa时静放≥120min，无泄漏；龙骨在充气≥20kPa时静放≥120min，无泄漏。</w:t>
            </w:r>
          </w:p>
          <w:p w14:paraId="4B0D5CCE">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4.耐压性：浮囊在充气≥40kPa 时，静放≥5min无异常，龙骨在充气≥40kPa时，静放5min无异常。</w:t>
            </w:r>
          </w:p>
          <w:p w14:paraId="5ABA5C82">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5.尺寸：外长≥360cm，外宽≥175cm，舷直径≥45cm。</w:t>
            </w:r>
          </w:p>
          <w:p w14:paraId="075227BB">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6.独立气室：≥3+1 个。</w:t>
            </w:r>
          </w:p>
          <w:p w14:paraId="4B5CB993">
            <w:pPr>
              <w:spacing w:line="360" w:lineRule="auto"/>
              <w:ind w:left="112" w:right="105" w:firstLine="15"/>
              <w:rPr>
                <w:rFonts w:ascii="新宋体" w:hAnsi="新宋体" w:eastAsia="新宋体" w:cs="新宋体"/>
              </w:rPr>
            </w:pPr>
            <w:r>
              <w:rPr>
                <w:rFonts w:hint="eastAsia" w:ascii="新宋体" w:hAnsi="新宋体" w:eastAsia="新宋体" w:cs="新宋体"/>
                <w:spacing w:val="8"/>
                <w:szCs w:val="24"/>
              </w:rPr>
              <w:t>7.额定载重：750kg（±5kg）。</w:t>
            </w:r>
          </w:p>
        </w:tc>
      </w:tr>
      <w:tr w14:paraId="2034A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48EB5614">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23</w:t>
            </w:r>
          </w:p>
        </w:tc>
        <w:tc>
          <w:tcPr>
            <w:tcW w:w="1483" w:type="dxa"/>
            <w:vAlign w:val="center"/>
          </w:tcPr>
          <w:p w14:paraId="447A223F">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防弹衣</w:t>
            </w:r>
          </w:p>
        </w:tc>
        <w:tc>
          <w:tcPr>
            <w:tcW w:w="6319" w:type="dxa"/>
          </w:tcPr>
          <w:p w14:paraId="6E568FA5">
            <w:pPr>
              <w:spacing w:line="360" w:lineRule="auto"/>
              <w:ind w:left="112" w:right="105" w:firstLine="15"/>
              <w:rPr>
                <w:rFonts w:ascii="新宋体" w:hAnsi="新宋体" w:eastAsia="新宋体" w:cs="新宋体"/>
                <w:color w:val="EE0000"/>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1.防弹层材质：由超高分子量聚乙烯纤维无纬布和芳纶纤维浸胶机织布制成。（提供具有资质的检验检测机构出具的有效检测报告佐证）</w:t>
            </w:r>
          </w:p>
          <w:p w14:paraId="303E88A0">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2.防护面积：护面积应＞0.3㎡。（提供具有资质的检验检测机构出具的有效检测报告佐证）</w:t>
            </w:r>
          </w:p>
          <w:p w14:paraId="29473ABC">
            <w:pPr>
              <w:spacing w:line="360" w:lineRule="auto"/>
              <w:ind w:left="112" w:right="105" w:firstLine="15"/>
              <w:rPr>
                <w:rFonts w:ascii="新宋体" w:hAnsi="新宋体" w:eastAsia="新宋体" w:cs="新宋体"/>
                <w:color w:val="EE0000"/>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3.防弹层总质量：＜1.55kg。（提供具有资质的检验检测机构出具的有效检测报告佐证）</w:t>
            </w:r>
          </w:p>
          <w:p w14:paraId="7CDB105D">
            <w:pPr>
              <w:spacing w:line="360" w:lineRule="auto"/>
              <w:ind w:left="112" w:right="105" w:firstLine="15"/>
              <w:rPr>
                <w:rFonts w:ascii="新宋体" w:hAnsi="新宋体" w:eastAsia="新宋体" w:cs="新宋体"/>
                <w:color w:val="EE0000"/>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4.防护材料（即防弹层）总体面密度：＜4.9千克/平方米。（提供具有资质的检验检测机构出具的有效检测报告佐证）</w:t>
            </w:r>
          </w:p>
          <w:p w14:paraId="31457974">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5.防弹性能：防护等级3级（即使用1979年式7.62mm轻型冲锋枪和1951年式 7.62mm手枪弹（铅芯）进行试验，在有效击中情况下，防弹衣应能阻断弹头，且背衬最大凹陷深度小于等于25mm）。</w:t>
            </w:r>
          </w:p>
          <w:p w14:paraId="61E24DC0">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6.耐浸水性能：常温下，防弹衣在水中浸泡≥30min 后，进行防弹性能试验，在有效击中情况下 ，防弹衣应能阻断弹头，且背衬最大凹陷深度小于等于25mm。</w:t>
            </w:r>
          </w:p>
          <w:p w14:paraId="1303904B">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7.环境适应性：在高温（55℃±2 ℃，恒温≥4h）、低温（﹣20℃±2 ℃，恒温≥4h）试验后在15min内进行防弹性能试验，在有效击中情况下，防弹衣应能阻断弹头，且背衬最凹陷深度小于等于25mm。</w:t>
            </w:r>
          </w:p>
          <w:p w14:paraId="316699E5">
            <w:pPr>
              <w:spacing w:line="360" w:lineRule="auto"/>
              <w:ind w:left="112" w:right="105" w:firstLine="15"/>
              <w:rPr>
                <w:rFonts w:ascii="新宋体" w:hAnsi="新宋体" w:eastAsia="新宋体" w:cs="新宋体"/>
              </w:rPr>
            </w:pPr>
            <w:r>
              <w:rPr>
                <w:rFonts w:hint="eastAsia" w:ascii="新宋体" w:hAnsi="新宋体" w:eastAsia="新宋体" w:cs="新宋体"/>
                <w:sz w:val="24"/>
                <w:szCs w:val="24"/>
              </w:rPr>
              <w:t>▲</w:t>
            </w:r>
            <w:r>
              <w:rPr>
                <w:rFonts w:hint="eastAsia" w:ascii="新宋体" w:hAnsi="新宋体" w:eastAsia="新宋体" w:cs="新宋体"/>
                <w:spacing w:val="8"/>
                <w:szCs w:val="24"/>
              </w:rPr>
              <w:t>8.符合标准：符合GA141-2010《警用防弹衣》中3级软质防弹衣的有关要求，提供具有资质的检验检测机构出具的有效检测报告复印件。（原件备查）</w:t>
            </w:r>
          </w:p>
        </w:tc>
      </w:tr>
      <w:tr w14:paraId="70AE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vAlign w:val="center"/>
          </w:tcPr>
          <w:p w14:paraId="345F01BE">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24</w:t>
            </w:r>
          </w:p>
        </w:tc>
        <w:tc>
          <w:tcPr>
            <w:tcW w:w="1483" w:type="dxa"/>
            <w:vAlign w:val="center"/>
          </w:tcPr>
          <w:p w14:paraId="06A6E5E3">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3"/>
                <w:sz w:val="24"/>
                <w:szCs w:val="24"/>
              </w:rPr>
              <w:t>防刺服</w:t>
            </w:r>
          </w:p>
        </w:tc>
        <w:tc>
          <w:tcPr>
            <w:tcW w:w="6319" w:type="dxa"/>
          </w:tcPr>
          <w:p w14:paraId="0AE38073">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1.材质结构：采用匀质防刺层，肩、腰部采用锦丝搭扣带搭接，可调节肩、腰部尺寸；防刺层结构为金属板和泡沫板制成，通过热合工艺封装在保护套内。</w:t>
            </w:r>
          </w:p>
          <w:p w14:paraId="434A7760">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2.防护面积：防刺层的防护面积应大于等于0.26m²。（提供具有资质的检验检测机构出具的有效检测报告佐证）</w:t>
            </w:r>
          </w:p>
          <w:p w14:paraId="5B25BFA5">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3.质量：A类防刺服质量应小于1.8kg。</w:t>
            </w:r>
          </w:p>
          <w:p w14:paraId="6A6834F7">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 xml:space="preserve">4.防刺层厚度：A类防刺服的防刺层厚度应小于8mm 。 </w:t>
            </w:r>
          </w:p>
          <w:p w14:paraId="2472035B">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5.防刺性能：A类防刺服应用D₁刀具、测试体以24J±0.5J撞击能量进行穿刺，分别进行≥5次有效穿刺试验，防刺服不应出现穿透。</w:t>
            </w:r>
          </w:p>
          <w:p w14:paraId="3429730C">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6.耐浸水性能：常温下，防刺服在自来水中浸泡30min后，A类防刺服应用D₁刀具、测试体以24J±0.5J撞击能量进行穿刺，分别进行≥3次有效穿刺试验，防刺服不应出现穿透。</w:t>
            </w:r>
          </w:p>
          <w:p w14:paraId="7953081A">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pacing w:val="8"/>
                <w:szCs w:val="24"/>
              </w:rPr>
              <w:t>7.温度适应性：将防刺服放入温度为+55℃±2℃/-20℃±2℃恒温箱内保持4h后，A类防刺服应用D₁刀具、测试体以24J±0.5J撞击能量进行穿刺，在有效穿刺情况下，防刺服不应出现穿透。</w:t>
            </w:r>
          </w:p>
          <w:p w14:paraId="1F5D7000">
            <w:pPr>
              <w:spacing w:line="360" w:lineRule="auto"/>
              <w:ind w:left="112" w:right="105" w:firstLine="15"/>
              <w:rPr>
                <w:rFonts w:ascii="新宋体" w:hAnsi="新宋体" w:eastAsia="新宋体" w:cs="新宋体"/>
                <w:spacing w:val="8"/>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8.弯曲度：A类防刺服在外力作用下弯曲≥20mm时的作用力应小于72N。（提供具有资质的检验检测机构出具的有效检测报告佐证）</w:t>
            </w:r>
          </w:p>
          <w:p w14:paraId="474554AB">
            <w:pPr>
              <w:spacing w:line="360" w:lineRule="auto"/>
              <w:ind w:left="112" w:right="105" w:firstLine="15"/>
              <w:rPr>
                <w:rFonts w:ascii="新宋体" w:hAnsi="新宋体" w:eastAsia="新宋体" w:cs="新宋体"/>
                <w:spacing w:val="3"/>
                <w:sz w:val="24"/>
                <w:szCs w:val="24"/>
              </w:rPr>
            </w:pPr>
            <w:r>
              <w:rPr>
                <w:rFonts w:hint="eastAsia" w:ascii="新宋体" w:hAnsi="新宋体" w:eastAsia="新宋体" w:cs="新宋体"/>
                <w:sz w:val="24"/>
                <w:szCs w:val="24"/>
              </w:rPr>
              <w:t>▲</w:t>
            </w:r>
            <w:r>
              <w:rPr>
                <w:rFonts w:hint="eastAsia" w:ascii="新宋体" w:hAnsi="新宋体" w:eastAsia="新宋体" w:cs="新宋体"/>
                <w:spacing w:val="8"/>
                <w:szCs w:val="24"/>
              </w:rPr>
              <w:t>9.执行标准：符合GA68-2024《警用防刺服》中A类金属材质警用防刺服的有关要求，提供具有资质的检验检测机构出具的有效检测报告复印件。（原件备查）</w:t>
            </w:r>
          </w:p>
        </w:tc>
      </w:tr>
      <w:tr w14:paraId="2542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2259" w:type="dxa"/>
            <w:gridSpan w:val="2"/>
            <w:vAlign w:val="center"/>
          </w:tcPr>
          <w:p w14:paraId="60BCC02E">
            <w:pPr>
              <w:spacing w:line="360" w:lineRule="auto"/>
              <w:ind w:left="112" w:right="105" w:firstLine="15"/>
              <w:jc w:val="center"/>
              <w:rPr>
                <w:rFonts w:ascii="新宋体" w:hAnsi="新宋体" w:eastAsia="新宋体" w:cs="新宋体"/>
                <w:spacing w:val="3"/>
                <w:sz w:val="24"/>
                <w:szCs w:val="24"/>
              </w:rPr>
            </w:pPr>
            <w:r>
              <w:rPr>
                <w:rFonts w:hint="eastAsia" w:ascii="新宋体" w:hAnsi="新宋体" w:eastAsia="新宋体" w:cs="新宋体"/>
                <w:spacing w:val="8"/>
                <w:sz w:val="24"/>
                <w:szCs w:val="24"/>
              </w:rPr>
              <w:t>备注</w:t>
            </w:r>
          </w:p>
        </w:tc>
        <w:tc>
          <w:tcPr>
            <w:tcW w:w="6319" w:type="dxa"/>
          </w:tcPr>
          <w:p w14:paraId="754EE456">
            <w:pPr>
              <w:spacing w:line="360" w:lineRule="auto"/>
              <w:ind w:left="112" w:right="105" w:firstLine="15"/>
              <w:rPr>
                <w:rFonts w:ascii="新宋体" w:hAnsi="新宋体" w:eastAsia="新宋体" w:cs="新宋体"/>
                <w:spacing w:val="8"/>
                <w:sz w:val="24"/>
                <w:szCs w:val="24"/>
              </w:rPr>
            </w:pPr>
            <w:r>
              <w:rPr>
                <w:rFonts w:hint="eastAsia" w:ascii="新宋体" w:hAnsi="新宋体" w:eastAsia="新宋体" w:cs="新宋体"/>
                <w:spacing w:val="8"/>
                <w:sz w:val="24"/>
                <w:szCs w:val="24"/>
              </w:rPr>
              <w:t>1、关于检测机构及检测报告要求：为保障产品的稳定性和合规性，投标人需提供“检验检测机构”的有效资质认定证书及证书附表（指中国国家认证认可监督管理委员会或中国合格评定国家认可委员会颁发的相关认定证书及附表）关键页复印件，其附表关键页载明的检验检测能力范围应能覆盖GA422-2019《警用防暴盾牌》、GA141-2010《警用防弹衣》、GA68-2024《警用防刺服》、GA 890-2018《公安单警装备多功能腰带》、GA 883-2018《公安单警装备强光手电》、GA 884-2018《公安单警装备催泪喷射器》、GA 886-2018《公安单警装备伸缩警棍》、GA 1512-2018《公安单警装备金属手铐》检测标准，否则检验检测机构出具的无认证标志的检测报告不能作为本项目的有效证明文件（即不符合招标要求的检测报告）。</w:t>
            </w:r>
          </w:p>
          <w:p w14:paraId="48C384FE">
            <w:pPr>
              <w:spacing w:line="360" w:lineRule="auto"/>
              <w:ind w:left="112" w:right="105" w:firstLine="15"/>
              <w:rPr>
                <w:rFonts w:ascii="新宋体" w:hAnsi="新宋体" w:eastAsia="新宋体" w:cs="新宋体"/>
                <w:sz w:val="24"/>
                <w:szCs w:val="24"/>
              </w:rPr>
            </w:pPr>
            <w:r>
              <w:rPr>
                <w:rFonts w:hint="eastAsia" w:ascii="新宋体" w:hAnsi="新宋体" w:eastAsia="新宋体" w:cs="新宋体"/>
                <w:spacing w:val="8"/>
                <w:sz w:val="24"/>
                <w:szCs w:val="24"/>
              </w:rPr>
              <w:t>2、关于原件备查的说明：为节省社会公共资源，开标当天不要求提供原件，如需提供将以书面形式另行通知，如采购人或招标代理机构认为有必要查验投标人标书中所提供的文件是否真实无篡改时，投标人必须在规定的时间内提供相关文件的原件，不能提供或提供不符合要求的原件，或提供的原件经审核有篡改的，一经查实，将被取消投标/中标资格，并将相关材料报送至相关行政主管部门追究其法律责任。投标文件中需按以上要求提供承诺函（格式自拟）。</w:t>
            </w:r>
          </w:p>
        </w:tc>
      </w:tr>
    </w:tbl>
    <w:p w14:paraId="37ECCC3E">
      <w:pPr>
        <w:spacing w:line="360" w:lineRule="auto"/>
        <w:ind w:firstLine="482" w:firstLineChars="200"/>
        <w:jc w:val="left"/>
        <w:rPr>
          <w:rFonts w:ascii="新宋体" w:hAnsi="新宋体" w:eastAsia="新宋体" w:cs="新宋体"/>
          <w:b/>
          <w:sz w:val="24"/>
          <w:szCs w:val="24"/>
        </w:rPr>
      </w:pPr>
      <w:r>
        <w:rPr>
          <w:rFonts w:hint="eastAsia" w:ascii="新宋体" w:hAnsi="新宋体" w:eastAsia="新宋体" w:cs="新宋体"/>
          <w:b/>
          <w:sz w:val="24"/>
          <w:szCs w:val="24"/>
        </w:rPr>
        <w:t>注：1、合同执行阶段，若因修改或现场实际情况变化，可对中标货物规格、数量做适当调整，并以双方签署的文件为依据。因货物增减导致价格变化，以中标货物单价为基数据实结算。</w:t>
      </w:r>
    </w:p>
    <w:p w14:paraId="12E0A95E">
      <w:pPr>
        <w:spacing w:line="360" w:lineRule="auto"/>
        <w:ind w:firstLine="482" w:firstLineChars="200"/>
        <w:jc w:val="left"/>
        <w:rPr>
          <w:rFonts w:ascii="新宋体" w:hAnsi="新宋体" w:eastAsia="新宋体" w:cs="新宋体"/>
          <w:b/>
          <w:sz w:val="24"/>
          <w:szCs w:val="24"/>
        </w:rPr>
      </w:pPr>
      <w:r>
        <w:rPr>
          <w:rFonts w:hint="eastAsia" w:ascii="新宋体" w:hAnsi="新宋体" w:eastAsia="新宋体" w:cs="新宋体"/>
          <w:b/>
          <w:sz w:val="24"/>
          <w:szCs w:val="24"/>
        </w:rPr>
        <w:t>2、根据中华人民共和国财政部令第87号《政府采购货物和服务招标投标管理办法》中关于核心产品的规定，本项目中</w:t>
      </w:r>
      <w:r>
        <w:rPr>
          <w:rFonts w:hint="eastAsia" w:ascii="新宋体" w:hAnsi="新宋体" w:eastAsia="新宋体" w:cs="新宋体"/>
          <w:b/>
          <w:sz w:val="24"/>
          <w:szCs w:val="24"/>
          <w:u w:val="single"/>
          <w:shd w:val="clear" w:color="FFFFFF" w:fill="D9D9D9"/>
        </w:rPr>
        <w:t xml:space="preserve"> 防弹衣 </w:t>
      </w:r>
      <w:r>
        <w:rPr>
          <w:rFonts w:hint="eastAsia" w:ascii="新宋体" w:hAnsi="新宋体" w:eastAsia="新宋体" w:cs="新宋体"/>
          <w:b/>
          <w:sz w:val="24"/>
          <w:szCs w:val="24"/>
        </w:rPr>
        <w:t>为项目的核心产品。 </w:t>
      </w:r>
    </w:p>
    <w:p w14:paraId="66EE4EE4">
      <w:pPr>
        <w:spacing w:line="360" w:lineRule="auto"/>
        <w:ind w:firstLine="482" w:firstLineChars="200"/>
        <w:jc w:val="left"/>
        <w:rPr>
          <w:rFonts w:ascii="新宋体" w:hAnsi="新宋体" w:eastAsia="新宋体" w:cs="新宋体"/>
          <w:b/>
          <w:sz w:val="24"/>
          <w:szCs w:val="24"/>
        </w:rPr>
      </w:pPr>
      <w:r>
        <w:rPr>
          <w:rFonts w:hint="eastAsia" w:ascii="新宋体" w:hAnsi="新宋体" w:eastAsia="新宋体" w:cs="新宋体"/>
          <w:b/>
          <w:sz w:val="24"/>
          <w:szCs w:val="24"/>
        </w:rPr>
        <w:t xml:space="preserve">3、同品牌处理原则 </w:t>
      </w:r>
    </w:p>
    <w:p w14:paraId="6CE3D31B">
      <w:pPr>
        <w:spacing w:line="360" w:lineRule="auto"/>
        <w:ind w:firstLine="482" w:firstLineChars="200"/>
        <w:jc w:val="left"/>
        <w:rPr>
          <w:rFonts w:ascii="新宋体" w:hAnsi="新宋体" w:eastAsia="新宋体" w:cs="新宋体"/>
          <w:b/>
          <w:sz w:val="24"/>
          <w:szCs w:val="24"/>
        </w:rPr>
      </w:pPr>
      <w:r>
        <w:rPr>
          <w:rFonts w:hint="eastAsia" w:ascii="新宋体" w:hAnsi="新宋体" w:eastAsia="新宋体" w:cs="新宋体"/>
          <w:b/>
          <w:sz w:val="24"/>
          <w:szCs w:val="24"/>
        </w:rPr>
        <w:t>（1）使用</w:t>
      </w:r>
      <w:r>
        <w:fldChar w:fldCharType="begin"/>
      </w:r>
      <w:r>
        <w:instrText xml:space="preserve"> HYPERLINK "https://baike.baidu.com/item/%E7%BB%BC%E5%90%88%E8%AF%84%E5%88%86%E6%B3%95/2652286?fromModule=lemma_inlink" \t "https://baike.baidu.com/item/%E6%94%BF%E5%BA%9C%E9%87%87%E8%B4%AD%E8%B4%A7%E7%89%A9%E5%92%8C%E6%9C%8D%E5%8A%A1%E6%8B%9B%E6%A0%87%E6%8A%95%E6%A0%87%E7%AE%A1%E7%90%86%E5%8A%9E%E6%B3%95/_blank" </w:instrText>
      </w:r>
      <w:r>
        <w:fldChar w:fldCharType="separate"/>
      </w:r>
      <w:r>
        <w:rPr>
          <w:rFonts w:hint="eastAsia" w:ascii="新宋体" w:hAnsi="新宋体" w:eastAsia="新宋体" w:cs="新宋体"/>
          <w:b/>
          <w:sz w:val="24"/>
          <w:szCs w:val="24"/>
        </w:rPr>
        <w:t>综合评分法</w:t>
      </w:r>
      <w:r>
        <w:rPr>
          <w:rFonts w:hint="eastAsia" w:ascii="新宋体" w:hAnsi="新宋体" w:eastAsia="新宋体" w:cs="新宋体"/>
          <w:b/>
          <w:sz w:val="24"/>
          <w:szCs w:val="24"/>
        </w:rPr>
        <w:fldChar w:fldCharType="end"/>
      </w:r>
      <w:r>
        <w:rPr>
          <w:rFonts w:hint="eastAsia" w:ascii="新宋体" w:hAnsi="新宋体" w:eastAsia="新宋体" w:cs="新宋体"/>
          <w:b/>
          <w:sz w:val="24"/>
          <w:szCs w:val="24"/>
        </w:rPr>
        <w:t>的采购项目，提供相同品牌产品且通过资格审查、符合性审查的不同投标人参加同一合同项下投标的，按一家投标人计算，评审</w:t>
      </w:r>
      <w:r>
        <w:fldChar w:fldCharType="begin"/>
      </w:r>
      <w:r>
        <w:instrText xml:space="preserve"> HYPERLINK "https://baike.baidu.com/item/%E5%90%8E%E5%BE%97%E5%88%86/9925389?fromModule=lemma_inlink" \t "https://baike.baidu.com/item/%E6%94%BF%E5%BA%9C%E9%87%87%E8%B4%AD%E8%B4%A7%E7%89%A9%E5%92%8C%E6%9C%8D%E5%8A%A1%E6%8B%9B%E6%A0%87%E6%8A%95%E6%A0%87%E7%AE%A1%E7%90%86%E5%8A%9E%E6%B3%95/_blank" </w:instrText>
      </w:r>
      <w:r>
        <w:fldChar w:fldCharType="separate"/>
      </w:r>
      <w:r>
        <w:rPr>
          <w:rFonts w:hint="eastAsia" w:ascii="新宋体" w:hAnsi="新宋体" w:eastAsia="新宋体" w:cs="新宋体"/>
          <w:b/>
          <w:sz w:val="24"/>
          <w:szCs w:val="24"/>
        </w:rPr>
        <w:t>后得分</w:t>
      </w:r>
      <w:r>
        <w:rPr>
          <w:rFonts w:hint="eastAsia" w:ascii="新宋体" w:hAnsi="新宋体" w:eastAsia="新宋体" w:cs="新宋体"/>
          <w:b/>
          <w:sz w:val="24"/>
          <w:szCs w:val="24"/>
        </w:rPr>
        <w:fldChar w:fldCharType="end"/>
      </w:r>
      <w:r>
        <w:rPr>
          <w:rFonts w:hint="eastAsia" w:ascii="新宋体" w:hAnsi="新宋体" w:eastAsia="新宋体" w:cs="新宋体"/>
          <w:b/>
          <w:sz w:val="24"/>
          <w:szCs w:val="24"/>
        </w:rPr>
        <w:t>最高的同品牌投标人获得中标人推荐资格；评审得分相同的，报价由低到高顺序排列的方式确定投标人获得中标人推荐资格；得分且报价相同的，按技术指标、售后服务优劣顺序排列的方式确定投标人获得中标人推荐资格</w:t>
      </w:r>
    </w:p>
    <w:p w14:paraId="59A5BFC6">
      <w:pPr>
        <w:spacing w:line="360" w:lineRule="auto"/>
        <w:ind w:firstLine="482" w:firstLineChars="200"/>
        <w:jc w:val="left"/>
        <w:rPr>
          <w:rFonts w:ascii="新宋体" w:hAnsi="新宋体" w:eastAsia="新宋体" w:cs="新宋体"/>
          <w:b/>
          <w:sz w:val="24"/>
          <w:szCs w:val="24"/>
        </w:rPr>
      </w:pPr>
      <w:r>
        <w:rPr>
          <w:rFonts w:hint="eastAsia" w:ascii="新宋体" w:hAnsi="新宋体" w:eastAsia="新宋体" w:cs="新宋体"/>
          <w:b/>
          <w:sz w:val="24"/>
          <w:szCs w:val="24"/>
        </w:rPr>
        <w:t>（2）非单一产品采购项目，采购人应当根据采购项目</w:t>
      </w:r>
      <w:r>
        <w:fldChar w:fldCharType="begin"/>
      </w:r>
      <w:r>
        <w:instrText xml:space="preserve"> HYPERLINK "https://baike.baidu.com/item/%E6%8A%80%E6%9C%AF%E6%9E%84%E6%88%90/4037092?fromModule=lemma_inlink" \t "https://baike.baidu.com/item/%E6%94%BF%E5%BA%9C%E9%87%87%E8%B4%AD%E8%B4%A7%E7%89%A9%E5%92%8C%E6%9C%8D%E5%8A%A1%E6%8B%9B%E6%A0%87%E6%8A%95%E6%A0%87%E7%AE%A1%E7%90%86%E5%8A%9E%E6%B3%95/_blank" </w:instrText>
      </w:r>
      <w:r>
        <w:fldChar w:fldCharType="separate"/>
      </w:r>
      <w:r>
        <w:rPr>
          <w:rFonts w:hint="eastAsia" w:ascii="新宋体" w:hAnsi="新宋体" w:eastAsia="新宋体" w:cs="新宋体"/>
          <w:b/>
          <w:sz w:val="24"/>
          <w:szCs w:val="24"/>
        </w:rPr>
        <w:t>技术构成</w:t>
      </w:r>
      <w:r>
        <w:rPr>
          <w:rFonts w:hint="eastAsia" w:ascii="新宋体" w:hAnsi="新宋体" w:eastAsia="新宋体" w:cs="新宋体"/>
          <w:b/>
          <w:sz w:val="24"/>
          <w:szCs w:val="24"/>
        </w:rPr>
        <w:fldChar w:fldCharType="end"/>
      </w:r>
      <w:r>
        <w:rPr>
          <w:rFonts w:hint="eastAsia" w:ascii="新宋体" w:hAnsi="新宋体" w:eastAsia="新宋体" w:cs="新宋体"/>
          <w:b/>
          <w:sz w:val="24"/>
          <w:szCs w:val="24"/>
        </w:rPr>
        <w:t>、</w:t>
      </w:r>
      <w:r>
        <w:fldChar w:fldCharType="begin"/>
      </w:r>
      <w:r>
        <w:instrText xml:space="preserve"> HYPERLINK "https://baike.baidu.com/item/%E4%BA%A7%E5%93%81%E4%BB%B7%E6%A0%BC/2449464?fromModule=lemma_inlink" \t "https://baike.baidu.com/item/%E6%94%BF%E5%BA%9C%E9%87%87%E8%B4%AD%E8%B4%A7%E7%89%A9%E5%92%8C%E6%9C%8D%E5%8A%A1%E6%8B%9B%E6%A0%87%E6%8A%95%E6%A0%87%E7%AE%A1%E7%90%86%E5%8A%9E%E6%B3%95/_blank" </w:instrText>
      </w:r>
      <w:r>
        <w:fldChar w:fldCharType="separate"/>
      </w:r>
      <w:r>
        <w:rPr>
          <w:rFonts w:hint="eastAsia" w:ascii="新宋体" w:hAnsi="新宋体" w:eastAsia="新宋体" w:cs="新宋体"/>
          <w:b/>
          <w:sz w:val="24"/>
          <w:szCs w:val="24"/>
        </w:rPr>
        <w:t>产品价格</w:t>
      </w:r>
      <w:r>
        <w:rPr>
          <w:rFonts w:hint="eastAsia" w:ascii="新宋体" w:hAnsi="新宋体" w:eastAsia="新宋体" w:cs="新宋体"/>
          <w:b/>
          <w:sz w:val="24"/>
          <w:szCs w:val="24"/>
        </w:rPr>
        <w:fldChar w:fldCharType="end"/>
      </w:r>
      <w:r>
        <w:rPr>
          <w:rFonts w:hint="eastAsia" w:ascii="新宋体" w:hAnsi="新宋体" w:eastAsia="新宋体" w:cs="新宋体"/>
          <w:b/>
          <w:sz w:val="24"/>
          <w:szCs w:val="24"/>
        </w:rPr>
        <w:t>比重等合理确定</w:t>
      </w:r>
      <w:r>
        <w:fldChar w:fldCharType="begin"/>
      </w:r>
      <w:r>
        <w:instrText xml:space="preserve"> HYPERLINK "https://baike.baidu.com/item/%E6%A0%B8%E5%BF%83%E4%BA%A7%E5%93%81/3215748?fromModule=lemma_inlink" \t "https://baike.baidu.com/item/%E6%94%BF%E5%BA%9C%E9%87%87%E8%B4%AD%E8%B4%A7%E7%89%A9%E5%92%8C%E6%9C%8D%E5%8A%A1%E6%8B%9B%E6%A0%87%E6%8A%95%E6%A0%87%E7%AE%A1%E7%90%86%E5%8A%9E%E6%B3%95/_blank" </w:instrText>
      </w:r>
      <w:r>
        <w:fldChar w:fldCharType="separate"/>
      </w:r>
      <w:r>
        <w:rPr>
          <w:rFonts w:hint="eastAsia" w:ascii="新宋体" w:hAnsi="新宋体" w:eastAsia="新宋体" w:cs="新宋体"/>
          <w:b/>
          <w:sz w:val="24"/>
          <w:szCs w:val="24"/>
        </w:rPr>
        <w:t>核心产品</w:t>
      </w:r>
      <w:r>
        <w:rPr>
          <w:rFonts w:hint="eastAsia" w:ascii="新宋体" w:hAnsi="新宋体" w:eastAsia="新宋体" w:cs="新宋体"/>
          <w:b/>
          <w:sz w:val="24"/>
          <w:szCs w:val="24"/>
        </w:rPr>
        <w:fldChar w:fldCharType="end"/>
      </w:r>
      <w:r>
        <w:rPr>
          <w:rFonts w:hint="eastAsia" w:ascii="新宋体" w:hAnsi="新宋体" w:eastAsia="新宋体" w:cs="新宋体"/>
          <w:b/>
          <w:sz w:val="24"/>
          <w:szCs w:val="24"/>
        </w:rPr>
        <w:t>，并在招标文件中载明。多家投标人提供的核心</w:t>
      </w:r>
      <w:r>
        <w:fldChar w:fldCharType="begin"/>
      </w:r>
      <w:r>
        <w:instrText xml:space="preserve"> HYPERLINK "https://baike.baidu.com/item/%E4%BA%A7%E5%93%81%E5%93%81%E7%89%8C/7164043?fromModule=lemma_inlink" \t "https://baike.baidu.com/item/%E6%94%BF%E5%BA%9C%E9%87%87%E8%B4%AD%E8%B4%A7%E7%89%A9%E5%92%8C%E6%9C%8D%E5%8A%A1%E6%8B%9B%E6%A0%87%E6%8A%95%E6%A0%87%E7%AE%A1%E7%90%86%E5%8A%9E%E6%B3%95/_blank" </w:instrText>
      </w:r>
      <w:r>
        <w:fldChar w:fldCharType="separate"/>
      </w:r>
      <w:r>
        <w:rPr>
          <w:rFonts w:hint="eastAsia" w:ascii="新宋体" w:hAnsi="新宋体" w:eastAsia="新宋体" w:cs="新宋体"/>
          <w:b/>
          <w:sz w:val="24"/>
          <w:szCs w:val="24"/>
        </w:rPr>
        <w:t>产品品牌</w:t>
      </w:r>
      <w:r>
        <w:rPr>
          <w:rFonts w:hint="eastAsia" w:ascii="新宋体" w:hAnsi="新宋体" w:eastAsia="新宋体" w:cs="新宋体"/>
          <w:b/>
          <w:sz w:val="24"/>
          <w:szCs w:val="24"/>
        </w:rPr>
        <w:fldChar w:fldCharType="end"/>
      </w:r>
      <w:r>
        <w:rPr>
          <w:rFonts w:hint="eastAsia" w:ascii="新宋体" w:hAnsi="新宋体" w:eastAsia="新宋体" w:cs="新宋体"/>
          <w:b/>
          <w:sz w:val="24"/>
          <w:szCs w:val="24"/>
        </w:rPr>
        <w:t>相同的，按前两款规定处理。</w:t>
      </w:r>
    </w:p>
    <w:p w14:paraId="7C04F2AA">
      <w:pPr>
        <w:spacing w:line="360" w:lineRule="auto"/>
        <w:ind w:firstLine="482" w:firstLineChars="200"/>
        <w:jc w:val="left"/>
        <w:rPr>
          <w:rFonts w:ascii="新宋体" w:hAnsi="新宋体" w:eastAsia="新宋体" w:cs="新宋体"/>
          <w:b/>
          <w:sz w:val="24"/>
          <w:szCs w:val="24"/>
        </w:rPr>
      </w:pPr>
      <w:r>
        <w:rPr>
          <w:rFonts w:hint="eastAsia" w:ascii="新宋体" w:hAnsi="新宋体" w:eastAsia="新宋体" w:cs="新宋体"/>
          <w:b/>
          <w:sz w:val="24"/>
          <w:szCs w:val="24"/>
        </w:rPr>
        <w:t>4、技术指标响应说明</w:t>
      </w:r>
    </w:p>
    <w:p w14:paraId="1DF5D695">
      <w:pPr>
        <w:spacing w:line="360" w:lineRule="auto"/>
        <w:ind w:firstLine="482" w:firstLineChars="200"/>
        <w:jc w:val="left"/>
        <w:rPr>
          <w:rFonts w:ascii="新宋体" w:hAnsi="新宋体" w:eastAsia="新宋体" w:cs="新宋体"/>
          <w:b/>
          <w:sz w:val="24"/>
          <w:szCs w:val="24"/>
        </w:rPr>
      </w:pPr>
      <w:r>
        <w:rPr>
          <w:rFonts w:hint="eastAsia" w:ascii="新宋体" w:hAnsi="新宋体" w:eastAsia="新宋体" w:cs="新宋体"/>
          <w:b/>
          <w:sz w:val="24"/>
          <w:szCs w:val="24"/>
        </w:rPr>
        <w:t>（1）《采购货物技术参数需求》中所列参数要求如涉及产品品牌或特有型号描述，为采购人根据项目实施需要而列举，并不作为限制条件及指定性要求。投标人可以采用与涉及产品品牌或特有型号同档次同效果并能真实实现同样功能、效果的产品进行投标，但所投产品的功效和产品质量档次不得低于清单要求中所列举产品的功能及质量档次，否则视为未响应采购需求或负偏离处理。</w:t>
      </w:r>
    </w:p>
    <w:p w14:paraId="47B2719E">
      <w:pPr>
        <w:spacing w:line="360" w:lineRule="auto"/>
        <w:jc w:val="left"/>
        <w:rPr>
          <w:rFonts w:ascii="新宋体" w:hAnsi="新宋体" w:eastAsia="新宋体" w:cs="新宋体"/>
          <w:b/>
          <w:bCs/>
          <w:spacing w:val="5"/>
          <w:sz w:val="28"/>
          <w:szCs w:val="28"/>
        </w:rPr>
      </w:pPr>
      <w:r>
        <w:rPr>
          <w:rFonts w:hint="eastAsia" w:ascii="新宋体" w:hAnsi="新宋体" w:eastAsia="新宋体" w:cs="新宋体"/>
          <w:b/>
          <w:bCs/>
          <w:spacing w:val="5"/>
          <w:sz w:val="28"/>
          <w:szCs w:val="28"/>
        </w:rPr>
        <w:t>五、商务要求</w:t>
      </w:r>
    </w:p>
    <w:tbl>
      <w:tblPr>
        <w:tblStyle w:val="13"/>
        <w:tblW w:w="8887" w:type="dxa"/>
        <w:tblInd w:w="-2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725"/>
        <w:gridCol w:w="6148"/>
      </w:tblGrid>
      <w:tr w14:paraId="7CCCF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6" w:hRule="atLeast"/>
        </w:trPr>
        <w:tc>
          <w:tcPr>
            <w:tcW w:w="1014" w:type="dxa"/>
            <w:vAlign w:val="center"/>
          </w:tcPr>
          <w:p w14:paraId="18F2C998">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b/>
                <w:bCs/>
                <w:sz w:val="24"/>
                <w:szCs w:val="24"/>
                <w:lang w:eastAsia="en-US"/>
              </w:rPr>
              <w:t>序号</w:t>
            </w:r>
          </w:p>
        </w:tc>
        <w:tc>
          <w:tcPr>
            <w:tcW w:w="1725" w:type="dxa"/>
            <w:vAlign w:val="center"/>
          </w:tcPr>
          <w:p w14:paraId="69132FC0">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b/>
                <w:bCs/>
                <w:sz w:val="24"/>
                <w:szCs w:val="24"/>
                <w:lang w:eastAsia="en-US"/>
              </w:rPr>
              <w:t>类别</w:t>
            </w:r>
          </w:p>
        </w:tc>
        <w:tc>
          <w:tcPr>
            <w:tcW w:w="6148" w:type="dxa"/>
            <w:vAlign w:val="center"/>
          </w:tcPr>
          <w:p w14:paraId="36145C4F">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b/>
                <w:bCs/>
                <w:sz w:val="24"/>
                <w:szCs w:val="24"/>
                <w:lang w:eastAsia="en-US"/>
              </w:rPr>
              <w:t>具体内容</w:t>
            </w:r>
          </w:p>
        </w:tc>
      </w:tr>
      <w:tr w14:paraId="4273D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Align w:val="center"/>
          </w:tcPr>
          <w:p w14:paraId="3DC32267">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1</w:t>
            </w:r>
          </w:p>
        </w:tc>
        <w:tc>
          <w:tcPr>
            <w:tcW w:w="1725" w:type="dxa"/>
            <w:vAlign w:val="center"/>
          </w:tcPr>
          <w:p w14:paraId="02A37C9F">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合同履行期限</w:t>
            </w:r>
          </w:p>
        </w:tc>
        <w:tc>
          <w:tcPr>
            <w:tcW w:w="6148" w:type="dxa"/>
          </w:tcPr>
          <w:p w14:paraId="55E70AC5">
            <w:pPr>
              <w:autoSpaceDE w:val="0"/>
              <w:autoSpaceDN w:val="0"/>
              <w:spacing w:line="360" w:lineRule="auto"/>
              <w:ind w:left="105" w:leftChars="50"/>
              <w:rPr>
                <w:rFonts w:eastAsia="新宋体"/>
              </w:rPr>
            </w:pPr>
            <w:r>
              <w:rPr>
                <w:rFonts w:hint="eastAsia" w:ascii="新宋体" w:hAnsi="新宋体" w:eastAsia="新宋体" w:cs="新宋体"/>
                <w:sz w:val="24"/>
                <w:szCs w:val="24"/>
                <w:lang w:val="hr-HR"/>
              </w:rPr>
              <w:t>合同签订后</w:t>
            </w:r>
            <w:r>
              <w:rPr>
                <w:rFonts w:hint="eastAsia" w:ascii="新宋体" w:hAnsi="新宋体" w:eastAsia="新宋体" w:cs="新宋体"/>
                <w:sz w:val="24"/>
                <w:szCs w:val="24"/>
              </w:rPr>
              <w:t>20个日历天</w:t>
            </w:r>
            <w:r>
              <w:rPr>
                <w:rFonts w:hint="eastAsia" w:ascii="新宋体" w:hAnsi="新宋体" w:eastAsia="新宋体" w:cs="新宋体"/>
                <w:sz w:val="24"/>
                <w:szCs w:val="24"/>
                <w:lang w:val="hr-HR"/>
              </w:rPr>
              <w:t>内完成</w:t>
            </w:r>
          </w:p>
        </w:tc>
      </w:tr>
      <w:tr w14:paraId="6D99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Align w:val="center"/>
          </w:tcPr>
          <w:p w14:paraId="4BCB3E48">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2</w:t>
            </w:r>
          </w:p>
        </w:tc>
        <w:tc>
          <w:tcPr>
            <w:tcW w:w="1725" w:type="dxa"/>
            <w:vAlign w:val="center"/>
          </w:tcPr>
          <w:p w14:paraId="3A538D53">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报价要求</w:t>
            </w:r>
          </w:p>
        </w:tc>
        <w:tc>
          <w:tcPr>
            <w:tcW w:w="6148" w:type="dxa"/>
            <w:vAlign w:val="center"/>
          </w:tcPr>
          <w:p w14:paraId="76AB5758">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2.1投标人报价不得超过采购预算金额，否则为无效投标。</w:t>
            </w:r>
          </w:p>
          <w:p w14:paraId="51C54DCD">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2.2投标人的报价应包含为完成本招标文件提出的警用装备采购、运输、调试、报检以及售后服务等全部相关工作所有可能发生的费用，即所需的一切人工、物耗、工具、设备、用水、用电、和调研、咨询、测试、验收、税金等所有可能发生的一切费用，即投标总报价为“交钥匙”价。对在合同实施过程中可能发生的其他费用（如：增加耗材、材料涨价、人工、运输成本增加等因素），采购人概不负责。（具体以签订政府采购合同为准）</w:t>
            </w:r>
          </w:p>
          <w:p w14:paraId="3C661568">
            <w:pPr>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2.3对本文件未列明，而投标人认为必需的费用也需列入投标总报价。在合同实施时，采购人将不予支付中标人没有列入的项目费用，并认为此项目的费用已包含在投标总报价中。</w:t>
            </w:r>
          </w:p>
          <w:p w14:paraId="5E1A34FF">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2.4报价合理性</w:t>
            </w:r>
          </w:p>
          <w:p w14:paraId="3B01AEAB">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根据武汉市财政局开展推动解决政府采购异常低价问题试点工作的通知：</w:t>
            </w:r>
          </w:p>
          <w:p w14:paraId="74517C01">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政府采购评审中出现下列情形之一的,评审委员会应当启动异常低价投标(响应)审查程序:</w:t>
            </w:r>
          </w:p>
          <w:p w14:paraId="1858C473">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1.投标(响应)报价低于全部通过符合性审查投标人投标(响应)报价平均值50%的，即投标(响应报价＜全部通过符合性审查投标人投标(响应)报价平均值x50%；</w:t>
            </w:r>
          </w:p>
          <w:p w14:paraId="74A0CC6F">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2.投标(响应)报价低于通过符合性审查且报价次低投标人投标(响应)报价50%的，即投标(响应)报价＜通过符合性审查且报价次低投标人投标(响应)报价x50%；</w:t>
            </w:r>
          </w:p>
          <w:p w14:paraId="0006281B">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3.投标(响应)报价低于采购项目最高限价45%的，即投标(响应)报价＜采购项目最高限价x45%；</w:t>
            </w:r>
          </w:p>
          <w:p w14:paraId="344A4087">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4.其他评审委员会认为投标人报价过低，有可能影响产品质量或者不能诚信履约的情形。</w:t>
            </w:r>
          </w:p>
          <w:p w14:paraId="19C95F05">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2.5报价合理性审查机制：</w:t>
            </w:r>
          </w:p>
          <w:p w14:paraId="780F1F6C">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1.评审委员会应切实按照异常低价审查启动标准及审查流程开展相关工作。启动异常低价投标(响应)审查后，应要求相关投标人在评审现场合理的时间内提供书面说明及必要的证明材料，对投标(响应)价格作出解释。</w:t>
            </w:r>
          </w:p>
          <w:p w14:paraId="39492A0E">
            <w:pPr>
              <w:spacing w:line="360" w:lineRule="auto"/>
              <w:ind w:left="105" w:leftChars="50"/>
              <w:rPr>
                <w:rFonts w:ascii="新宋体" w:hAnsi="新宋体" w:eastAsia="新宋体" w:cs="新宋体"/>
                <w:b/>
                <w:bCs/>
                <w:sz w:val="24"/>
                <w:szCs w:val="24"/>
              </w:rPr>
            </w:pPr>
            <w:r>
              <w:rPr>
                <w:rFonts w:hint="eastAsia" w:ascii="新宋体" w:hAnsi="新宋体" w:eastAsia="新宋体" w:cs="新宋体"/>
                <w:b/>
                <w:bCs/>
                <w:sz w:val="24"/>
                <w:szCs w:val="24"/>
              </w:rPr>
              <w:t>合理时间至少为 30分钟，最长限定时间由评审委员会视评审进度决定，合理时间的确定应充分考虑材料提交方式及投标人获取证明材料的最低时限。书面说明、证明材料主要是项目具体成本测算等与报价合理性相关的说明、材料。</w:t>
            </w:r>
          </w:p>
          <w:p w14:paraId="027522D3">
            <w:pPr>
              <w:spacing w:line="360" w:lineRule="auto"/>
              <w:ind w:left="105" w:leftChars="50"/>
              <w:rPr>
                <w:rFonts w:ascii="新宋体" w:hAnsi="新宋体" w:eastAsia="新宋体" w:cs="新宋体"/>
                <w:b/>
                <w:bCs/>
                <w:sz w:val="24"/>
                <w:szCs w:val="24"/>
                <w:lang w:val="hr-HR"/>
              </w:rPr>
            </w:pPr>
            <w:r>
              <w:rPr>
                <w:rFonts w:hint="eastAsia" w:ascii="新宋体" w:hAnsi="新宋体" w:eastAsia="新宋体" w:cs="新宋体"/>
                <w:b/>
                <w:bCs/>
                <w:sz w:val="24"/>
                <w:szCs w:val="24"/>
              </w:rPr>
              <w:t>具体详见武汉市财政局 [2025]643号文。</w:t>
            </w:r>
          </w:p>
        </w:tc>
      </w:tr>
      <w:tr w14:paraId="1EC96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Align w:val="center"/>
          </w:tcPr>
          <w:p w14:paraId="61294D42">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3</w:t>
            </w:r>
          </w:p>
        </w:tc>
        <w:tc>
          <w:tcPr>
            <w:tcW w:w="1725" w:type="dxa"/>
            <w:vAlign w:val="center"/>
          </w:tcPr>
          <w:p w14:paraId="7734E652">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质量保证期</w:t>
            </w:r>
          </w:p>
        </w:tc>
        <w:tc>
          <w:tcPr>
            <w:tcW w:w="6148" w:type="dxa"/>
            <w:vAlign w:val="center"/>
          </w:tcPr>
          <w:p w14:paraId="3F0D240D">
            <w:pPr>
              <w:autoSpaceDE w:val="0"/>
              <w:autoSpaceDN w:val="0"/>
              <w:spacing w:line="360" w:lineRule="auto"/>
              <w:ind w:left="105" w:leftChars="50"/>
              <w:jc w:val="left"/>
              <w:rPr>
                <w:rFonts w:ascii="新宋体" w:hAnsi="新宋体" w:eastAsia="新宋体" w:cs="新宋体"/>
                <w:sz w:val="24"/>
                <w:szCs w:val="24"/>
              </w:rPr>
            </w:pPr>
            <w:bookmarkStart w:id="24" w:name="OLE_LINK4"/>
            <w:r>
              <w:rPr>
                <w:rFonts w:hint="eastAsia" w:ascii="新宋体" w:hAnsi="新宋体" w:eastAsia="新宋体" w:cs="新宋体"/>
                <w:sz w:val="24"/>
                <w:szCs w:val="24"/>
              </w:rPr>
              <w:t>项目验收合格之日起所有装备1年质保期</w:t>
            </w:r>
            <w:bookmarkEnd w:id="24"/>
          </w:p>
        </w:tc>
      </w:tr>
      <w:tr w14:paraId="2413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Align w:val="center"/>
          </w:tcPr>
          <w:p w14:paraId="6ACAEDFE">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4</w:t>
            </w:r>
          </w:p>
        </w:tc>
        <w:tc>
          <w:tcPr>
            <w:tcW w:w="1725" w:type="dxa"/>
            <w:vAlign w:val="center"/>
          </w:tcPr>
          <w:p w14:paraId="5C3596D3">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交付地点</w:t>
            </w:r>
          </w:p>
        </w:tc>
        <w:tc>
          <w:tcPr>
            <w:tcW w:w="6148" w:type="dxa"/>
          </w:tcPr>
          <w:p w14:paraId="246A41B7">
            <w:pPr>
              <w:autoSpaceDE w:val="0"/>
              <w:autoSpaceDN w:val="0"/>
              <w:spacing w:line="360" w:lineRule="auto"/>
              <w:ind w:left="105" w:leftChars="50"/>
              <w:jc w:val="left"/>
              <w:rPr>
                <w:rFonts w:ascii="新宋体" w:hAnsi="新宋体" w:eastAsia="新宋体" w:cs="新宋体"/>
                <w:sz w:val="24"/>
                <w:szCs w:val="24"/>
              </w:rPr>
            </w:pPr>
            <w:r>
              <w:rPr>
                <w:rFonts w:hint="eastAsia" w:ascii="新宋体" w:hAnsi="新宋体" w:eastAsia="新宋体" w:cs="新宋体"/>
                <w:sz w:val="24"/>
                <w:szCs w:val="24"/>
              </w:rPr>
              <w:t>武汉市东西湖区，具体按采购人指定地点</w:t>
            </w:r>
          </w:p>
        </w:tc>
      </w:tr>
      <w:tr w14:paraId="4F3A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vAlign w:val="center"/>
          </w:tcPr>
          <w:p w14:paraId="0661594F">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5</w:t>
            </w:r>
          </w:p>
        </w:tc>
        <w:tc>
          <w:tcPr>
            <w:tcW w:w="1725" w:type="dxa"/>
            <w:vAlign w:val="center"/>
          </w:tcPr>
          <w:p w14:paraId="331BA4D1">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付款方式</w:t>
            </w:r>
          </w:p>
        </w:tc>
        <w:tc>
          <w:tcPr>
            <w:tcW w:w="6148" w:type="dxa"/>
          </w:tcPr>
          <w:p w14:paraId="13DAC2C1">
            <w:pPr>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项目签订合同后采购人原则上自收到发票后10个工作日内支付合同金额的30%，所有货物安装调试完毕并验收合格投入使用，满足使用要求和合同约定支付条件后，采购人原则上自收到发票后10个工作日内，一次性支付合同100%的款项。</w:t>
            </w:r>
            <w:r>
              <w:rPr>
                <w:rFonts w:hint="eastAsia" w:ascii="新宋体" w:hAnsi="新宋体" w:eastAsia="新宋体" w:cs="新宋体"/>
                <w:sz w:val="24"/>
                <w:szCs w:val="24"/>
                <w:lang w:eastAsia="en-US"/>
              </w:rPr>
              <w:t>具体付款事项根据政府采购合同中约定</w:t>
            </w:r>
            <w:r>
              <w:rPr>
                <w:rFonts w:hint="eastAsia" w:ascii="新宋体" w:hAnsi="新宋体" w:eastAsia="新宋体" w:cs="新宋体"/>
                <w:sz w:val="24"/>
                <w:szCs w:val="24"/>
              </w:rPr>
              <w:t>。</w:t>
            </w:r>
          </w:p>
        </w:tc>
      </w:tr>
      <w:tr w14:paraId="17995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14" w:type="dxa"/>
            <w:vAlign w:val="center"/>
          </w:tcPr>
          <w:p w14:paraId="37A9FDDC">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6</w:t>
            </w:r>
          </w:p>
        </w:tc>
        <w:tc>
          <w:tcPr>
            <w:tcW w:w="1725" w:type="dxa"/>
            <w:vAlign w:val="center"/>
          </w:tcPr>
          <w:p w14:paraId="4F692EE2">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质量标准和要求</w:t>
            </w:r>
          </w:p>
        </w:tc>
        <w:tc>
          <w:tcPr>
            <w:tcW w:w="6148" w:type="dxa"/>
          </w:tcPr>
          <w:p w14:paraId="10DBB609">
            <w:pPr>
              <w:autoSpaceDE w:val="0"/>
              <w:autoSpaceDN w:val="0"/>
              <w:spacing w:line="360" w:lineRule="auto"/>
              <w:ind w:left="105" w:leftChars="50"/>
              <w:jc w:val="left"/>
              <w:rPr>
                <w:rFonts w:ascii="新宋体" w:hAnsi="新宋体" w:eastAsia="新宋体" w:cs="新宋体"/>
                <w:sz w:val="24"/>
                <w:szCs w:val="24"/>
              </w:rPr>
            </w:pPr>
            <w:r>
              <w:rPr>
                <w:rFonts w:hint="eastAsia" w:ascii="新宋体" w:hAnsi="新宋体" w:eastAsia="新宋体" w:cs="新宋体"/>
                <w:sz w:val="24"/>
                <w:szCs w:val="24"/>
              </w:rPr>
              <w:t>1.中标人所出售标的物的质量标准按照国家标准或行业标准或企业标准确定，均有标准的以高（严格）者为准。没有国家标准、行业标准和企业标准的，按照通常标准或者符合合同目的的特定标准确定。</w:t>
            </w:r>
          </w:p>
          <w:p w14:paraId="6B987162">
            <w:pPr>
              <w:autoSpaceDE w:val="0"/>
              <w:autoSpaceDN w:val="0"/>
              <w:spacing w:line="360" w:lineRule="auto"/>
              <w:ind w:left="105" w:leftChars="50"/>
              <w:jc w:val="left"/>
              <w:rPr>
                <w:rFonts w:ascii="新宋体" w:hAnsi="新宋体" w:eastAsia="新宋体" w:cs="新宋体"/>
                <w:sz w:val="24"/>
                <w:szCs w:val="24"/>
              </w:rPr>
            </w:pPr>
            <w:r>
              <w:rPr>
                <w:rFonts w:hint="eastAsia" w:ascii="新宋体" w:hAnsi="新宋体" w:eastAsia="新宋体" w:cs="新宋体"/>
                <w:sz w:val="24"/>
                <w:szCs w:val="24"/>
              </w:rPr>
              <w:t>2.中标人所出售的标的物还应符合国家和湖北省之有关规定。</w:t>
            </w:r>
          </w:p>
          <w:p w14:paraId="2FFF5734">
            <w:pPr>
              <w:autoSpaceDE w:val="0"/>
              <w:autoSpaceDN w:val="0"/>
              <w:spacing w:line="360" w:lineRule="auto"/>
              <w:ind w:left="105" w:leftChars="50"/>
              <w:jc w:val="left"/>
              <w:rPr>
                <w:rFonts w:ascii="新宋体" w:hAnsi="新宋体" w:eastAsia="新宋体" w:cs="新宋体"/>
                <w:sz w:val="24"/>
                <w:szCs w:val="24"/>
              </w:rPr>
            </w:pPr>
            <w:r>
              <w:rPr>
                <w:rFonts w:hint="eastAsia" w:ascii="新宋体" w:hAnsi="新宋体" w:eastAsia="新宋体" w:cs="新宋体"/>
                <w:sz w:val="24"/>
                <w:szCs w:val="24"/>
              </w:rPr>
              <w:t>3.如果质量标准不统一的，应以采购人所选择的质量标准为依据。</w:t>
            </w:r>
          </w:p>
          <w:p w14:paraId="77660E66">
            <w:pPr>
              <w:autoSpaceDE w:val="0"/>
              <w:autoSpaceDN w:val="0"/>
              <w:spacing w:line="360" w:lineRule="auto"/>
              <w:ind w:left="105" w:leftChars="50"/>
              <w:jc w:val="left"/>
              <w:rPr>
                <w:rFonts w:eastAsia="新宋体"/>
              </w:rPr>
            </w:pPr>
            <w:r>
              <w:rPr>
                <w:rFonts w:hint="eastAsia" w:ascii="新宋体" w:hAnsi="新宋体" w:eastAsia="新宋体" w:cs="新宋体"/>
                <w:sz w:val="24"/>
                <w:szCs w:val="24"/>
              </w:rPr>
              <w:t>4.投标人须确保货物及所有配套件的完整性。文件中没有提出的，而对货物的正常使用和维护必不可少的且应属货物需求配带的部件、配件等，投标人有义务予以补充。</w:t>
            </w:r>
          </w:p>
        </w:tc>
      </w:tr>
      <w:tr w14:paraId="72FA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014" w:type="dxa"/>
            <w:vAlign w:val="center"/>
          </w:tcPr>
          <w:p w14:paraId="7E9438D3">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7</w:t>
            </w:r>
          </w:p>
        </w:tc>
        <w:tc>
          <w:tcPr>
            <w:tcW w:w="1725" w:type="dxa"/>
            <w:vAlign w:val="center"/>
          </w:tcPr>
          <w:p w14:paraId="62474FAE">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货物所有权</w:t>
            </w:r>
          </w:p>
        </w:tc>
        <w:tc>
          <w:tcPr>
            <w:tcW w:w="6148" w:type="dxa"/>
          </w:tcPr>
          <w:p w14:paraId="7CB78E22">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1.中标人保证对其出售的标的物享有合法的权利。</w:t>
            </w:r>
          </w:p>
          <w:p w14:paraId="7B3CC0F4">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2.中标人应保证在其出售的标的物上不存在任何未曾向采购人透露的担保物权，如抵押权、质押权、留置权等；不存在会造成采购人任何合同外义务的负担。</w:t>
            </w:r>
          </w:p>
          <w:p w14:paraId="72D2DC13">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3.中标人应保证其所出售的标的物没有侵犯任何第三人的知识产权和商业秘密等权利。</w:t>
            </w:r>
          </w:p>
          <w:p w14:paraId="6E48195B">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4.如采购人使用该标的物构成上述侵权的，则由中标人承担全部责任。</w:t>
            </w:r>
          </w:p>
        </w:tc>
      </w:tr>
      <w:tr w14:paraId="38DE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14" w:type="dxa"/>
            <w:vAlign w:val="center"/>
          </w:tcPr>
          <w:p w14:paraId="3A468A33">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8</w:t>
            </w:r>
          </w:p>
        </w:tc>
        <w:tc>
          <w:tcPr>
            <w:tcW w:w="1725" w:type="dxa"/>
            <w:vAlign w:val="center"/>
          </w:tcPr>
          <w:p w14:paraId="4DF1618E">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包装要求</w:t>
            </w:r>
          </w:p>
        </w:tc>
        <w:tc>
          <w:tcPr>
            <w:tcW w:w="6148" w:type="dxa"/>
          </w:tcPr>
          <w:p w14:paraId="68E91072">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1.中标人所出售的全部货物均应按标准保护措施进行包装，这类包装应适应于远距离运输、防潮、防震、防锈和防野蛮装卸等要求，以确保货物安全无损地运抵指定现场。</w:t>
            </w:r>
          </w:p>
          <w:p w14:paraId="150BADB9">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2.每一个包装箱内应附一份详细装箱单、质量证书和保修保养证书。</w:t>
            </w:r>
          </w:p>
        </w:tc>
      </w:tr>
      <w:tr w14:paraId="66243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014" w:type="dxa"/>
            <w:vAlign w:val="center"/>
          </w:tcPr>
          <w:p w14:paraId="4E734E96">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9</w:t>
            </w:r>
          </w:p>
        </w:tc>
        <w:tc>
          <w:tcPr>
            <w:tcW w:w="1725" w:type="dxa"/>
            <w:vAlign w:val="center"/>
          </w:tcPr>
          <w:p w14:paraId="2E12CBDE">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验收</w:t>
            </w:r>
          </w:p>
        </w:tc>
        <w:tc>
          <w:tcPr>
            <w:tcW w:w="6148" w:type="dxa"/>
          </w:tcPr>
          <w:p w14:paraId="4AB7D632">
            <w:pPr>
              <w:numPr>
                <w:ilvl w:val="2"/>
                <w:numId w:val="0"/>
              </w:num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1.符合国家标准、行业规范和合同等相关文件的要求。</w:t>
            </w:r>
          </w:p>
          <w:p w14:paraId="40420A74">
            <w:pPr>
              <w:numPr>
                <w:ilvl w:val="2"/>
                <w:numId w:val="0"/>
              </w:num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2.货物的数量不足或表面瑕疵采购人应在验收时当面提出，对质量问题之异议应在安装调试后七个工作日内提出。</w:t>
            </w:r>
          </w:p>
          <w:p w14:paraId="12A7991F">
            <w:pPr>
              <w:autoSpaceDE w:val="0"/>
              <w:autoSpaceDN w:val="0"/>
              <w:spacing w:line="360" w:lineRule="auto"/>
              <w:ind w:left="105" w:leftChars="50"/>
              <w:rPr>
                <w:rFonts w:ascii="新宋体" w:hAnsi="新宋体" w:eastAsia="新宋体" w:cs="新宋体"/>
                <w:color w:val="000000"/>
                <w:sz w:val="24"/>
                <w:szCs w:val="24"/>
              </w:rPr>
            </w:pPr>
            <w:r>
              <w:rPr>
                <w:rFonts w:hint="eastAsia" w:ascii="新宋体" w:hAnsi="新宋体" w:eastAsia="新宋体" w:cs="新宋体"/>
                <w:color w:val="000000"/>
                <w:sz w:val="24"/>
                <w:szCs w:val="24"/>
              </w:rPr>
              <w:t>3.货物送达指定地点后，采购人应在5个工作日内组织初步验收，对货物的数量、外观、规格型号、产品文件等进行查验。初步验收不合格的，采购人有权拒收，并不视为逾期验收。</w:t>
            </w:r>
          </w:p>
          <w:p w14:paraId="647B15D4">
            <w:pPr>
              <w:autoSpaceDE w:val="0"/>
              <w:autoSpaceDN w:val="0"/>
              <w:spacing w:line="360" w:lineRule="auto"/>
              <w:ind w:left="105" w:leftChars="50"/>
              <w:rPr>
                <w:rFonts w:ascii="新宋体" w:hAnsi="新宋体" w:eastAsia="新宋体" w:cs="新宋体"/>
                <w:color w:val="000000"/>
                <w:sz w:val="24"/>
                <w:szCs w:val="24"/>
              </w:rPr>
            </w:pPr>
            <w:r>
              <w:rPr>
                <w:rFonts w:hint="eastAsia" w:ascii="新宋体" w:hAnsi="新宋体" w:eastAsia="新宋体" w:cs="新宋体"/>
                <w:color w:val="000000"/>
                <w:sz w:val="24"/>
                <w:szCs w:val="24"/>
              </w:rPr>
              <w:t>初步验收合格后，中标人应在采购人配合下完成调试等工作，之后双方共同进行最终性能验收，以确认产品所有功能、性能指标均符合招标文件及合同要求。</w:t>
            </w:r>
          </w:p>
          <w:p w14:paraId="64B89643">
            <w:pPr>
              <w:autoSpaceDE w:val="0"/>
              <w:autoSpaceDN w:val="0"/>
              <w:spacing w:line="360" w:lineRule="auto"/>
              <w:ind w:left="105" w:leftChars="50"/>
              <w:rPr>
                <w:rFonts w:ascii="新宋体" w:hAnsi="新宋体" w:eastAsia="新宋体" w:cs="新宋体"/>
                <w:color w:val="000000"/>
                <w:sz w:val="24"/>
                <w:szCs w:val="24"/>
              </w:rPr>
            </w:pPr>
            <w:r>
              <w:rPr>
                <w:rFonts w:hint="eastAsia" w:ascii="新宋体" w:hAnsi="新宋体" w:eastAsia="新宋体" w:cs="新宋体"/>
                <w:color w:val="000000"/>
                <w:sz w:val="24"/>
                <w:szCs w:val="24"/>
              </w:rPr>
              <w:t>最终验收不合格的，采购人不予签发验收合格证明，并不予支付合同款项。中标人必须自最终验收不合格之日起15日内完成整改并重新提交验收，直至验收合格。重新验收期间，中标人仍应承担逾期交货的违约责任</w:t>
            </w:r>
          </w:p>
          <w:p w14:paraId="25EABE2E">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color w:val="000000"/>
                <w:sz w:val="24"/>
                <w:szCs w:val="24"/>
              </w:rPr>
              <w:t>4.对于大型或者复杂的政府采购项目应当由采购人邀请法定的质量检测机构参加验收，由其出具验收报告，该等验收所需时间不受前述验收期间约定的限制；参加验收的成员应当在验收书上签字，并承担相应的法律责任。</w:t>
            </w:r>
          </w:p>
        </w:tc>
      </w:tr>
      <w:tr w14:paraId="7E3C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Align w:val="center"/>
          </w:tcPr>
          <w:p w14:paraId="02620EAF">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10</w:t>
            </w:r>
          </w:p>
        </w:tc>
        <w:tc>
          <w:tcPr>
            <w:tcW w:w="1725" w:type="dxa"/>
            <w:vAlign w:val="center"/>
          </w:tcPr>
          <w:p w14:paraId="1BB34606">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伴随服务</w:t>
            </w:r>
          </w:p>
        </w:tc>
        <w:tc>
          <w:tcPr>
            <w:tcW w:w="6148" w:type="dxa"/>
          </w:tcPr>
          <w:p w14:paraId="6B5D41B8">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1.中标人应提交所提供货物的技术文件，应包括相应的中文技术文件，例如：产品目录、图纸、操作手册、使用说明、维护手册或服务指南。这些文件应包装好随同货物一起发运。</w:t>
            </w:r>
          </w:p>
          <w:p w14:paraId="3E8D7FA3">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2.中标人还应提供下列服务：</w:t>
            </w:r>
          </w:p>
          <w:p w14:paraId="7AEF0C2C">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（1）货物的现场安装、调试和启动监督；</w:t>
            </w:r>
          </w:p>
          <w:p w14:paraId="3D6540CB">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（2）提供货物首次使用耗材及组装和维修所需的专用工具和辅助材料；</w:t>
            </w:r>
          </w:p>
          <w:p w14:paraId="427C6FD0">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（3）在合同各方商定的一定期限内对所有的货物实施运行监督、 维修，但前提条件是该服务并不能免除中标人在质量保证期内所承担的义务；</w:t>
            </w:r>
          </w:p>
          <w:p w14:paraId="2E6536DC">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（4）在厂家或在项目现场就货物的安装、维护等对使用单位操作人员进行培训。</w:t>
            </w:r>
          </w:p>
          <w:p w14:paraId="0EF3F3B7">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3.伴随服务的费用应包含在合同价中，采购人不再另行支付。</w:t>
            </w:r>
          </w:p>
        </w:tc>
      </w:tr>
      <w:tr w14:paraId="4691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014" w:type="dxa"/>
            <w:vMerge w:val="restart"/>
            <w:vAlign w:val="center"/>
          </w:tcPr>
          <w:p w14:paraId="499B5EA9">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11</w:t>
            </w:r>
          </w:p>
        </w:tc>
        <w:tc>
          <w:tcPr>
            <w:tcW w:w="1725" w:type="dxa"/>
            <w:vMerge w:val="restart"/>
            <w:vAlign w:val="center"/>
          </w:tcPr>
          <w:p w14:paraId="3DCD8248">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质量保证</w:t>
            </w:r>
          </w:p>
        </w:tc>
        <w:tc>
          <w:tcPr>
            <w:tcW w:w="6148" w:type="dxa"/>
          </w:tcPr>
          <w:p w14:paraId="248B0F57">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中标人应保证所供货物是全新的、未使用过的，并完全符合合同规定的质量、规格和性能的要求。中标人应保证其货物在正确安装、正常使用和保养条件下，在其使用寿命期内应具有满意的性能。在货物最终交付验收后不少于合同规定的质量保证期内，中标人应对由于设计、功能、工艺或材料的缺陷而产生的故障负责。</w:t>
            </w:r>
          </w:p>
        </w:tc>
      </w:tr>
      <w:tr w14:paraId="7A763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14" w:type="dxa"/>
            <w:vMerge w:val="continue"/>
            <w:vAlign w:val="center"/>
          </w:tcPr>
          <w:p w14:paraId="1CE9A823">
            <w:pPr>
              <w:autoSpaceDE w:val="0"/>
              <w:autoSpaceDN w:val="0"/>
              <w:spacing w:line="360" w:lineRule="auto"/>
              <w:jc w:val="center"/>
              <w:rPr>
                <w:rFonts w:ascii="新宋体" w:hAnsi="新宋体" w:eastAsia="新宋体" w:cs="新宋体"/>
                <w:sz w:val="24"/>
                <w:szCs w:val="24"/>
              </w:rPr>
            </w:pPr>
          </w:p>
        </w:tc>
        <w:tc>
          <w:tcPr>
            <w:tcW w:w="1725" w:type="dxa"/>
            <w:vMerge w:val="continue"/>
            <w:vAlign w:val="center"/>
          </w:tcPr>
          <w:p w14:paraId="75FFD2D9">
            <w:pPr>
              <w:autoSpaceDE w:val="0"/>
              <w:autoSpaceDN w:val="0"/>
              <w:spacing w:line="360" w:lineRule="auto"/>
              <w:jc w:val="center"/>
              <w:rPr>
                <w:rFonts w:ascii="新宋体" w:hAnsi="新宋体" w:eastAsia="新宋体" w:cs="新宋体"/>
                <w:sz w:val="24"/>
                <w:szCs w:val="24"/>
              </w:rPr>
            </w:pPr>
          </w:p>
        </w:tc>
        <w:tc>
          <w:tcPr>
            <w:tcW w:w="6148" w:type="dxa"/>
          </w:tcPr>
          <w:p w14:paraId="4AC5C596">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2.在质量保证期内，如果货物的质量或规格与合同不符，或证实货物是有缺陷的，包括潜在的缺陷或使用不符合要求的材料等，采购人根据本合同规定以书面形式向中标人提出补救措 施或索赔。</w:t>
            </w:r>
          </w:p>
          <w:p w14:paraId="1E219177">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3.中标人在约定的时间内未能弥补缺陷，采购人可采取必要的补救措施，但其风险和费用将由中标人承担，采购人根据合同规定对中标人行使的其他权利不受影响。</w:t>
            </w:r>
          </w:p>
        </w:tc>
      </w:tr>
      <w:tr w14:paraId="0438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4" w:type="dxa"/>
            <w:vAlign w:val="center"/>
          </w:tcPr>
          <w:p w14:paraId="5045AAFA">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12</w:t>
            </w:r>
          </w:p>
        </w:tc>
        <w:tc>
          <w:tcPr>
            <w:tcW w:w="1725" w:type="dxa"/>
            <w:vAlign w:val="center"/>
          </w:tcPr>
          <w:p w14:paraId="5564D915">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售后服务</w:t>
            </w:r>
          </w:p>
        </w:tc>
        <w:tc>
          <w:tcPr>
            <w:tcW w:w="6148" w:type="dxa"/>
          </w:tcPr>
          <w:p w14:paraId="75D51476">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1.必须对提供的产品按照国家标准或者生产厂家的保修规定进行质保，享受“三包”服务；</w:t>
            </w:r>
          </w:p>
          <w:p w14:paraId="6F372241">
            <w:pPr>
              <w:autoSpaceDE w:val="0"/>
              <w:autoSpaceDN w:val="0"/>
              <w:spacing w:line="360" w:lineRule="auto"/>
              <w:ind w:left="105" w:leftChars="50"/>
              <w:rPr>
                <w:rFonts w:ascii="新宋体" w:hAnsi="新宋体" w:eastAsia="新宋体" w:cs="新宋体"/>
                <w:color w:val="000000"/>
                <w:sz w:val="24"/>
                <w:szCs w:val="24"/>
              </w:rPr>
            </w:pPr>
            <w:r>
              <w:rPr>
                <w:rFonts w:hint="eastAsia" w:ascii="新宋体" w:hAnsi="新宋体" w:eastAsia="新宋体" w:cs="新宋体"/>
                <w:sz w:val="24"/>
                <w:szCs w:val="24"/>
              </w:rPr>
              <w:t>2.在质量保证期内，实行免费上门服务。接到用户故障通知后，应在</w:t>
            </w:r>
            <w:r>
              <w:rPr>
                <w:rFonts w:hint="eastAsia" w:ascii="新宋体" w:hAnsi="新宋体" w:eastAsia="新宋体" w:cs="新宋体"/>
                <w:color w:val="0000FF"/>
                <w:sz w:val="24"/>
                <w:szCs w:val="24"/>
              </w:rPr>
              <w:t>1</w:t>
            </w:r>
            <w:r>
              <w:rPr>
                <w:rFonts w:hint="eastAsia" w:ascii="新宋体" w:hAnsi="新宋体" w:eastAsia="新宋体" w:cs="新宋体"/>
                <w:sz w:val="24"/>
                <w:szCs w:val="24"/>
              </w:rPr>
              <w:t>小时</w:t>
            </w:r>
            <w:r>
              <w:rPr>
                <w:rFonts w:hint="eastAsia" w:ascii="新宋体" w:hAnsi="新宋体" w:eastAsia="新宋体" w:cs="新宋体"/>
                <w:color w:val="000000"/>
                <w:sz w:val="24"/>
                <w:szCs w:val="24"/>
              </w:rPr>
              <w:t>内做出实质性响应，并保证在2小时内到达现场排除故障；若现场无法排除故障，则由</w:t>
            </w:r>
            <w:r>
              <w:rPr>
                <w:rFonts w:hint="eastAsia" w:ascii="新宋体" w:hAnsi="新宋体" w:eastAsia="新宋体" w:cs="新宋体"/>
                <w:color w:val="000000"/>
                <w:sz w:val="24"/>
                <w:szCs w:val="24"/>
                <w:shd w:val="clear" w:color="auto" w:fill="FFFFFF"/>
              </w:rPr>
              <w:t>中标</w:t>
            </w:r>
            <w:r>
              <w:rPr>
                <w:rFonts w:hint="eastAsia" w:ascii="新宋体" w:hAnsi="新宋体" w:eastAsia="新宋体" w:cs="新宋体"/>
                <w:color w:val="000000"/>
                <w:sz w:val="24"/>
                <w:szCs w:val="24"/>
              </w:rPr>
              <w:t>投标人将问题装备运送至售后服务网点</w:t>
            </w:r>
            <w:r>
              <w:rPr>
                <w:rFonts w:hint="eastAsia" w:ascii="新宋体" w:hAnsi="新宋体" w:eastAsia="新宋体" w:cs="新宋体"/>
                <w:color w:val="000000"/>
                <w:sz w:val="24"/>
                <w:szCs w:val="24"/>
                <w:shd w:val="clear" w:color="auto" w:fill="FFFFFF"/>
              </w:rPr>
              <w:t>72小时内</w:t>
            </w:r>
            <w:r>
              <w:rPr>
                <w:rFonts w:hint="eastAsia" w:ascii="新宋体" w:hAnsi="新宋体" w:eastAsia="新宋体" w:cs="新宋体"/>
                <w:color w:val="000000"/>
                <w:sz w:val="24"/>
                <w:szCs w:val="24"/>
              </w:rPr>
              <w:t>解决故障。因产品质量问题所造成损坏或者不能正常工作时，应负责免费维修或免费更换零部件；</w:t>
            </w:r>
            <w:r>
              <w:rPr>
                <w:rFonts w:hint="eastAsia" w:ascii="新宋体" w:hAnsi="新宋体" w:eastAsia="新宋体" w:cs="新宋体"/>
                <w:color w:val="000000"/>
                <w:sz w:val="24"/>
                <w:szCs w:val="24"/>
                <w:shd w:val="clear" w:color="auto" w:fill="FFFFFF"/>
              </w:rPr>
              <w:t>若中标投标人未能在规定时间内完成修复或更换，采购人有权自行或委托第三方进行修复或更换，相关费用由中标人承担，且采购人有权要求中标投标人支付合同价款5%的违约金。</w:t>
            </w:r>
          </w:p>
          <w:p w14:paraId="2624EB2A">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color w:val="000000"/>
                <w:sz w:val="24"/>
                <w:szCs w:val="24"/>
              </w:rPr>
              <w:t>3.长期免费提供技术咨询</w:t>
            </w:r>
            <w:r>
              <w:rPr>
                <w:rFonts w:hint="eastAsia" w:ascii="宋体" w:hAnsi="宋体" w:cs="@仿宋_GB2312"/>
                <w:bCs/>
              </w:rPr>
              <w:t>包括但不限于现场服务、电话、邮件、信函等方式</w:t>
            </w:r>
            <w:r>
              <w:rPr>
                <w:rFonts w:hint="eastAsia" w:ascii="新宋体" w:hAnsi="新宋体" w:eastAsia="新宋体" w:cs="新宋体"/>
                <w:sz w:val="24"/>
                <w:szCs w:val="24"/>
              </w:rPr>
              <w:t>；</w:t>
            </w:r>
          </w:p>
          <w:p w14:paraId="18221E91">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4.提供产品质量承诺、供货质量承诺及违约责任赔偿措施。承诺及措施具备合理性、可行性。</w:t>
            </w:r>
          </w:p>
        </w:tc>
      </w:tr>
      <w:tr w14:paraId="1D3C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4" w:type="dxa"/>
            <w:vAlign w:val="center"/>
          </w:tcPr>
          <w:p w14:paraId="7E8A8787">
            <w:pPr>
              <w:autoSpaceDE w:val="0"/>
              <w:autoSpaceDN w:val="0"/>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13</w:t>
            </w:r>
          </w:p>
        </w:tc>
        <w:tc>
          <w:tcPr>
            <w:tcW w:w="1725" w:type="dxa"/>
            <w:vAlign w:val="center"/>
          </w:tcPr>
          <w:p w14:paraId="3308BD95">
            <w:pPr>
              <w:autoSpaceDE w:val="0"/>
              <w:autoSpaceDN w:val="0"/>
              <w:spacing w:line="360" w:lineRule="auto"/>
              <w:jc w:val="center"/>
              <w:rPr>
                <w:rFonts w:ascii="新宋体" w:hAnsi="新宋体" w:eastAsia="新宋体" w:cs="新宋体"/>
                <w:sz w:val="24"/>
                <w:szCs w:val="24"/>
                <w:lang w:eastAsia="en-US"/>
              </w:rPr>
            </w:pPr>
            <w:r>
              <w:rPr>
                <w:rFonts w:hint="eastAsia" w:ascii="新宋体" w:hAnsi="新宋体" w:eastAsia="新宋体" w:cs="新宋体"/>
                <w:sz w:val="24"/>
                <w:szCs w:val="24"/>
                <w:lang w:eastAsia="en-US"/>
              </w:rPr>
              <w:t>其他要求</w:t>
            </w:r>
          </w:p>
        </w:tc>
        <w:tc>
          <w:tcPr>
            <w:tcW w:w="6148" w:type="dxa"/>
          </w:tcPr>
          <w:p w14:paraId="16CF4FE9">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1.投标人须保证所有货物于交货期前完成制造、安装、验收并交付使用。</w:t>
            </w:r>
          </w:p>
          <w:p w14:paraId="0E6A5062">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2.投标人根据供货期要求，参照以下内容做出履行合同内容各阶段的时间安排。</w:t>
            </w:r>
          </w:p>
          <w:p w14:paraId="04C5220F">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（1）合同的签订</w:t>
            </w:r>
          </w:p>
          <w:p w14:paraId="6D5AABC7">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（2）货物制造和供应</w:t>
            </w:r>
          </w:p>
          <w:p w14:paraId="39027CD1">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（3）货物交付</w:t>
            </w:r>
          </w:p>
          <w:p w14:paraId="4C895DA5">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（4）货物验收</w:t>
            </w:r>
          </w:p>
          <w:p w14:paraId="3EA985A9">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3.中标人违约承担违约责任。所有中标产品均需按照招标文件指标要求进行检查核对后方可进行报验，不满足招标文件指标要求的产品，采购人有权不对其进行验收；同时采购人有权对中标人不满足要求的产品进行双倍罚款或取消合同。</w:t>
            </w:r>
          </w:p>
          <w:p w14:paraId="3C6BD79D">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4.若因中标人未按合同约定的时间交付货物或完成服务的，每逾期一日，应向采购人支付相当于合同总价款千分之一（0.1%）的违约金。逾期超过15日的，采购人有权单方解除合同，中标人除需返还采购人已支付款项外，还应向采购人支付合同总价款15%的违约金，并赔偿采购人由此遭受的全部损失。</w:t>
            </w:r>
          </w:p>
          <w:p w14:paraId="3C953325">
            <w:pPr>
              <w:autoSpaceDE w:val="0"/>
              <w:autoSpaceDN w:val="0"/>
              <w:spacing w:line="360" w:lineRule="auto"/>
              <w:ind w:left="105" w:leftChars="50"/>
              <w:rPr>
                <w:rFonts w:ascii="新宋体" w:hAnsi="新宋体" w:eastAsia="新宋体" w:cs="新宋体"/>
                <w:sz w:val="24"/>
                <w:szCs w:val="24"/>
              </w:rPr>
            </w:pPr>
            <w:r>
              <w:rPr>
                <w:rFonts w:hint="eastAsia" w:ascii="新宋体" w:hAnsi="新宋体" w:eastAsia="新宋体" w:cs="新宋体"/>
                <w:sz w:val="24"/>
                <w:szCs w:val="24"/>
              </w:rPr>
              <w:t>5.因中标人提供的货物质量不符合合同约定或国家、行业强制性标准的，采购人有权选择要求中标人在7日内无条件退换，并由中标人向采购人支付合同价款15%的违约金及产生的一切费用和损失，中标人未能在上述期限内完成退换并验收合格的，采购人有权单方解除合同，并要求中标人承担上述逾期交货及解除合同的违约责任。</w:t>
            </w:r>
          </w:p>
        </w:tc>
      </w:tr>
    </w:tbl>
    <w:p w14:paraId="5C537812">
      <w:pPr>
        <w:spacing w:line="360" w:lineRule="auto"/>
        <w:rPr>
          <w:rFonts w:ascii="新宋体" w:hAnsi="新宋体" w:eastAsia="新宋体" w:cs="新宋体"/>
          <w:b/>
          <w:bCs/>
          <w:spacing w:val="5"/>
          <w:sz w:val="28"/>
          <w:szCs w:val="28"/>
        </w:rPr>
      </w:pPr>
      <w:bookmarkStart w:id="25" w:name="_Hlk145934353"/>
      <w:r>
        <w:rPr>
          <w:rFonts w:hint="eastAsia" w:ascii="新宋体" w:hAnsi="新宋体" w:eastAsia="新宋体" w:cs="新宋体"/>
          <w:b/>
          <w:bCs/>
          <w:spacing w:val="5"/>
          <w:sz w:val="28"/>
          <w:szCs w:val="28"/>
        </w:rPr>
        <w:t>六、评审要素</w:t>
      </w:r>
    </w:p>
    <w:tbl>
      <w:tblPr>
        <w:tblStyle w:val="8"/>
        <w:tblW w:w="8912"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776"/>
        <w:gridCol w:w="5124"/>
      </w:tblGrid>
      <w:tr w14:paraId="4750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vAlign w:val="center"/>
          </w:tcPr>
          <w:p w14:paraId="348499CE">
            <w:pPr>
              <w:spacing w:line="360" w:lineRule="auto"/>
              <w:jc w:val="center"/>
              <w:rPr>
                <w:rFonts w:ascii="新宋体" w:hAnsi="新宋体" w:eastAsia="新宋体" w:cs="新宋体"/>
                <w:b/>
                <w:bCs/>
                <w:sz w:val="24"/>
                <w:szCs w:val="24"/>
              </w:rPr>
            </w:pPr>
            <w:r>
              <w:rPr>
                <w:rFonts w:hint="eastAsia" w:ascii="新宋体" w:hAnsi="新宋体" w:eastAsia="新宋体" w:cs="新宋体"/>
                <w:b/>
                <w:bCs/>
                <w:sz w:val="24"/>
                <w:szCs w:val="24"/>
              </w:rPr>
              <w:t>分项</w:t>
            </w:r>
          </w:p>
        </w:tc>
        <w:tc>
          <w:tcPr>
            <w:tcW w:w="2776" w:type="dxa"/>
            <w:vAlign w:val="center"/>
          </w:tcPr>
          <w:p w14:paraId="0FE5E1AA">
            <w:pPr>
              <w:spacing w:line="360" w:lineRule="auto"/>
              <w:jc w:val="center"/>
              <w:rPr>
                <w:rFonts w:ascii="新宋体" w:hAnsi="新宋体" w:eastAsia="新宋体" w:cs="新宋体"/>
                <w:b/>
                <w:bCs/>
                <w:sz w:val="24"/>
                <w:szCs w:val="24"/>
              </w:rPr>
            </w:pPr>
            <w:r>
              <w:rPr>
                <w:rFonts w:hint="eastAsia" w:ascii="新宋体" w:hAnsi="新宋体" w:eastAsia="新宋体" w:cs="新宋体"/>
                <w:b/>
                <w:bCs/>
                <w:sz w:val="24"/>
                <w:szCs w:val="24"/>
              </w:rPr>
              <w:t>分项</w:t>
            </w:r>
          </w:p>
        </w:tc>
        <w:tc>
          <w:tcPr>
            <w:tcW w:w="5124" w:type="dxa"/>
            <w:vAlign w:val="center"/>
          </w:tcPr>
          <w:p w14:paraId="51600AF3">
            <w:pPr>
              <w:spacing w:line="360" w:lineRule="auto"/>
              <w:jc w:val="center"/>
              <w:rPr>
                <w:rFonts w:ascii="新宋体" w:hAnsi="新宋体" w:eastAsia="新宋体" w:cs="新宋体"/>
                <w:b/>
                <w:bCs/>
                <w:sz w:val="24"/>
                <w:szCs w:val="24"/>
              </w:rPr>
            </w:pPr>
            <w:r>
              <w:rPr>
                <w:rFonts w:hint="eastAsia" w:ascii="新宋体" w:hAnsi="新宋体" w:eastAsia="新宋体" w:cs="新宋体"/>
                <w:b/>
                <w:bCs/>
                <w:sz w:val="24"/>
                <w:szCs w:val="24"/>
              </w:rPr>
              <w:t>内容</w:t>
            </w:r>
          </w:p>
        </w:tc>
      </w:tr>
      <w:tr w14:paraId="7275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12" w:type="dxa"/>
            <w:vMerge w:val="restart"/>
            <w:vAlign w:val="center"/>
          </w:tcPr>
          <w:p w14:paraId="14BECEE7">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技术部分</w:t>
            </w:r>
          </w:p>
        </w:tc>
        <w:tc>
          <w:tcPr>
            <w:tcW w:w="2776" w:type="dxa"/>
            <w:vAlign w:val="center"/>
          </w:tcPr>
          <w:p w14:paraId="0D7047B7">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技术参数响应程度</w:t>
            </w:r>
          </w:p>
        </w:tc>
        <w:tc>
          <w:tcPr>
            <w:tcW w:w="5124" w:type="dxa"/>
            <w:vAlign w:val="center"/>
          </w:tcPr>
          <w:p w14:paraId="75E4C145">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根据所投产品技术参数响应满足采购文件《第三章采购需求》采购货物技术参数要求情况进行评分</w:t>
            </w:r>
          </w:p>
          <w:p w14:paraId="55786FC0">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1.带“▲”项参数为重要指标。</w:t>
            </w:r>
          </w:p>
          <w:p w14:paraId="6E2B825C">
            <w:pPr>
              <w:pStyle w:val="2"/>
              <w:spacing w:line="360" w:lineRule="auto"/>
              <w:rPr>
                <w:rFonts w:ascii="新宋体" w:hAnsi="新宋体" w:eastAsia="新宋体" w:cs="新宋体"/>
                <w:b/>
                <w:bCs/>
                <w:color w:val="000000"/>
                <w:sz w:val="24"/>
              </w:rPr>
            </w:pPr>
            <w:r>
              <w:rPr>
                <w:rFonts w:hint="eastAsia" w:ascii="新宋体" w:hAnsi="新宋体" w:eastAsia="新宋体" w:cs="新宋体"/>
                <w:b/>
                <w:bCs/>
                <w:color w:val="000000"/>
                <w:sz w:val="24"/>
              </w:rPr>
              <w:t>注：投标人按采购文件</w:t>
            </w:r>
            <w:r>
              <w:rPr>
                <w:rFonts w:hint="eastAsia" w:ascii="新宋体" w:hAnsi="新宋体" w:eastAsia="新宋体" w:cs="新宋体"/>
                <w:b/>
                <w:bCs/>
                <w:sz w:val="24"/>
              </w:rPr>
              <w:t>采购货物技术参数要求</w:t>
            </w:r>
            <w:r>
              <w:rPr>
                <w:rFonts w:hint="eastAsia" w:ascii="新宋体" w:hAnsi="新宋体" w:eastAsia="新宋体" w:cs="新宋体"/>
                <w:b/>
                <w:bCs/>
                <w:color w:val="000000"/>
                <w:sz w:val="24"/>
              </w:rPr>
              <w:t>填写“采购需求响应、偏离说明表”需对项目中</w:t>
            </w:r>
            <w:r>
              <w:rPr>
                <w:rFonts w:hint="eastAsia" w:ascii="新宋体" w:hAnsi="新宋体" w:eastAsia="新宋体" w:cs="新宋体"/>
                <w:b/>
                <w:bCs/>
                <w:sz w:val="24"/>
              </w:rPr>
              <w:t>带“▲”项</w:t>
            </w:r>
            <w:r>
              <w:rPr>
                <w:rFonts w:hint="eastAsia" w:ascii="新宋体" w:hAnsi="新宋体" w:eastAsia="新宋体" w:cs="新宋体"/>
                <w:b/>
                <w:bCs/>
                <w:color w:val="000000"/>
                <w:sz w:val="24"/>
              </w:rPr>
              <w:t>设备技术参数逐条做出响应，并提供相应证明材料。</w:t>
            </w:r>
            <w:r>
              <w:rPr>
                <w:rFonts w:hint="eastAsia" w:ascii="新宋体" w:hAnsi="新宋体" w:eastAsia="新宋体" w:cs="新宋体"/>
                <w:b/>
                <w:bCs/>
                <w:sz w:val="24"/>
              </w:rPr>
              <w:t>若未能提供有效的技术证明资料或技术证明资料有缺项，该项或单项视同负偏离处理。</w:t>
            </w:r>
            <w:r>
              <w:rPr>
                <w:rFonts w:hint="eastAsia" w:ascii="新宋体" w:hAnsi="新宋体" w:eastAsia="新宋体" w:cs="新宋体"/>
                <w:b/>
                <w:bCs/>
                <w:color w:val="000000"/>
                <w:sz w:val="24"/>
              </w:rPr>
              <w:t>技术资料证明：提供产品第三方检验检测机构出具的有效检测报告（同时需满足“采购货物技术参数需求”中的相关规定）。</w:t>
            </w:r>
          </w:p>
          <w:p w14:paraId="7C282B4B">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非“▲”项参数为一般指标；</w:t>
            </w:r>
          </w:p>
          <w:p w14:paraId="5757B76C">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注：投标人按采购文件采购货物技术参数要求填写“采购需求响应、偏离说明表”并对项目中一般指标（即：非“▲”项）设备技术参数逐条做出响应，所投产品全部满足采购文件并提供承诺函（承诺函见招标文件第七章）。</w:t>
            </w:r>
          </w:p>
          <w:p w14:paraId="7EC2DAA6">
            <w:pPr>
              <w:pStyle w:val="2"/>
              <w:spacing w:line="360" w:lineRule="auto"/>
              <w:rPr>
                <w:rFonts w:ascii="新宋体" w:hAnsi="新宋体" w:eastAsia="新宋体" w:cs="新宋体"/>
                <w:b/>
                <w:bCs/>
                <w:color w:val="000000"/>
                <w:sz w:val="24"/>
              </w:rPr>
            </w:pPr>
            <w:r>
              <w:rPr>
                <w:rFonts w:hint="eastAsia" w:ascii="新宋体" w:hAnsi="新宋体" w:eastAsia="新宋体" w:cs="新宋体"/>
                <w:b/>
                <w:bCs/>
                <w:color w:val="000000"/>
                <w:sz w:val="24"/>
              </w:rPr>
              <w:t>注：投标人按采购文件</w:t>
            </w:r>
            <w:r>
              <w:rPr>
                <w:rFonts w:hint="eastAsia" w:ascii="新宋体" w:hAnsi="新宋体" w:eastAsia="新宋体" w:cs="新宋体"/>
                <w:b/>
                <w:bCs/>
                <w:sz w:val="24"/>
              </w:rPr>
              <w:t>采购货物技术参数要求</w:t>
            </w:r>
            <w:r>
              <w:rPr>
                <w:rFonts w:hint="eastAsia" w:ascii="新宋体" w:hAnsi="新宋体" w:eastAsia="新宋体" w:cs="新宋体"/>
                <w:b/>
                <w:bCs/>
                <w:color w:val="000000"/>
                <w:sz w:val="24"/>
              </w:rPr>
              <w:t>填写“采购需求响应、偏离说明表”需对项目中非“▲”项参数项设备技术参数逐条做出响应，并提供相应证明材料。</w:t>
            </w:r>
            <w:r>
              <w:rPr>
                <w:rFonts w:hint="eastAsia" w:ascii="新宋体" w:hAnsi="新宋体" w:eastAsia="新宋体" w:cs="新宋体"/>
                <w:b/>
                <w:bCs/>
                <w:sz w:val="24"/>
              </w:rPr>
              <w:t>若未能提供有效的技术证明资料或技术证明资料有缺项，该项或单项视同负偏离处理。</w:t>
            </w:r>
            <w:r>
              <w:rPr>
                <w:rFonts w:hint="eastAsia" w:ascii="新宋体" w:hAnsi="新宋体" w:eastAsia="新宋体" w:cs="新宋体"/>
                <w:b/>
                <w:bCs/>
                <w:color w:val="000000"/>
                <w:sz w:val="24"/>
              </w:rPr>
              <w:t>技术资料证明包括但不限于：产品第三方检测机构出具的检测报告 或 制造商公开发布的印刷资料 或 制造商官方网站截图（截图须附网站链接）作支持 或 其他对检测内容关键技术能够印证重要技术指标证明资料等。</w:t>
            </w:r>
          </w:p>
          <w:p w14:paraId="1091D521">
            <w:pPr>
              <w:pStyle w:val="2"/>
              <w:spacing w:line="360" w:lineRule="auto"/>
              <w:rPr>
                <w:rFonts w:ascii="新宋体" w:hAnsi="新宋体" w:eastAsia="新宋体" w:cs="新宋体"/>
                <w:sz w:val="24"/>
              </w:rPr>
            </w:pPr>
            <w:r>
              <w:rPr>
                <w:rFonts w:hint="eastAsia" w:ascii="新宋体" w:hAnsi="新宋体" w:eastAsia="新宋体" w:cs="新宋体"/>
                <w:b/>
                <w:bCs/>
                <w:color w:val="000000"/>
                <w:sz w:val="24"/>
              </w:rPr>
              <w:t>注：投标人请提供清晰可见的扫描件或复印件并能对应指标项。</w:t>
            </w:r>
          </w:p>
        </w:tc>
      </w:tr>
      <w:tr w14:paraId="622A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vMerge w:val="continue"/>
            <w:vAlign w:val="center"/>
          </w:tcPr>
          <w:p w14:paraId="423B49D8">
            <w:pPr>
              <w:spacing w:line="360" w:lineRule="auto"/>
              <w:jc w:val="center"/>
              <w:rPr>
                <w:rFonts w:ascii="新宋体" w:hAnsi="新宋体" w:eastAsia="新宋体" w:cs="新宋体"/>
                <w:sz w:val="24"/>
                <w:szCs w:val="24"/>
              </w:rPr>
            </w:pPr>
          </w:p>
        </w:tc>
        <w:tc>
          <w:tcPr>
            <w:tcW w:w="2776" w:type="dxa"/>
            <w:vAlign w:val="center"/>
          </w:tcPr>
          <w:p w14:paraId="2712ABA9">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实施方案</w:t>
            </w:r>
          </w:p>
        </w:tc>
        <w:tc>
          <w:tcPr>
            <w:tcW w:w="5124" w:type="dxa"/>
            <w:vAlign w:val="center"/>
          </w:tcPr>
          <w:p w14:paraId="7A8303F4">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根据投标人提供的实施方案进行评分，方案包括但不限于：</w:t>
            </w:r>
          </w:p>
          <w:p w14:paraId="6192A294">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（1）交货方案和项目交付时间、进度计划；</w:t>
            </w:r>
          </w:p>
          <w:p w14:paraId="282C4602">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（2）设备安装、调试、验收方案。</w:t>
            </w:r>
          </w:p>
        </w:tc>
      </w:tr>
      <w:tr w14:paraId="07A0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vMerge w:val="continue"/>
            <w:vAlign w:val="center"/>
          </w:tcPr>
          <w:p w14:paraId="1A914627">
            <w:pPr>
              <w:spacing w:line="360" w:lineRule="auto"/>
              <w:jc w:val="center"/>
              <w:rPr>
                <w:rFonts w:ascii="新宋体" w:hAnsi="新宋体" w:eastAsia="新宋体" w:cs="新宋体"/>
                <w:sz w:val="24"/>
                <w:szCs w:val="24"/>
              </w:rPr>
            </w:pPr>
          </w:p>
        </w:tc>
        <w:tc>
          <w:tcPr>
            <w:tcW w:w="2776" w:type="dxa"/>
            <w:vAlign w:val="center"/>
          </w:tcPr>
          <w:p w14:paraId="09440637">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质量保障方案</w:t>
            </w:r>
          </w:p>
        </w:tc>
        <w:tc>
          <w:tcPr>
            <w:tcW w:w="5124" w:type="dxa"/>
            <w:vAlign w:val="center"/>
          </w:tcPr>
          <w:p w14:paraId="45157668">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根据投标人提供的质量保障方案进行评分，方案包括但不限于：</w:t>
            </w:r>
          </w:p>
          <w:p w14:paraId="48C10A6A">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（1）保证获取渠道正规，产品符合国家行业要求；</w:t>
            </w:r>
          </w:p>
          <w:p w14:paraId="104D70BC">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（2）质量保障措施、问题解决方案，具有相关赔付计划。</w:t>
            </w:r>
          </w:p>
        </w:tc>
      </w:tr>
      <w:tr w14:paraId="20BB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2" w:type="dxa"/>
            <w:vMerge w:val="continue"/>
            <w:vAlign w:val="center"/>
          </w:tcPr>
          <w:p w14:paraId="502D7040">
            <w:pPr>
              <w:spacing w:line="360" w:lineRule="auto"/>
              <w:jc w:val="center"/>
              <w:rPr>
                <w:rFonts w:ascii="新宋体" w:hAnsi="新宋体" w:eastAsia="新宋体" w:cs="新宋体"/>
                <w:sz w:val="24"/>
                <w:szCs w:val="24"/>
              </w:rPr>
            </w:pPr>
          </w:p>
        </w:tc>
        <w:tc>
          <w:tcPr>
            <w:tcW w:w="2776" w:type="dxa"/>
            <w:vAlign w:val="center"/>
          </w:tcPr>
          <w:p w14:paraId="4E175009">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售后服务</w:t>
            </w:r>
          </w:p>
        </w:tc>
        <w:tc>
          <w:tcPr>
            <w:tcW w:w="5124" w:type="dxa"/>
            <w:vAlign w:val="center"/>
          </w:tcPr>
          <w:p w14:paraId="3B02E755">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根据投标人提供的售后服务方案进行评分，方案包括但不限于：</w:t>
            </w:r>
          </w:p>
          <w:p w14:paraId="2D29EA42">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（1）售后服务维护方式及应急情况处理、服务响应时间等方案；</w:t>
            </w:r>
          </w:p>
          <w:p w14:paraId="5240EB1F">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（2）常规问题解决方案；</w:t>
            </w:r>
          </w:p>
          <w:p w14:paraId="766DBA9E">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（3）售后服务专业技术人员技术保障；</w:t>
            </w:r>
          </w:p>
          <w:p w14:paraId="2E8EF673">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（4）装备备品备件的供应；</w:t>
            </w:r>
          </w:p>
          <w:p w14:paraId="3A5F7875">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（5）定期装备保养调试方案；</w:t>
            </w:r>
          </w:p>
        </w:tc>
      </w:tr>
      <w:tr w14:paraId="5831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vMerge w:val="restart"/>
            <w:vAlign w:val="center"/>
          </w:tcPr>
          <w:p w14:paraId="3B3A7E6A">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商务部分</w:t>
            </w:r>
          </w:p>
        </w:tc>
        <w:tc>
          <w:tcPr>
            <w:tcW w:w="2776" w:type="dxa"/>
            <w:vAlign w:val="center"/>
          </w:tcPr>
          <w:p w14:paraId="3CEF5E03">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类似业绩</w:t>
            </w:r>
          </w:p>
        </w:tc>
        <w:tc>
          <w:tcPr>
            <w:tcW w:w="5124" w:type="dxa"/>
            <w:vAlign w:val="center"/>
          </w:tcPr>
          <w:p w14:paraId="537C3C85">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投标人提供2022年11月至今类似项目业绩。</w:t>
            </w:r>
          </w:p>
        </w:tc>
      </w:tr>
      <w:tr w14:paraId="62DB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12" w:type="dxa"/>
            <w:vMerge w:val="continue"/>
            <w:vAlign w:val="center"/>
          </w:tcPr>
          <w:p w14:paraId="663CF6A9">
            <w:pPr>
              <w:spacing w:line="360" w:lineRule="auto"/>
              <w:jc w:val="center"/>
              <w:rPr>
                <w:rFonts w:ascii="新宋体" w:hAnsi="新宋体" w:eastAsia="新宋体" w:cs="新宋体"/>
                <w:sz w:val="24"/>
                <w:szCs w:val="24"/>
              </w:rPr>
            </w:pPr>
          </w:p>
        </w:tc>
        <w:tc>
          <w:tcPr>
            <w:tcW w:w="2776" w:type="dxa"/>
            <w:vAlign w:val="center"/>
          </w:tcPr>
          <w:p w14:paraId="0FA23C9E">
            <w:pPr>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企业实力</w:t>
            </w:r>
          </w:p>
        </w:tc>
        <w:tc>
          <w:tcPr>
            <w:tcW w:w="5124" w:type="dxa"/>
            <w:vAlign w:val="center"/>
          </w:tcPr>
          <w:p w14:paraId="590624B5">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投标人具备有效期内的以下证书：</w:t>
            </w:r>
          </w:p>
          <w:p w14:paraId="34F53579">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1.质量管理体系认证；</w:t>
            </w:r>
          </w:p>
          <w:p w14:paraId="7929715A">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2.环境管理体系认证；</w:t>
            </w:r>
          </w:p>
          <w:p w14:paraId="6E5C931D">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3.职业健康与安全管理体系认证。</w:t>
            </w:r>
          </w:p>
        </w:tc>
      </w:tr>
      <w:bookmarkEnd w:id="25"/>
    </w:tbl>
    <w:p w14:paraId="74A1EDE3">
      <w:r>
        <w:rPr>
          <w:rFonts w:hint="eastAsia"/>
        </w:rPr>
        <w:br w:type="page"/>
      </w:r>
    </w:p>
    <w:p w14:paraId="3EFF16E4">
      <w:pPr>
        <w:spacing w:line="360" w:lineRule="auto"/>
        <w:jc w:val="center"/>
        <w:rPr>
          <w:rFonts w:ascii="新宋体" w:hAnsi="新宋体" w:eastAsia="新宋体" w:cs="新宋体"/>
          <w:b/>
          <w:bCs/>
          <w:sz w:val="28"/>
          <w:szCs w:val="28"/>
        </w:rPr>
      </w:pPr>
      <w:bookmarkStart w:id="26" w:name="_Toc4973"/>
      <w:r>
        <w:rPr>
          <w:rFonts w:hint="eastAsia" w:ascii="新宋体" w:hAnsi="新宋体" w:eastAsia="新宋体" w:cs="新宋体"/>
          <w:b/>
          <w:bCs/>
          <w:sz w:val="28"/>
          <w:szCs w:val="28"/>
        </w:rPr>
        <w:t>第三部分 评标方法及评分标准</w:t>
      </w:r>
      <w:bookmarkEnd w:id="26"/>
    </w:p>
    <w:p w14:paraId="6F3FBB88">
      <w:pPr>
        <w:widowControl/>
        <w:spacing w:line="360" w:lineRule="auto"/>
        <w:jc w:val="left"/>
        <w:rPr>
          <w:rFonts w:ascii="新宋体" w:hAnsi="新宋体" w:eastAsia="新宋体" w:cs="新宋体"/>
          <w:b/>
          <w:sz w:val="24"/>
          <w:szCs w:val="24"/>
          <w:lang w:bidi="ar"/>
        </w:rPr>
      </w:pPr>
      <w:bookmarkStart w:id="27" w:name="_Toc1458938"/>
      <w:r>
        <w:rPr>
          <w:rFonts w:hint="eastAsia" w:ascii="新宋体" w:hAnsi="新宋体" w:eastAsia="新宋体" w:cs="新宋体"/>
          <w:b/>
          <w:sz w:val="24"/>
          <w:szCs w:val="24"/>
          <w:lang w:bidi="ar"/>
        </w:rPr>
        <w:t>一、评标方法</w:t>
      </w:r>
      <w:bookmarkEnd w:id="27"/>
    </w:p>
    <w:p w14:paraId="43297436">
      <w:pPr>
        <w:widowControl/>
        <w:spacing w:line="560" w:lineRule="exact"/>
        <w:ind w:firstLine="480" w:firstLineChars="200"/>
        <w:jc w:val="left"/>
        <w:rPr>
          <w:rFonts w:ascii="新宋体" w:hAnsi="新宋体" w:eastAsia="新宋体" w:cs="新宋体"/>
          <w:sz w:val="24"/>
          <w:szCs w:val="24"/>
          <w:lang w:val="zh-CN"/>
        </w:rPr>
      </w:pPr>
      <w:r>
        <w:rPr>
          <w:rFonts w:hint="eastAsia" w:ascii="新宋体" w:hAnsi="新宋体" w:eastAsia="新宋体" w:cs="新宋体"/>
          <w:sz w:val="24"/>
          <w:szCs w:val="24"/>
          <w:lang w:val="zh-CN" w:bidi="ar"/>
        </w:rPr>
        <w:t>本项目评标采用</w:t>
      </w:r>
      <w:r>
        <w:rPr>
          <w:rFonts w:hint="eastAsia" w:ascii="新宋体" w:hAnsi="新宋体" w:eastAsia="新宋体" w:cs="新宋体"/>
          <w:b/>
          <w:sz w:val="24"/>
          <w:szCs w:val="24"/>
          <w:lang w:val="zh-CN" w:bidi="ar"/>
        </w:rPr>
        <w:t>综合评分法</w:t>
      </w:r>
      <w:r>
        <w:rPr>
          <w:rFonts w:hint="eastAsia" w:ascii="新宋体" w:hAnsi="新宋体" w:eastAsia="新宋体" w:cs="新宋体"/>
          <w:sz w:val="24"/>
          <w:szCs w:val="24"/>
          <w:lang w:val="zh-CN" w:bidi="ar"/>
        </w:rPr>
        <w:t>。综合评分法是指投标文件满足招标文件全部实质性要求，且按照评审因素的量化指标评审得分最高的投标人为中标候选人的评标方法。</w:t>
      </w:r>
    </w:p>
    <w:p w14:paraId="101241E1">
      <w:pPr>
        <w:widowControl/>
        <w:spacing w:line="360" w:lineRule="auto"/>
        <w:jc w:val="left"/>
        <w:rPr>
          <w:rFonts w:ascii="新宋体" w:hAnsi="新宋体" w:eastAsia="新宋体" w:cs="新宋体"/>
          <w:sz w:val="24"/>
          <w:szCs w:val="24"/>
        </w:rPr>
      </w:pPr>
      <w:r>
        <w:rPr>
          <w:rFonts w:hint="eastAsia" w:ascii="新宋体" w:hAnsi="新宋体" w:eastAsia="新宋体" w:cs="新宋体"/>
          <w:b/>
          <w:sz w:val="24"/>
          <w:szCs w:val="24"/>
          <w:lang w:bidi="ar"/>
        </w:rPr>
        <w:t>二、评审因素及评分标准</w:t>
      </w:r>
    </w:p>
    <w:tbl>
      <w:tblPr>
        <w:tblStyle w:val="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01"/>
        <w:gridCol w:w="808"/>
        <w:gridCol w:w="5993"/>
        <w:gridCol w:w="983"/>
      </w:tblGrid>
      <w:tr w14:paraId="051B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blHeader/>
          <w:jc w:val="center"/>
        </w:trPr>
        <w:tc>
          <w:tcPr>
            <w:tcW w:w="793" w:type="dxa"/>
            <w:tcBorders>
              <w:bottom w:val="single" w:color="auto" w:sz="4" w:space="0"/>
            </w:tcBorders>
            <w:vAlign w:val="center"/>
          </w:tcPr>
          <w:p w14:paraId="6EFFCDCD">
            <w:pPr>
              <w:pStyle w:val="12"/>
              <w:spacing w:line="360" w:lineRule="auto"/>
              <w:jc w:val="center"/>
              <w:rPr>
                <w:rFonts w:ascii="新宋体" w:hAnsi="新宋体" w:eastAsia="新宋体" w:cs="新宋体"/>
                <w:b/>
                <w:bCs/>
                <w:szCs w:val="24"/>
              </w:rPr>
            </w:pPr>
            <w:r>
              <w:rPr>
                <w:rFonts w:hint="eastAsia" w:ascii="新宋体" w:hAnsi="新宋体" w:eastAsia="新宋体" w:cs="新宋体"/>
                <w:b/>
                <w:bCs/>
                <w:szCs w:val="24"/>
              </w:rPr>
              <w:t>评审项目</w:t>
            </w:r>
          </w:p>
        </w:tc>
        <w:tc>
          <w:tcPr>
            <w:tcW w:w="901" w:type="dxa"/>
            <w:tcBorders>
              <w:bottom w:val="single" w:color="auto" w:sz="4" w:space="0"/>
            </w:tcBorders>
            <w:vAlign w:val="center"/>
          </w:tcPr>
          <w:p w14:paraId="1BE5FF6D">
            <w:pPr>
              <w:pStyle w:val="12"/>
              <w:spacing w:line="360" w:lineRule="auto"/>
              <w:jc w:val="center"/>
              <w:rPr>
                <w:rFonts w:ascii="新宋体" w:hAnsi="新宋体" w:eastAsia="新宋体" w:cs="新宋体"/>
                <w:b/>
                <w:bCs/>
                <w:szCs w:val="24"/>
              </w:rPr>
            </w:pPr>
            <w:r>
              <w:rPr>
                <w:rFonts w:hint="eastAsia" w:ascii="新宋体" w:hAnsi="新宋体" w:eastAsia="新宋体" w:cs="新宋体"/>
                <w:b/>
                <w:bCs/>
                <w:szCs w:val="24"/>
              </w:rPr>
              <w:t>评审分项</w:t>
            </w:r>
          </w:p>
        </w:tc>
        <w:tc>
          <w:tcPr>
            <w:tcW w:w="808" w:type="dxa"/>
            <w:tcBorders>
              <w:bottom w:val="single" w:color="auto" w:sz="4" w:space="0"/>
            </w:tcBorders>
            <w:vAlign w:val="center"/>
          </w:tcPr>
          <w:p w14:paraId="0D9337DC">
            <w:pPr>
              <w:pStyle w:val="12"/>
              <w:spacing w:line="360" w:lineRule="auto"/>
              <w:jc w:val="center"/>
              <w:rPr>
                <w:rFonts w:ascii="新宋体" w:hAnsi="新宋体" w:eastAsia="新宋体" w:cs="新宋体"/>
                <w:b/>
                <w:bCs/>
                <w:szCs w:val="24"/>
              </w:rPr>
            </w:pPr>
            <w:r>
              <w:rPr>
                <w:rFonts w:hint="eastAsia" w:ascii="新宋体" w:hAnsi="新宋体" w:eastAsia="新宋体" w:cs="新宋体"/>
                <w:b/>
                <w:bCs/>
                <w:szCs w:val="24"/>
              </w:rPr>
              <w:t>分值</w:t>
            </w:r>
          </w:p>
        </w:tc>
        <w:tc>
          <w:tcPr>
            <w:tcW w:w="5993" w:type="dxa"/>
            <w:tcBorders>
              <w:bottom w:val="single" w:color="auto" w:sz="4" w:space="0"/>
            </w:tcBorders>
            <w:vAlign w:val="center"/>
          </w:tcPr>
          <w:p w14:paraId="3855ABD3">
            <w:pPr>
              <w:pStyle w:val="12"/>
              <w:spacing w:line="360" w:lineRule="auto"/>
              <w:jc w:val="center"/>
              <w:rPr>
                <w:rFonts w:ascii="新宋体" w:hAnsi="新宋体" w:eastAsia="新宋体" w:cs="新宋体"/>
                <w:b/>
                <w:bCs/>
                <w:szCs w:val="24"/>
              </w:rPr>
            </w:pPr>
            <w:r>
              <w:rPr>
                <w:rFonts w:hint="eastAsia" w:ascii="新宋体" w:hAnsi="新宋体" w:eastAsia="新宋体" w:cs="新宋体"/>
                <w:b/>
                <w:bCs/>
                <w:szCs w:val="24"/>
              </w:rPr>
              <w:t>子项目及分值</w:t>
            </w:r>
          </w:p>
        </w:tc>
        <w:tc>
          <w:tcPr>
            <w:tcW w:w="983" w:type="dxa"/>
            <w:tcBorders>
              <w:bottom w:val="single" w:color="auto" w:sz="4" w:space="0"/>
            </w:tcBorders>
            <w:vAlign w:val="center"/>
          </w:tcPr>
          <w:p w14:paraId="3EF94CDA">
            <w:pPr>
              <w:pStyle w:val="12"/>
              <w:spacing w:line="360" w:lineRule="auto"/>
              <w:jc w:val="center"/>
              <w:rPr>
                <w:rFonts w:ascii="新宋体" w:hAnsi="新宋体" w:eastAsia="新宋体" w:cs="新宋体"/>
                <w:b/>
                <w:bCs/>
                <w:szCs w:val="24"/>
              </w:rPr>
            </w:pPr>
            <w:r>
              <w:rPr>
                <w:rFonts w:hint="eastAsia" w:ascii="新宋体" w:hAnsi="新宋体" w:eastAsia="新宋体" w:cs="新宋体"/>
                <w:b/>
                <w:bCs/>
                <w:szCs w:val="24"/>
              </w:rPr>
              <w:t>属性</w:t>
            </w:r>
          </w:p>
        </w:tc>
      </w:tr>
      <w:tr w14:paraId="57C6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793" w:type="dxa"/>
            <w:tcBorders>
              <w:bottom w:val="single" w:color="auto" w:sz="4" w:space="0"/>
            </w:tcBorders>
            <w:vAlign w:val="center"/>
          </w:tcPr>
          <w:p w14:paraId="71E8FBEF">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价格部分</w:t>
            </w:r>
          </w:p>
          <w:p w14:paraId="22ED3322">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35分</w:t>
            </w:r>
          </w:p>
        </w:tc>
        <w:tc>
          <w:tcPr>
            <w:tcW w:w="901" w:type="dxa"/>
            <w:tcBorders>
              <w:bottom w:val="single" w:color="auto" w:sz="4" w:space="0"/>
            </w:tcBorders>
            <w:vAlign w:val="center"/>
          </w:tcPr>
          <w:p w14:paraId="02988C73">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最后报价</w:t>
            </w:r>
          </w:p>
        </w:tc>
        <w:tc>
          <w:tcPr>
            <w:tcW w:w="808" w:type="dxa"/>
            <w:tcBorders>
              <w:bottom w:val="single" w:color="auto" w:sz="4" w:space="0"/>
            </w:tcBorders>
            <w:vAlign w:val="center"/>
          </w:tcPr>
          <w:p w14:paraId="3DC4385E">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35</w:t>
            </w:r>
          </w:p>
        </w:tc>
        <w:tc>
          <w:tcPr>
            <w:tcW w:w="5993" w:type="dxa"/>
            <w:tcBorders>
              <w:bottom w:val="single" w:color="auto" w:sz="4" w:space="0"/>
            </w:tcBorders>
            <w:vAlign w:val="center"/>
          </w:tcPr>
          <w:p w14:paraId="524DAEE4">
            <w:pPr>
              <w:widowControl/>
              <w:spacing w:line="360" w:lineRule="auto"/>
              <w:textAlignment w:val="bottom"/>
              <w:rPr>
                <w:rStyle w:val="14"/>
                <w:rFonts w:hint="default" w:ascii="新宋体" w:hAnsi="新宋体" w:eastAsia="新宋体" w:cs="新宋体"/>
                <w:color w:val="auto"/>
                <w:sz w:val="24"/>
                <w:szCs w:val="24"/>
              </w:rPr>
            </w:pPr>
            <w:r>
              <w:rPr>
                <w:rStyle w:val="14"/>
                <w:rFonts w:ascii="新宋体" w:hAnsi="新宋体" w:eastAsia="新宋体" w:cs="新宋体"/>
                <w:color w:val="auto"/>
                <w:sz w:val="24"/>
                <w:szCs w:val="24"/>
              </w:rPr>
              <w:t>满足公开招标文件要求且报价最低的报价为评审基准价，其价格分为满分。其他投标人的价格分统一按照下列公式计算：</w:t>
            </w:r>
          </w:p>
          <w:p w14:paraId="7C35B021">
            <w:pPr>
              <w:widowControl/>
              <w:spacing w:line="360" w:lineRule="auto"/>
              <w:textAlignment w:val="bottom"/>
              <w:rPr>
                <w:rStyle w:val="14"/>
                <w:rFonts w:hint="default" w:ascii="新宋体" w:hAnsi="新宋体" w:eastAsia="新宋体" w:cs="新宋体"/>
                <w:color w:val="auto"/>
                <w:sz w:val="24"/>
                <w:szCs w:val="24"/>
              </w:rPr>
            </w:pPr>
            <w:r>
              <w:rPr>
                <w:rStyle w:val="14"/>
                <w:rFonts w:ascii="新宋体" w:hAnsi="新宋体" w:eastAsia="新宋体" w:cs="新宋体"/>
                <w:color w:val="auto"/>
                <w:sz w:val="24"/>
                <w:szCs w:val="24"/>
              </w:rPr>
              <w:t>报价得分=（评审基准价／报价)×价格权值×100</w:t>
            </w:r>
          </w:p>
          <w:p w14:paraId="71B2C72B">
            <w:pPr>
              <w:widowControl/>
              <w:spacing w:line="360" w:lineRule="auto"/>
              <w:textAlignment w:val="bottom"/>
              <w:rPr>
                <w:rStyle w:val="14"/>
                <w:rFonts w:hint="default" w:ascii="新宋体" w:hAnsi="新宋体" w:eastAsia="新宋体" w:cs="新宋体"/>
                <w:color w:val="auto"/>
                <w:sz w:val="24"/>
                <w:szCs w:val="24"/>
              </w:rPr>
            </w:pPr>
            <w:r>
              <w:rPr>
                <w:rStyle w:val="14"/>
                <w:rFonts w:ascii="新宋体" w:hAnsi="新宋体" w:eastAsia="新宋体" w:cs="新宋体"/>
                <w:color w:val="auto"/>
                <w:sz w:val="24"/>
                <w:szCs w:val="24"/>
              </w:rPr>
              <w:t>价格权值=35%</w:t>
            </w:r>
          </w:p>
          <w:p w14:paraId="1ADF4F39">
            <w:pPr>
              <w:widowControl/>
              <w:spacing w:line="360" w:lineRule="auto"/>
              <w:textAlignment w:val="bottom"/>
              <w:rPr>
                <w:rStyle w:val="14"/>
                <w:rFonts w:hint="default" w:ascii="新宋体" w:hAnsi="新宋体" w:eastAsia="新宋体" w:cs="新宋体"/>
                <w:color w:val="auto"/>
                <w:sz w:val="24"/>
                <w:szCs w:val="24"/>
              </w:rPr>
            </w:pPr>
            <w:r>
              <w:rPr>
                <w:rStyle w:val="14"/>
                <w:rFonts w:ascii="新宋体" w:hAnsi="新宋体" w:eastAsia="新宋体" w:cs="新宋体"/>
                <w:color w:val="auto"/>
                <w:sz w:val="24"/>
                <w:szCs w:val="24"/>
              </w:rPr>
              <w:t>备注：符合投标人须知中价格扣除规定的，在评审时予以价格扣除，用扣除后的价格参与评审。</w:t>
            </w:r>
          </w:p>
        </w:tc>
        <w:tc>
          <w:tcPr>
            <w:tcW w:w="983" w:type="dxa"/>
            <w:tcBorders>
              <w:bottom w:val="single" w:color="auto" w:sz="4" w:space="0"/>
            </w:tcBorders>
            <w:vAlign w:val="center"/>
          </w:tcPr>
          <w:p w14:paraId="56EB9D50">
            <w:pPr>
              <w:pStyle w:val="12"/>
              <w:spacing w:line="360" w:lineRule="auto"/>
              <w:jc w:val="center"/>
              <w:rPr>
                <w:rFonts w:ascii="新宋体" w:hAnsi="新宋体" w:eastAsia="新宋体" w:cs="新宋体"/>
                <w:b/>
                <w:szCs w:val="24"/>
              </w:rPr>
            </w:pPr>
            <w:r>
              <w:rPr>
                <w:rFonts w:hint="eastAsia" w:ascii="新宋体" w:hAnsi="新宋体" w:eastAsia="新宋体" w:cs="新宋体"/>
                <w:b/>
                <w:szCs w:val="24"/>
              </w:rPr>
              <w:t>客观分</w:t>
            </w:r>
          </w:p>
        </w:tc>
      </w:tr>
      <w:tr w14:paraId="250E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93" w:type="dxa"/>
            <w:vMerge w:val="restart"/>
            <w:vAlign w:val="center"/>
          </w:tcPr>
          <w:p w14:paraId="63426115">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商务部分10分</w:t>
            </w:r>
          </w:p>
        </w:tc>
        <w:tc>
          <w:tcPr>
            <w:tcW w:w="901" w:type="dxa"/>
            <w:vAlign w:val="center"/>
          </w:tcPr>
          <w:p w14:paraId="49E50369">
            <w:pPr>
              <w:widowControl/>
              <w:spacing w:line="360" w:lineRule="auto"/>
              <w:jc w:val="center"/>
              <w:rPr>
                <w:rFonts w:ascii="新宋体" w:hAnsi="新宋体" w:eastAsia="新宋体" w:cs="新宋体"/>
                <w:sz w:val="24"/>
                <w:szCs w:val="24"/>
              </w:rPr>
            </w:pPr>
            <w:r>
              <w:rPr>
                <w:rFonts w:hint="eastAsia" w:ascii="新宋体" w:hAnsi="新宋体" w:eastAsia="新宋体" w:cs="新宋体"/>
                <w:bCs/>
                <w:sz w:val="24"/>
                <w:szCs w:val="24"/>
              </w:rPr>
              <w:t>类似业绩</w:t>
            </w:r>
          </w:p>
        </w:tc>
        <w:tc>
          <w:tcPr>
            <w:tcW w:w="808" w:type="dxa"/>
            <w:vAlign w:val="center"/>
          </w:tcPr>
          <w:p w14:paraId="7566C617">
            <w:pPr>
              <w:widowControl/>
              <w:spacing w:line="360" w:lineRule="auto"/>
              <w:jc w:val="center"/>
              <w:rPr>
                <w:rFonts w:ascii="新宋体" w:hAnsi="新宋体" w:eastAsia="新宋体" w:cs="新宋体"/>
                <w:sz w:val="24"/>
                <w:szCs w:val="24"/>
              </w:rPr>
            </w:pPr>
            <w:r>
              <w:rPr>
                <w:rFonts w:hint="eastAsia" w:ascii="新宋体" w:hAnsi="新宋体" w:eastAsia="新宋体" w:cs="新宋体"/>
                <w:bCs/>
                <w:sz w:val="24"/>
                <w:szCs w:val="24"/>
              </w:rPr>
              <w:t>4</w:t>
            </w:r>
          </w:p>
        </w:tc>
        <w:tc>
          <w:tcPr>
            <w:tcW w:w="5993" w:type="dxa"/>
            <w:vAlign w:val="center"/>
          </w:tcPr>
          <w:p w14:paraId="794CD87C">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投标人提供2022年11月至今类似项目业绩，每个得1分，最高得4分。</w:t>
            </w:r>
          </w:p>
          <w:p w14:paraId="14E874EF">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证明材料：提供合同关键页（双方盖章页）等扫描件。未提供、缺项不得分。</w:t>
            </w:r>
          </w:p>
          <w:p w14:paraId="4B6F853C">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注：投标人提供合同必须有合同签订时间，如合同无签订时间，此证明材料无效。</w:t>
            </w:r>
          </w:p>
        </w:tc>
        <w:tc>
          <w:tcPr>
            <w:tcW w:w="983" w:type="dxa"/>
            <w:vAlign w:val="center"/>
          </w:tcPr>
          <w:p w14:paraId="30B6BF59">
            <w:pPr>
              <w:pStyle w:val="12"/>
              <w:spacing w:line="360" w:lineRule="auto"/>
              <w:jc w:val="center"/>
              <w:rPr>
                <w:rFonts w:ascii="新宋体" w:hAnsi="新宋体" w:eastAsia="新宋体" w:cs="新宋体"/>
                <w:b/>
                <w:szCs w:val="24"/>
              </w:rPr>
            </w:pPr>
            <w:r>
              <w:rPr>
                <w:rFonts w:hint="eastAsia" w:ascii="新宋体" w:hAnsi="新宋体" w:eastAsia="新宋体" w:cs="新宋体"/>
                <w:b/>
                <w:szCs w:val="24"/>
              </w:rPr>
              <w:t>客观分</w:t>
            </w:r>
          </w:p>
        </w:tc>
      </w:tr>
      <w:tr w14:paraId="53B9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Merge w:val="continue"/>
            <w:vAlign w:val="center"/>
          </w:tcPr>
          <w:p w14:paraId="03BD9019">
            <w:pPr>
              <w:pStyle w:val="12"/>
              <w:spacing w:line="360" w:lineRule="auto"/>
              <w:jc w:val="center"/>
              <w:rPr>
                <w:rFonts w:ascii="新宋体" w:hAnsi="新宋体" w:eastAsia="新宋体" w:cs="新宋体"/>
                <w:szCs w:val="24"/>
              </w:rPr>
            </w:pPr>
          </w:p>
        </w:tc>
        <w:tc>
          <w:tcPr>
            <w:tcW w:w="901" w:type="dxa"/>
            <w:vAlign w:val="center"/>
          </w:tcPr>
          <w:p w14:paraId="398926C2">
            <w:pPr>
              <w:widowControl/>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企业实力</w:t>
            </w:r>
          </w:p>
        </w:tc>
        <w:tc>
          <w:tcPr>
            <w:tcW w:w="808" w:type="dxa"/>
            <w:vAlign w:val="center"/>
          </w:tcPr>
          <w:p w14:paraId="2FDDCF80">
            <w:pPr>
              <w:widowControl/>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6</w:t>
            </w:r>
          </w:p>
        </w:tc>
        <w:tc>
          <w:tcPr>
            <w:tcW w:w="5993" w:type="dxa"/>
            <w:vAlign w:val="center"/>
          </w:tcPr>
          <w:p w14:paraId="35E06258">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投标人具备有效期内的以下证书：</w:t>
            </w:r>
          </w:p>
          <w:p w14:paraId="4E44C35B">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1.质量管理体系认证；</w:t>
            </w:r>
          </w:p>
          <w:p w14:paraId="6D390379">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2.环境管理体系认证；</w:t>
            </w:r>
          </w:p>
          <w:p w14:paraId="18622D39">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3.职业健康与安全管理体系认证。</w:t>
            </w:r>
          </w:p>
          <w:p w14:paraId="64FC64AF">
            <w:pPr>
              <w:widowControl/>
              <w:spacing w:line="360" w:lineRule="auto"/>
              <w:rPr>
                <w:rFonts w:ascii="新宋体" w:hAnsi="新宋体" w:eastAsia="新宋体" w:cs="新宋体"/>
                <w:color w:val="000000"/>
                <w:sz w:val="24"/>
                <w:szCs w:val="24"/>
              </w:rPr>
            </w:pPr>
            <w:r>
              <w:rPr>
                <w:rFonts w:hint="eastAsia" w:ascii="新宋体" w:hAnsi="新宋体" w:eastAsia="新宋体" w:cs="新宋体"/>
                <w:color w:val="000000"/>
                <w:sz w:val="24"/>
                <w:szCs w:val="24"/>
              </w:rPr>
              <w:t>每提供1种未被暂停使用的有效认证证书复印件得2分，未提供或提供的不符合要求不得分，最高得6分。</w:t>
            </w:r>
          </w:p>
          <w:p w14:paraId="0FF2A8C5">
            <w:pPr>
              <w:widowControl/>
              <w:spacing w:line="360" w:lineRule="auto"/>
              <w:rPr>
                <w:rFonts w:ascii="新宋体" w:hAnsi="新宋体" w:eastAsia="新宋体" w:cs="新宋体"/>
                <w:sz w:val="24"/>
                <w:szCs w:val="24"/>
              </w:rPr>
            </w:pPr>
            <w:r>
              <w:rPr>
                <w:rFonts w:hint="eastAsia" w:ascii="新宋体" w:hAnsi="新宋体" w:eastAsia="新宋体" w:cs="新宋体"/>
                <w:sz w:val="24"/>
                <w:szCs w:val="24"/>
              </w:rPr>
              <w:t>注：需提供通过国家市场监督管理总局“全国认证认可信息公共服务平台”（http://cx.cnca.cn/）查询的管理体系认证信息截图，截图须体现查询日期，查询日期为公告之日到响应截止之日。</w:t>
            </w:r>
          </w:p>
        </w:tc>
        <w:tc>
          <w:tcPr>
            <w:tcW w:w="983" w:type="dxa"/>
            <w:vAlign w:val="center"/>
          </w:tcPr>
          <w:p w14:paraId="78715AE4">
            <w:pPr>
              <w:pStyle w:val="12"/>
              <w:spacing w:line="360" w:lineRule="auto"/>
              <w:jc w:val="center"/>
              <w:rPr>
                <w:rFonts w:ascii="新宋体" w:hAnsi="新宋体" w:eastAsia="新宋体" w:cs="新宋体"/>
                <w:b/>
                <w:szCs w:val="24"/>
              </w:rPr>
            </w:pPr>
            <w:r>
              <w:rPr>
                <w:rFonts w:hint="eastAsia" w:ascii="新宋体" w:hAnsi="新宋体" w:eastAsia="新宋体" w:cs="新宋体"/>
                <w:b/>
                <w:szCs w:val="24"/>
              </w:rPr>
              <w:t>客观分</w:t>
            </w:r>
          </w:p>
        </w:tc>
      </w:tr>
      <w:tr w14:paraId="04D4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93" w:type="dxa"/>
            <w:vMerge w:val="restart"/>
            <w:vAlign w:val="center"/>
          </w:tcPr>
          <w:p w14:paraId="5C860CFE">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技术部分55分</w:t>
            </w:r>
          </w:p>
        </w:tc>
        <w:tc>
          <w:tcPr>
            <w:tcW w:w="901" w:type="dxa"/>
            <w:tcBorders>
              <w:top w:val="single" w:color="auto" w:sz="4" w:space="0"/>
            </w:tcBorders>
            <w:vAlign w:val="center"/>
          </w:tcPr>
          <w:p w14:paraId="6DC0C86B">
            <w:pPr>
              <w:widowControl/>
              <w:spacing w:line="360" w:lineRule="auto"/>
              <w:jc w:val="center"/>
              <w:textAlignment w:val="center"/>
              <w:rPr>
                <w:rFonts w:ascii="新宋体" w:hAnsi="新宋体" w:eastAsia="新宋体" w:cs="新宋体"/>
                <w:sz w:val="24"/>
                <w:szCs w:val="24"/>
              </w:rPr>
            </w:pPr>
            <w:r>
              <w:rPr>
                <w:rFonts w:hint="eastAsia" w:ascii="新宋体" w:hAnsi="新宋体" w:eastAsia="新宋体" w:cs="新宋体"/>
                <w:sz w:val="24"/>
                <w:szCs w:val="24"/>
              </w:rPr>
              <w:t>技术参数响应程度</w:t>
            </w:r>
          </w:p>
        </w:tc>
        <w:tc>
          <w:tcPr>
            <w:tcW w:w="808" w:type="dxa"/>
            <w:vAlign w:val="center"/>
          </w:tcPr>
          <w:p w14:paraId="7E103A57">
            <w:pPr>
              <w:widowControl/>
              <w:spacing w:line="360" w:lineRule="auto"/>
              <w:jc w:val="center"/>
              <w:textAlignment w:val="center"/>
              <w:rPr>
                <w:rFonts w:ascii="新宋体" w:hAnsi="新宋体" w:eastAsia="新宋体" w:cs="新宋体"/>
                <w:sz w:val="24"/>
                <w:szCs w:val="24"/>
              </w:rPr>
            </w:pPr>
            <w:r>
              <w:rPr>
                <w:rFonts w:hint="eastAsia" w:ascii="新宋体" w:hAnsi="新宋体" w:eastAsia="新宋体" w:cs="新宋体"/>
                <w:bCs/>
                <w:sz w:val="24"/>
                <w:szCs w:val="24"/>
              </w:rPr>
              <w:t>35</w:t>
            </w:r>
          </w:p>
        </w:tc>
        <w:tc>
          <w:tcPr>
            <w:tcW w:w="5993" w:type="dxa"/>
            <w:vAlign w:val="center"/>
          </w:tcPr>
          <w:p w14:paraId="30982302">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根据所投产品技术参数响应满足采购文件《第三章采购需求》采购货物技术参数要求情况进行评分</w:t>
            </w:r>
          </w:p>
          <w:p w14:paraId="249A5FD1">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1.带“▲”项参数为重要指标，重要指标项满分33分；</w:t>
            </w:r>
          </w:p>
          <w:p w14:paraId="47D1BC7A">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带“▲”项参数每有一项负偏离扣1.5分，扣完为止；</w:t>
            </w:r>
          </w:p>
          <w:p w14:paraId="5E939B9D">
            <w:pPr>
              <w:pStyle w:val="2"/>
              <w:spacing w:line="360" w:lineRule="auto"/>
              <w:rPr>
                <w:rFonts w:ascii="新宋体" w:hAnsi="新宋体" w:eastAsia="新宋体" w:cs="新宋体"/>
                <w:b/>
                <w:bCs/>
                <w:color w:val="000000"/>
                <w:sz w:val="24"/>
              </w:rPr>
            </w:pPr>
            <w:r>
              <w:rPr>
                <w:rFonts w:hint="eastAsia" w:ascii="新宋体" w:hAnsi="新宋体" w:eastAsia="新宋体" w:cs="新宋体"/>
                <w:b/>
                <w:bCs/>
                <w:color w:val="000000"/>
                <w:sz w:val="24"/>
              </w:rPr>
              <w:t>注：投标人按采购文件</w:t>
            </w:r>
            <w:r>
              <w:rPr>
                <w:rFonts w:hint="eastAsia" w:ascii="新宋体" w:hAnsi="新宋体" w:eastAsia="新宋体" w:cs="新宋体"/>
                <w:b/>
                <w:bCs/>
                <w:sz w:val="24"/>
              </w:rPr>
              <w:t>采购货物技术参数要求</w:t>
            </w:r>
            <w:r>
              <w:rPr>
                <w:rFonts w:hint="eastAsia" w:ascii="新宋体" w:hAnsi="新宋体" w:eastAsia="新宋体" w:cs="新宋体"/>
                <w:b/>
                <w:bCs/>
                <w:color w:val="000000"/>
                <w:sz w:val="24"/>
              </w:rPr>
              <w:t>填写“采购需求响应、偏离说明表”需对项目中</w:t>
            </w:r>
            <w:r>
              <w:rPr>
                <w:rFonts w:hint="eastAsia" w:ascii="新宋体" w:hAnsi="新宋体" w:eastAsia="新宋体" w:cs="新宋体"/>
                <w:b/>
                <w:bCs/>
                <w:sz w:val="24"/>
              </w:rPr>
              <w:t>带“▲”项</w:t>
            </w:r>
            <w:r>
              <w:rPr>
                <w:rFonts w:hint="eastAsia" w:ascii="新宋体" w:hAnsi="新宋体" w:eastAsia="新宋体" w:cs="新宋体"/>
                <w:b/>
                <w:bCs/>
                <w:color w:val="000000"/>
                <w:sz w:val="24"/>
              </w:rPr>
              <w:t>设备技术参数逐条做出响应，并提供相应证明材料。</w:t>
            </w:r>
            <w:r>
              <w:rPr>
                <w:rFonts w:hint="eastAsia" w:ascii="新宋体" w:hAnsi="新宋体" w:eastAsia="新宋体" w:cs="新宋体"/>
                <w:b/>
                <w:bCs/>
                <w:sz w:val="24"/>
              </w:rPr>
              <w:t>若未能提供有效的技术证明资料或技术证明资料有缺项，该项或单项视同负偏离处理。</w:t>
            </w:r>
            <w:r>
              <w:rPr>
                <w:rFonts w:hint="eastAsia" w:ascii="新宋体" w:hAnsi="新宋体" w:eastAsia="新宋体" w:cs="新宋体"/>
                <w:b/>
                <w:bCs/>
                <w:color w:val="000000"/>
                <w:sz w:val="24"/>
              </w:rPr>
              <w:t>技术资料证明：提供产品第三方检验检测机构出具的有效检测报告（同时需满足“采购货物技术参数需求”中的相关规定）。</w:t>
            </w:r>
          </w:p>
          <w:p w14:paraId="5605560D">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2.非“▲”项参数为一般指标，满分2分；</w:t>
            </w:r>
          </w:p>
          <w:p w14:paraId="34544B4E">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注：投标人按采购文件采购货物技术参数要求填写“采购需求响应、偏离说明表”并对项目中一般指标（即：非“▲”项）设备技术参数逐条做出响应，所投产品全部满足采购文件并提供承诺函（承诺函见招标文件第七章）的得2分。</w:t>
            </w:r>
          </w:p>
          <w:p w14:paraId="3A373427">
            <w:pPr>
              <w:pStyle w:val="2"/>
              <w:spacing w:line="360" w:lineRule="auto"/>
              <w:rPr>
                <w:rFonts w:ascii="新宋体" w:hAnsi="新宋体" w:eastAsia="新宋体" w:cs="新宋体"/>
                <w:b/>
                <w:bCs/>
                <w:color w:val="000000"/>
                <w:sz w:val="24"/>
              </w:rPr>
            </w:pPr>
            <w:r>
              <w:rPr>
                <w:rFonts w:hint="eastAsia" w:ascii="新宋体" w:hAnsi="新宋体" w:eastAsia="新宋体" w:cs="新宋体"/>
                <w:b/>
                <w:bCs/>
                <w:color w:val="000000"/>
                <w:sz w:val="24"/>
              </w:rPr>
              <w:t>注：投标人按采购文件</w:t>
            </w:r>
            <w:r>
              <w:rPr>
                <w:rFonts w:hint="eastAsia" w:ascii="新宋体" w:hAnsi="新宋体" w:eastAsia="新宋体" w:cs="新宋体"/>
                <w:b/>
                <w:bCs/>
                <w:sz w:val="24"/>
              </w:rPr>
              <w:t>采购货物技术参数要求</w:t>
            </w:r>
            <w:r>
              <w:rPr>
                <w:rFonts w:hint="eastAsia" w:ascii="新宋体" w:hAnsi="新宋体" w:eastAsia="新宋体" w:cs="新宋体"/>
                <w:b/>
                <w:bCs/>
                <w:color w:val="000000"/>
                <w:sz w:val="24"/>
              </w:rPr>
              <w:t>填写“采购需求响应、偏离说明表”需对项目中非“▲”项参数项设备技术参数逐条做出响应，并提供相应证明材料。</w:t>
            </w:r>
            <w:r>
              <w:rPr>
                <w:rFonts w:hint="eastAsia" w:ascii="新宋体" w:hAnsi="新宋体" w:eastAsia="新宋体" w:cs="新宋体"/>
                <w:b/>
                <w:bCs/>
                <w:sz w:val="24"/>
              </w:rPr>
              <w:t>若未能提供有效的技术证明资料或技术证明资料有缺项，该项或单项视同负偏离处理。</w:t>
            </w:r>
            <w:r>
              <w:rPr>
                <w:rFonts w:hint="eastAsia" w:ascii="新宋体" w:hAnsi="新宋体" w:eastAsia="新宋体" w:cs="新宋体"/>
                <w:b/>
                <w:bCs/>
                <w:color w:val="000000"/>
                <w:sz w:val="24"/>
              </w:rPr>
              <w:t>技术资料证明包括但不限于：产品第三方检测机构出具的检测报告 或 制造商公开发布的印刷资料 或 制造商官方网站截图（截图须附网站链接）作支持 或 其他对检测内容关键技术能够印证重要技术指标证明资料等。</w:t>
            </w:r>
          </w:p>
          <w:p w14:paraId="7DB98492">
            <w:pPr>
              <w:pStyle w:val="2"/>
              <w:spacing w:line="360" w:lineRule="auto"/>
              <w:rPr>
                <w:rFonts w:ascii="新宋体" w:hAnsi="新宋体" w:eastAsia="新宋体" w:cs="新宋体"/>
                <w:b/>
                <w:bCs/>
                <w:color w:val="000000"/>
                <w:sz w:val="24"/>
              </w:rPr>
            </w:pPr>
            <w:r>
              <w:rPr>
                <w:rFonts w:hint="eastAsia" w:ascii="新宋体" w:hAnsi="新宋体" w:eastAsia="新宋体" w:cs="新宋体"/>
                <w:b/>
                <w:bCs/>
                <w:color w:val="000000"/>
                <w:sz w:val="24"/>
              </w:rPr>
              <w:t>注：投标人请提供清晰可见的扫描件或复印件并能对应指标项。</w:t>
            </w:r>
          </w:p>
        </w:tc>
        <w:tc>
          <w:tcPr>
            <w:tcW w:w="983" w:type="dxa"/>
            <w:vAlign w:val="center"/>
          </w:tcPr>
          <w:p w14:paraId="1057D881">
            <w:pPr>
              <w:pStyle w:val="12"/>
              <w:spacing w:line="360" w:lineRule="auto"/>
              <w:jc w:val="center"/>
              <w:rPr>
                <w:rFonts w:ascii="新宋体" w:hAnsi="新宋体" w:eastAsia="新宋体" w:cs="新宋体"/>
                <w:szCs w:val="24"/>
              </w:rPr>
            </w:pPr>
            <w:r>
              <w:rPr>
                <w:rFonts w:hint="eastAsia" w:ascii="新宋体" w:hAnsi="新宋体" w:eastAsia="新宋体" w:cs="新宋体"/>
                <w:b/>
                <w:bCs/>
                <w:szCs w:val="24"/>
              </w:rPr>
              <w:t>客观分</w:t>
            </w:r>
          </w:p>
        </w:tc>
      </w:tr>
      <w:tr w14:paraId="531A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Merge w:val="continue"/>
            <w:vAlign w:val="center"/>
          </w:tcPr>
          <w:p w14:paraId="616A76A6">
            <w:pPr>
              <w:pStyle w:val="12"/>
              <w:spacing w:line="360" w:lineRule="auto"/>
              <w:rPr>
                <w:rFonts w:ascii="新宋体" w:hAnsi="新宋体" w:eastAsia="新宋体" w:cs="新宋体"/>
                <w:szCs w:val="24"/>
              </w:rPr>
            </w:pPr>
          </w:p>
        </w:tc>
        <w:tc>
          <w:tcPr>
            <w:tcW w:w="901" w:type="dxa"/>
            <w:tcBorders>
              <w:top w:val="single" w:color="auto" w:sz="4" w:space="0"/>
            </w:tcBorders>
            <w:vAlign w:val="center"/>
          </w:tcPr>
          <w:p w14:paraId="37C8EA85">
            <w:pPr>
              <w:widowControl/>
              <w:spacing w:line="360" w:lineRule="auto"/>
              <w:jc w:val="center"/>
              <w:textAlignment w:val="center"/>
              <w:rPr>
                <w:rFonts w:ascii="新宋体" w:hAnsi="新宋体" w:eastAsia="新宋体" w:cs="新宋体"/>
                <w:sz w:val="24"/>
                <w:szCs w:val="24"/>
              </w:rPr>
            </w:pPr>
            <w:r>
              <w:rPr>
                <w:rFonts w:hint="eastAsia" w:ascii="新宋体" w:hAnsi="新宋体" w:eastAsia="新宋体" w:cs="新宋体"/>
                <w:color w:val="000000"/>
                <w:sz w:val="24"/>
                <w:szCs w:val="24"/>
                <w:lang w:bidi="ar"/>
              </w:rPr>
              <w:t>实施方案</w:t>
            </w:r>
          </w:p>
        </w:tc>
        <w:tc>
          <w:tcPr>
            <w:tcW w:w="808" w:type="dxa"/>
            <w:vAlign w:val="center"/>
          </w:tcPr>
          <w:p w14:paraId="26BE46C7">
            <w:pPr>
              <w:widowControl/>
              <w:spacing w:line="360" w:lineRule="auto"/>
              <w:jc w:val="center"/>
              <w:textAlignment w:val="center"/>
              <w:rPr>
                <w:rFonts w:ascii="新宋体" w:hAnsi="新宋体" w:eastAsia="新宋体" w:cs="新宋体"/>
                <w:sz w:val="24"/>
                <w:szCs w:val="24"/>
              </w:rPr>
            </w:pPr>
            <w:r>
              <w:rPr>
                <w:rFonts w:hint="eastAsia" w:ascii="新宋体" w:hAnsi="新宋体" w:eastAsia="新宋体" w:cs="新宋体"/>
                <w:color w:val="000000"/>
                <w:sz w:val="24"/>
                <w:szCs w:val="24"/>
                <w:lang w:bidi="ar"/>
              </w:rPr>
              <w:t>6</w:t>
            </w:r>
          </w:p>
        </w:tc>
        <w:tc>
          <w:tcPr>
            <w:tcW w:w="5993" w:type="dxa"/>
            <w:vAlign w:val="center"/>
          </w:tcPr>
          <w:p w14:paraId="6C0963EA">
            <w:pPr>
              <w:pStyle w:val="12"/>
              <w:spacing w:line="360" w:lineRule="auto"/>
              <w:rPr>
                <w:rFonts w:ascii="新宋体" w:hAnsi="新宋体" w:eastAsia="新宋体" w:cs="新宋体"/>
                <w:szCs w:val="24"/>
              </w:rPr>
            </w:pPr>
            <w:r>
              <w:rPr>
                <w:rFonts w:hint="eastAsia" w:ascii="新宋体" w:hAnsi="新宋体" w:eastAsia="新宋体" w:cs="新宋体"/>
                <w:szCs w:val="24"/>
              </w:rPr>
              <w:t>一、评审内容：</w:t>
            </w:r>
          </w:p>
          <w:p w14:paraId="7ECE1366">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根据投标人提供的实施方案进行评分，方案包括但不限于：</w:t>
            </w:r>
          </w:p>
          <w:p w14:paraId="199CDC9D">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（1）交货方案和项目交付时间、进度计划；（3分）</w:t>
            </w:r>
          </w:p>
          <w:p w14:paraId="6F2B4B7C">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（2）设备安装、调试、验收方案。（3分）</w:t>
            </w:r>
          </w:p>
          <w:p w14:paraId="2F2A5D4C">
            <w:pPr>
              <w:pStyle w:val="12"/>
              <w:spacing w:line="360" w:lineRule="auto"/>
              <w:rPr>
                <w:rFonts w:ascii="新宋体" w:hAnsi="新宋体" w:eastAsia="新宋体" w:cs="新宋体"/>
                <w:szCs w:val="24"/>
              </w:rPr>
            </w:pPr>
            <w:r>
              <w:rPr>
                <w:rFonts w:hint="eastAsia" w:ascii="新宋体" w:hAnsi="新宋体" w:eastAsia="新宋体" w:cs="新宋体"/>
                <w:szCs w:val="24"/>
              </w:rPr>
              <w:t>二、评审标准：</w:t>
            </w:r>
          </w:p>
          <w:p w14:paraId="1E080436">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1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①</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合理性：提出的方案和服务标准及范围应该是合理的、恰当的；</w:t>
            </w:r>
          </w:p>
          <w:p w14:paraId="7080FB47">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2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②</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完整性：方案必须完整，对招标文件中的各项要求进行详细应答；</w:t>
            </w:r>
          </w:p>
          <w:p w14:paraId="73697373">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3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③</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简洁性：在不复杂、可理解的方式下，系统部署方案简明清晰、便于理解易读；</w:t>
            </w:r>
          </w:p>
          <w:p w14:paraId="437D2D70">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4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④</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针对性：方案必须切合实际情况，根据设备的特性要求提出个性化的解决方案。</w:t>
            </w:r>
          </w:p>
          <w:p w14:paraId="47CAB76E">
            <w:pPr>
              <w:widowControl/>
              <w:spacing w:line="360" w:lineRule="auto"/>
              <w:jc w:val="left"/>
              <w:rPr>
                <w:rStyle w:val="14"/>
                <w:rFonts w:hint="default" w:ascii="新宋体" w:hAnsi="新宋体" w:eastAsia="新宋体" w:cs="新宋体"/>
                <w:color w:val="auto"/>
                <w:sz w:val="24"/>
                <w:szCs w:val="24"/>
              </w:rPr>
            </w:pPr>
            <w:r>
              <w:rPr>
                <w:rFonts w:hint="eastAsia" w:ascii="新宋体" w:hAnsi="新宋体" w:eastAsia="新宋体" w:cs="新宋体"/>
                <w:sz w:val="24"/>
                <w:szCs w:val="24"/>
              </w:rPr>
              <w:t>以上（1）-（2）项中每项评审内容满足</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1 \* GB3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①</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4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④</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得3分，满足3项评审标准的得2分，满足2项评审标准的得1分其他情况不得分。最多得6分。</w:t>
            </w:r>
          </w:p>
        </w:tc>
        <w:tc>
          <w:tcPr>
            <w:tcW w:w="983" w:type="dxa"/>
            <w:vAlign w:val="center"/>
          </w:tcPr>
          <w:p w14:paraId="15FD62A2">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主观分</w:t>
            </w:r>
          </w:p>
        </w:tc>
      </w:tr>
      <w:tr w14:paraId="0CF6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3" w:type="dxa"/>
            <w:vMerge w:val="continue"/>
            <w:vAlign w:val="center"/>
          </w:tcPr>
          <w:p w14:paraId="13C0E481">
            <w:pPr>
              <w:pStyle w:val="12"/>
              <w:spacing w:line="360" w:lineRule="auto"/>
              <w:rPr>
                <w:rFonts w:ascii="新宋体" w:hAnsi="新宋体" w:eastAsia="新宋体" w:cs="新宋体"/>
                <w:szCs w:val="24"/>
              </w:rPr>
            </w:pPr>
          </w:p>
        </w:tc>
        <w:tc>
          <w:tcPr>
            <w:tcW w:w="901" w:type="dxa"/>
            <w:tcBorders>
              <w:top w:val="single" w:color="auto" w:sz="4" w:space="0"/>
            </w:tcBorders>
            <w:vAlign w:val="center"/>
          </w:tcPr>
          <w:p w14:paraId="0B961061">
            <w:pPr>
              <w:widowControl/>
              <w:spacing w:line="360" w:lineRule="auto"/>
              <w:jc w:val="center"/>
              <w:textAlignment w:val="center"/>
              <w:rPr>
                <w:rFonts w:ascii="新宋体" w:hAnsi="新宋体" w:eastAsia="新宋体" w:cs="新宋体"/>
                <w:sz w:val="24"/>
                <w:szCs w:val="24"/>
              </w:rPr>
            </w:pPr>
            <w:r>
              <w:rPr>
                <w:rFonts w:hint="eastAsia" w:ascii="新宋体" w:hAnsi="新宋体" w:eastAsia="新宋体" w:cs="新宋体"/>
                <w:bCs/>
                <w:sz w:val="24"/>
                <w:szCs w:val="24"/>
              </w:rPr>
              <w:t>质量保障方案</w:t>
            </w:r>
          </w:p>
        </w:tc>
        <w:tc>
          <w:tcPr>
            <w:tcW w:w="808" w:type="dxa"/>
            <w:vAlign w:val="center"/>
          </w:tcPr>
          <w:p w14:paraId="5874266C">
            <w:pPr>
              <w:widowControl/>
              <w:spacing w:line="360" w:lineRule="auto"/>
              <w:jc w:val="center"/>
              <w:textAlignment w:val="center"/>
              <w:rPr>
                <w:rFonts w:ascii="新宋体" w:hAnsi="新宋体" w:eastAsia="新宋体" w:cs="新宋体"/>
                <w:sz w:val="24"/>
                <w:szCs w:val="24"/>
              </w:rPr>
            </w:pPr>
            <w:r>
              <w:rPr>
                <w:rFonts w:hint="eastAsia" w:ascii="新宋体" w:hAnsi="新宋体" w:eastAsia="新宋体" w:cs="新宋体"/>
                <w:bCs/>
                <w:sz w:val="24"/>
                <w:szCs w:val="24"/>
              </w:rPr>
              <w:t>4</w:t>
            </w:r>
          </w:p>
        </w:tc>
        <w:tc>
          <w:tcPr>
            <w:tcW w:w="5993" w:type="dxa"/>
            <w:vAlign w:val="center"/>
          </w:tcPr>
          <w:p w14:paraId="5E1A1083">
            <w:pPr>
              <w:pStyle w:val="12"/>
              <w:spacing w:line="360" w:lineRule="auto"/>
              <w:rPr>
                <w:rFonts w:ascii="新宋体" w:hAnsi="新宋体" w:eastAsia="新宋体" w:cs="新宋体"/>
                <w:szCs w:val="24"/>
              </w:rPr>
            </w:pPr>
            <w:r>
              <w:rPr>
                <w:rFonts w:hint="eastAsia" w:ascii="新宋体" w:hAnsi="新宋体" w:eastAsia="新宋体" w:cs="新宋体"/>
                <w:szCs w:val="24"/>
              </w:rPr>
              <w:t>一、评审内容：</w:t>
            </w:r>
          </w:p>
          <w:p w14:paraId="4DC606C0">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根据投标人提供的质量保障方案进行评分，方案包括但不限于：</w:t>
            </w:r>
          </w:p>
          <w:p w14:paraId="5D75CBC0">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（1）保证获取渠道正规，产品符合国家行业要求；（2分）</w:t>
            </w:r>
          </w:p>
          <w:p w14:paraId="5DA81583">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（2）质量保障措施、问题解决方案，具有相关赔付计划。（2分）</w:t>
            </w:r>
          </w:p>
          <w:p w14:paraId="3BE8FF80">
            <w:pPr>
              <w:pStyle w:val="12"/>
              <w:spacing w:line="360" w:lineRule="auto"/>
              <w:rPr>
                <w:rFonts w:ascii="新宋体" w:hAnsi="新宋体" w:eastAsia="新宋体" w:cs="新宋体"/>
                <w:szCs w:val="24"/>
              </w:rPr>
            </w:pPr>
            <w:r>
              <w:rPr>
                <w:rFonts w:hint="eastAsia" w:ascii="新宋体" w:hAnsi="新宋体" w:eastAsia="新宋体" w:cs="新宋体"/>
                <w:szCs w:val="24"/>
              </w:rPr>
              <w:t>二、评审标准：</w:t>
            </w:r>
          </w:p>
          <w:p w14:paraId="46C6CF7C">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1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①</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合理性：提出的方案和服务标准及范围应该是合理的、恰当的；</w:t>
            </w:r>
          </w:p>
          <w:p w14:paraId="7E7D20E9">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2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②</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完整性：方案必须完整，对招标文件中的各项要求进行详细应答；</w:t>
            </w:r>
          </w:p>
          <w:p w14:paraId="4DA8D625">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3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③</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简洁性：在不复杂、可理解的方式下，系统部署方案简明清晰、便于理解易读；</w:t>
            </w:r>
          </w:p>
          <w:p w14:paraId="0E41FD31">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4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④</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针对性：方案必须切合实际情况，根据设备的特性要求提出个性化的解决方案。</w:t>
            </w:r>
          </w:p>
          <w:p w14:paraId="2667B542">
            <w:pPr>
              <w:widowControl/>
              <w:spacing w:line="360" w:lineRule="auto"/>
              <w:jc w:val="left"/>
              <w:textAlignment w:val="center"/>
              <w:rPr>
                <w:rStyle w:val="14"/>
                <w:rFonts w:hint="default" w:ascii="新宋体" w:hAnsi="新宋体" w:eastAsia="新宋体" w:cs="新宋体"/>
                <w:color w:val="auto"/>
                <w:sz w:val="24"/>
                <w:szCs w:val="24"/>
              </w:rPr>
            </w:pPr>
            <w:r>
              <w:rPr>
                <w:rFonts w:hint="eastAsia" w:ascii="新宋体" w:hAnsi="新宋体" w:eastAsia="新宋体" w:cs="新宋体"/>
                <w:sz w:val="24"/>
                <w:szCs w:val="24"/>
              </w:rPr>
              <w:t>以上（1）-（2）项中每项评审内容满足</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1 \* GB3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①</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4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④</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得2分，满足3项评审标准的得1分，满足2项评审标准的得0.5分其他情况不得分。最多得4分。</w:t>
            </w:r>
          </w:p>
        </w:tc>
        <w:tc>
          <w:tcPr>
            <w:tcW w:w="983" w:type="dxa"/>
            <w:vAlign w:val="center"/>
          </w:tcPr>
          <w:p w14:paraId="228A4299">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主观分</w:t>
            </w:r>
          </w:p>
        </w:tc>
      </w:tr>
      <w:tr w14:paraId="273F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3" w:type="dxa"/>
            <w:vMerge w:val="continue"/>
            <w:vAlign w:val="center"/>
          </w:tcPr>
          <w:p w14:paraId="494465D9">
            <w:pPr>
              <w:pStyle w:val="12"/>
              <w:spacing w:line="360" w:lineRule="auto"/>
              <w:rPr>
                <w:rFonts w:ascii="新宋体" w:hAnsi="新宋体" w:eastAsia="新宋体" w:cs="新宋体"/>
                <w:szCs w:val="24"/>
              </w:rPr>
            </w:pPr>
          </w:p>
        </w:tc>
        <w:tc>
          <w:tcPr>
            <w:tcW w:w="901" w:type="dxa"/>
            <w:tcBorders>
              <w:top w:val="single" w:color="auto" w:sz="4" w:space="0"/>
            </w:tcBorders>
            <w:vAlign w:val="center"/>
          </w:tcPr>
          <w:p w14:paraId="3545DE6F">
            <w:pPr>
              <w:widowControl/>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售后服务</w:t>
            </w:r>
          </w:p>
        </w:tc>
        <w:tc>
          <w:tcPr>
            <w:tcW w:w="808" w:type="dxa"/>
            <w:vAlign w:val="center"/>
          </w:tcPr>
          <w:p w14:paraId="71D8D173">
            <w:pPr>
              <w:widowControl/>
              <w:spacing w:line="360" w:lineRule="auto"/>
              <w:jc w:val="center"/>
              <w:rPr>
                <w:rFonts w:ascii="新宋体" w:hAnsi="新宋体" w:eastAsia="新宋体" w:cs="新宋体"/>
                <w:sz w:val="24"/>
                <w:szCs w:val="24"/>
              </w:rPr>
            </w:pPr>
            <w:r>
              <w:rPr>
                <w:rFonts w:hint="eastAsia" w:ascii="新宋体" w:hAnsi="新宋体" w:eastAsia="新宋体" w:cs="新宋体"/>
                <w:sz w:val="24"/>
                <w:szCs w:val="24"/>
              </w:rPr>
              <w:t>10</w:t>
            </w:r>
          </w:p>
        </w:tc>
        <w:tc>
          <w:tcPr>
            <w:tcW w:w="5993" w:type="dxa"/>
          </w:tcPr>
          <w:p w14:paraId="6EE5EE79">
            <w:pPr>
              <w:pStyle w:val="12"/>
              <w:spacing w:line="360" w:lineRule="auto"/>
              <w:rPr>
                <w:rFonts w:ascii="新宋体" w:hAnsi="新宋体" w:eastAsia="新宋体" w:cs="新宋体"/>
                <w:szCs w:val="24"/>
              </w:rPr>
            </w:pPr>
            <w:r>
              <w:rPr>
                <w:rFonts w:hint="eastAsia" w:ascii="新宋体" w:hAnsi="新宋体" w:eastAsia="新宋体" w:cs="新宋体"/>
                <w:szCs w:val="24"/>
              </w:rPr>
              <w:t>一、评审内容：</w:t>
            </w:r>
          </w:p>
          <w:p w14:paraId="481CEDA5">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根据投标人提供的售后服务方案进行评分，方案包括但不限于：</w:t>
            </w:r>
          </w:p>
          <w:p w14:paraId="75231A45">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（1）售后服务维护方式及应急情况处理、服务响应时间等方案；（2分）</w:t>
            </w:r>
          </w:p>
          <w:p w14:paraId="239AF8B9">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（2）常规问题解决方案；（2分）</w:t>
            </w:r>
          </w:p>
          <w:p w14:paraId="2CE548B9">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（3）售后服务专业技术人员技术保障；（2分）</w:t>
            </w:r>
          </w:p>
          <w:p w14:paraId="0951B4A9">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（4）装备备品备件的供应；（2分）</w:t>
            </w:r>
          </w:p>
          <w:p w14:paraId="0AA76721">
            <w:pPr>
              <w:widowControl/>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（5）定期装备保养调试方案；（2分）</w:t>
            </w:r>
          </w:p>
          <w:p w14:paraId="27067F9A">
            <w:pPr>
              <w:pStyle w:val="12"/>
              <w:spacing w:line="360" w:lineRule="auto"/>
              <w:rPr>
                <w:rFonts w:ascii="新宋体" w:hAnsi="新宋体" w:eastAsia="新宋体" w:cs="新宋体"/>
                <w:szCs w:val="24"/>
              </w:rPr>
            </w:pPr>
            <w:r>
              <w:rPr>
                <w:rFonts w:hint="eastAsia" w:ascii="新宋体" w:hAnsi="新宋体" w:eastAsia="新宋体" w:cs="新宋体"/>
                <w:szCs w:val="24"/>
              </w:rPr>
              <w:t>二、评审标准：</w:t>
            </w:r>
          </w:p>
          <w:p w14:paraId="7973198D">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1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①</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合理性：提出的方案和服务标准及范围应该是合理的、恰当的；</w:t>
            </w:r>
          </w:p>
          <w:p w14:paraId="7DB5EBF7">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2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②</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完整性：方案必须完整，对招标文件中的各项要求进行详细应答；</w:t>
            </w:r>
          </w:p>
          <w:p w14:paraId="0E3938F2">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3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③</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简洁性：在不复杂、可理解的方式下，系统部署方案简明清晰、便于理解易读；</w:t>
            </w:r>
          </w:p>
          <w:p w14:paraId="5391EEF8">
            <w:pPr>
              <w:widowControl/>
              <w:spacing w:line="360" w:lineRule="auto"/>
              <w:jc w:val="left"/>
              <w:rPr>
                <w:rFonts w:ascii="新宋体" w:hAnsi="新宋体" w:eastAsia="新宋体" w:cs="新宋体"/>
                <w:kern w:val="0"/>
                <w:sz w:val="24"/>
                <w:szCs w:val="24"/>
              </w:rPr>
            </w:pPr>
            <w:r>
              <w:rPr>
                <w:rFonts w:hint="eastAsia" w:ascii="新宋体" w:hAnsi="新宋体" w:eastAsia="新宋体" w:cs="新宋体"/>
                <w:kern w:val="0"/>
                <w:sz w:val="24"/>
                <w:szCs w:val="24"/>
              </w:rPr>
              <w:fldChar w:fldCharType="begin"/>
            </w:r>
            <w:r>
              <w:rPr>
                <w:rFonts w:hint="eastAsia" w:ascii="新宋体" w:hAnsi="新宋体" w:eastAsia="新宋体" w:cs="新宋体"/>
                <w:kern w:val="0"/>
                <w:sz w:val="24"/>
                <w:szCs w:val="24"/>
              </w:rPr>
              <w:instrText xml:space="preserve"> = 4 \* GB3 </w:instrText>
            </w:r>
            <w:r>
              <w:rPr>
                <w:rFonts w:hint="eastAsia" w:ascii="新宋体" w:hAnsi="新宋体" w:eastAsia="新宋体" w:cs="新宋体"/>
                <w:kern w:val="0"/>
                <w:sz w:val="24"/>
                <w:szCs w:val="24"/>
              </w:rPr>
              <w:fldChar w:fldCharType="separate"/>
            </w:r>
            <w:r>
              <w:rPr>
                <w:rFonts w:hint="eastAsia" w:ascii="新宋体" w:hAnsi="新宋体" w:eastAsia="新宋体" w:cs="新宋体"/>
                <w:kern w:val="0"/>
                <w:sz w:val="24"/>
                <w:szCs w:val="24"/>
                <w:lang w:val="zh-CN"/>
              </w:rPr>
              <w:t>④</w:t>
            </w:r>
            <w:r>
              <w:rPr>
                <w:rFonts w:hint="eastAsia" w:ascii="新宋体" w:hAnsi="新宋体" w:eastAsia="新宋体" w:cs="新宋体"/>
                <w:kern w:val="0"/>
                <w:sz w:val="24"/>
                <w:szCs w:val="24"/>
              </w:rPr>
              <w:fldChar w:fldCharType="end"/>
            </w:r>
            <w:r>
              <w:rPr>
                <w:rFonts w:hint="eastAsia" w:ascii="新宋体" w:hAnsi="新宋体" w:eastAsia="新宋体" w:cs="新宋体"/>
                <w:kern w:val="0"/>
                <w:sz w:val="24"/>
                <w:szCs w:val="24"/>
              </w:rPr>
              <w:t>针对性：方案必须切合实际情况，根据设备的特性要求提出个性化的解决方案。</w:t>
            </w:r>
          </w:p>
          <w:p w14:paraId="10A50D96">
            <w:pPr>
              <w:widowControl/>
              <w:spacing w:line="360" w:lineRule="auto"/>
              <w:jc w:val="left"/>
              <w:rPr>
                <w:rStyle w:val="14"/>
                <w:rFonts w:hint="default" w:ascii="新宋体" w:hAnsi="新宋体" w:eastAsia="新宋体" w:cs="新宋体"/>
                <w:color w:val="auto"/>
                <w:sz w:val="24"/>
                <w:szCs w:val="24"/>
              </w:rPr>
            </w:pPr>
            <w:r>
              <w:rPr>
                <w:rFonts w:hint="eastAsia" w:ascii="新宋体" w:hAnsi="新宋体" w:eastAsia="新宋体" w:cs="新宋体"/>
                <w:sz w:val="24"/>
                <w:szCs w:val="24"/>
              </w:rPr>
              <w:t>以上（1）-（5）项中每项评审内容满足</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1 \* GB3 \* MERGEFORMAT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①</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4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④</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得2分，满足3项评审标准的得1分，满足2项评审标准的得0.5分其他情况不得分。最多得10分。</w:t>
            </w:r>
          </w:p>
        </w:tc>
        <w:tc>
          <w:tcPr>
            <w:tcW w:w="983" w:type="dxa"/>
            <w:vAlign w:val="center"/>
          </w:tcPr>
          <w:p w14:paraId="39C69F53">
            <w:pPr>
              <w:pStyle w:val="12"/>
              <w:spacing w:line="360" w:lineRule="auto"/>
              <w:jc w:val="center"/>
              <w:rPr>
                <w:rFonts w:ascii="新宋体" w:hAnsi="新宋体" w:eastAsia="新宋体" w:cs="新宋体"/>
                <w:szCs w:val="24"/>
              </w:rPr>
            </w:pPr>
            <w:r>
              <w:rPr>
                <w:rFonts w:hint="eastAsia" w:ascii="新宋体" w:hAnsi="新宋体" w:eastAsia="新宋体" w:cs="新宋体"/>
                <w:szCs w:val="24"/>
              </w:rPr>
              <w:t>主观分</w:t>
            </w:r>
          </w:p>
        </w:tc>
      </w:tr>
      <w:tr w14:paraId="1016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94" w:type="dxa"/>
            <w:gridSpan w:val="2"/>
            <w:vAlign w:val="center"/>
          </w:tcPr>
          <w:p w14:paraId="6A8236F7">
            <w:pPr>
              <w:pStyle w:val="12"/>
              <w:spacing w:line="360" w:lineRule="auto"/>
              <w:jc w:val="center"/>
              <w:rPr>
                <w:rFonts w:ascii="新宋体" w:hAnsi="新宋体" w:eastAsia="新宋体" w:cs="新宋体"/>
                <w:b/>
                <w:szCs w:val="24"/>
              </w:rPr>
            </w:pPr>
            <w:r>
              <w:rPr>
                <w:rFonts w:hint="eastAsia" w:ascii="新宋体" w:hAnsi="新宋体" w:eastAsia="新宋体" w:cs="新宋体"/>
                <w:b/>
                <w:szCs w:val="24"/>
              </w:rPr>
              <w:t>合计</w:t>
            </w:r>
          </w:p>
        </w:tc>
        <w:tc>
          <w:tcPr>
            <w:tcW w:w="808" w:type="dxa"/>
            <w:tcBorders>
              <w:bottom w:val="single" w:color="auto" w:sz="4" w:space="0"/>
            </w:tcBorders>
            <w:vAlign w:val="center"/>
          </w:tcPr>
          <w:p w14:paraId="26482FF2">
            <w:pPr>
              <w:pStyle w:val="12"/>
              <w:spacing w:line="360" w:lineRule="auto"/>
              <w:jc w:val="center"/>
              <w:rPr>
                <w:rFonts w:ascii="新宋体" w:hAnsi="新宋体" w:eastAsia="新宋体" w:cs="新宋体"/>
                <w:b/>
                <w:szCs w:val="24"/>
              </w:rPr>
            </w:pPr>
            <w:r>
              <w:rPr>
                <w:rFonts w:hint="eastAsia" w:ascii="新宋体" w:hAnsi="新宋体" w:eastAsia="新宋体" w:cs="新宋体"/>
                <w:b/>
                <w:szCs w:val="24"/>
              </w:rPr>
              <w:fldChar w:fldCharType="begin"/>
            </w:r>
            <w:r>
              <w:rPr>
                <w:rFonts w:hint="eastAsia" w:ascii="新宋体" w:hAnsi="新宋体" w:eastAsia="新宋体" w:cs="新宋体"/>
                <w:b/>
                <w:szCs w:val="24"/>
              </w:rPr>
              <w:instrText xml:space="preserve"> =SUM(ABOVE) </w:instrText>
            </w:r>
            <w:r>
              <w:rPr>
                <w:rFonts w:hint="eastAsia" w:ascii="新宋体" w:hAnsi="新宋体" w:eastAsia="新宋体" w:cs="新宋体"/>
                <w:b/>
                <w:szCs w:val="24"/>
              </w:rPr>
              <w:fldChar w:fldCharType="separate"/>
            </w:r>
            <w:r>
              <w:rPr>
                <w:rFonts w:hint="eastAsia" w:ascii="新宋体" w:hAnsi="新宋体" w:eastAsia="新宋体" w:cs="新宋体"/>
                <w:b/>
                <w:szCs w:val="24"/>
              </w:rPr>
              <w:t>100</w:t>
            </w:r>
            <w:r>
              <w:rPr>
                <w:rFonts w:hint="eastAsia" w:ascii="新宋体" w:hAnsi="新宋体" w:eastAsia="新宋体" w:cs="新宋体"/>
                <w:b/>
                <w:szCs w:val="24"/>
              </w:rPr>
              <w:fldChar w:fldCharType="end"/>
            </w:r>
          </w:p>
        </w:tc>
        <w:tc>
          <w:tcPr>
            <w:tcW w:w="5993" w:type="dxa"/>
            <w:tcBorders>
              <w:bottom w:val="single" w:color="auto" w:sz="4" w:space="0"/>
            </w:tcBorders>
            <w:vAlign w:val="center"/>
          </w:tcPr>
          <w:p w14:paraId="7F28294F">
            <w:pPr>
              <w:pStyle w:val="12"/>
              <w:spacing w:line="360" w:lineRule="auto"/>
              <w:rPr>
                <w:rFonts w:ascii="新宋体" w:hAnsi="新宋体" w:eastAsia="新宋体" w:cs="新宋体"/>
                <w:b/>
                <w:szCs w:val="24"/>
              </w:rPr>
            </w:pPr>
          </w:p>
        </w:tc>
        <w:tc>
          <w:tcPr>
            <w:tcW w:w="983" w:type="dxa"/>
            <w:tcBorders>
              <w:bottom w:val="single" w:color="auto" w:sz="4" w:space="0"/>
            </w:tcBorders>
            <w:vAlign w:val="center"/>
          </w:tcPr>
          <w:p w14:paraId="06327CD0">
            <w:pPr>
              <w:pStyle w:val="12"/>
              <w:spacing w:line="360" w:lineRule="auto"/>
              <w:jc w:val="center"/>
              <w:rPr>
                <w:rFonts w:ascii="新宋体" w:hAnsi="新宋体" w:eastAsia="新宋体" w:cs="新宋体"/>
                <w:szCs w:val="24"/>
              </w:rPr>
            </w:pPr>
          </w:p>
        </w:tc>
      </w:tr>
    </w:tbl>
    <w:p w14:paraId="07F974B4">
      <w:pPr>
        <w:pStyle w:val="2"/>
      </w:pPr>
    </w:p>
    <w:sectPr>
      <w:headerReference r:id="rId5" w:type="default"/>
      <w:footerReference r:id="rId6"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E74D">
    <w:pPr>
      <w:spacing w:before="57" w:line="209" w:lineRule="auto"/>
      <w:ind w:left="20"/>
      <w:rPr>
        <w:rFonts w:cs="宋体"/>
        <w:sz w:val="18"/>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DA806A">
                          <w:pPr>
                            <w:pStyle w:val="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1ADA806A">
                    <w:pPr>
                      <w:pStyle w:val="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0" allowOverlap="1">
              <wp:simplePos x="0" y="0"/>
              <wp:positionH relativeFrom="page">
                <wp:posOffset>1141095</wp:posOffset>
              </wp:positionH>
              <wp:positionV relativeFrom="page">
                <wp:posOffset>9950450</wp:posOffset>
              </wp:positionV>
              <wp:extent cx="527875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8755" cy="6350"/>
                      </a:xfrm>
                      <a:custGeom>
                        <a:avLst/>
                        <a:gdLst/>
                        <a:ahLst/>
                        <a:cxnLst/>
                        <a:rect l="0" t="0" r="0" b="0"/>
                        <a:pathLst>
                          <a:path w="8312" h="10">
                            <a:moveTo>
                              <a:pt x="0" y="0"/>
                            </a:moveTo>
                            <a:lnTo>
                              <a:pt x="8312" y="0"/>
                            </a:lnTo>
                            <a:lnTo>
                              <a:pt x="8312" y="9"/>
                            </a:lnTo>
                            <a:lnTo>
                              <a:pt x="0" y="9"/>
                            </a:lnTo>
                            <a:lnTo>
                              <a:pt x="0" y="0"/>
                            </a:lnTo>
                            <a:close/>
                          </a:path>
                        </a:pathLst>
                      </a:custGeom>
                      <a:solidFill>
                        <a:srgbClr val="7F7F7F"/>
                      </a:solidFill>
                      <a:ln>
                        <a:noFill/>
                      </a:ln>
                      <a:effectLst/>
                    </wps:spPr>
                    <wps:bodyPr upright="1"/>
                  </wps:wsp>
                </a:graphicData>
              </a:graphic>
            </wp:anchor>
          </w:drawing>
        </mc:Choice>
        <mc:Fallback>
          <w:pict>
            <v:shape id="_x0000_s1026" o:spid="_x0000_s1026" o:spt="100" style="position:absolute;left:0pt;margin-left:89.85pt;margin-top:783.5pt;height:0.5pt;width:415.65pt;mso-position-horizontal-relative:page;mso-position-vertical-relative:page;z-index:251659264;mso-width-relative:page;mso-height-relative:page;" fillcolor="#7F7F7F" filled="t" stroked="f" coordsize="8312,10" o:allowincell="f" o:gfxdata="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am6AfZAAAA&#10;DgEAAA8AAAAAAAAAAQAgAAAAIgAAAGRycy9kb3ducmV2LnhtbFBLAQIUABQAAAAIAIdO4kCiSyHg&#10;HAIAAKgEAAAOAAAAAAAAAAEAIAAAACgBAABkcnMvZTJvRG9jLnhtbFBLBQYAAAAABgAGAFkBAAC2&#10;BQAAAAA=&#10;" path="m0,0l8312,0,8312,9,0,9,0,0xe">
              <v:fill on="t" focussize="0,0"/>
              <v:stroke on="f"/>
              <v:imagedata o:title=""/>
              <o:lock v:ext="edit" aspectratio="f"/>
            </v:shape>
          </w:pict>
        </mc:Fallback>
      </mc:AlternateContent>
    </w:r>
    <w:r>
      <w:rPr>
        <w:rFonts w:cs="宋体"/>
        <w:sz w:val="18"/>
        <w:szCs w:val="18"/>
      </w:rPr>
      <w:t xml:space="preserve">                                            </w:t>
    </w:r>
    <w:r>
      <w:rPr>
        <w:rFonts w:cs="宋体"/>
        <w:spacing w:val="-1"/>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9C36">
    <w:pPr>
      <w:spacing w:before="240" w:line="209" w:lineRule="auto"/>
      <w:ind w:left="20"/>
      <w:rPr>
        <w:rFonts w:ascii="宋体" w:hAnsi="宋体" w:cs="宋体"/>
        <w:sz w:val="18"/>
        <w:szCs w:val="1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CCA593">
                          <w:pPr>
                            <w:pStyle w:val="5"/>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ujwI8cBAACdAwAADgAAAAAAAAABACAAAAAeAQAAZHJzL2Uyb0RvYy54&#10;bWxQSwUGAAAAAAYABgBZAQAAVwUAAAAA&#10;">
              <v:fill on="f" focussize="0,0"/>
              <v:stroke on="f"/>
              <v:imagedata o:title=""/>
              <o:lock v:ext="edit" aspectratio="f"/>
              <v:textbox inset="0mm,0mm,0mm,0mm" style="mso-fit-shape-to-text:t;">
                <w:txbxContent>
                  <w:p w14:paraId="3CCCA593">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2019">
    <w:pPr>
      <w:pStyle w:val="6"/>
      <w:pBdr>
        <w:bottom w:val="none" w:color="auto" w:sz="0" w:space="1"/>
      </w:pBdr>
      <w:tabs>
        <w:tab w:val="right" w:pos="9000"/>
      </w:tabs>
      <w:ind w:left="-538" w:leftChars="-256" w:right="-693" w:rightChars="-330" w:firstLine="1106" w:firstLineChars="448"/>
      <w:jc w:val="right"/>
      <w:rPr>
        <w:rFonts w:ascii="新宋体" w:hAnsi="新宋体" w:eastAsia="新宋体" w:cs="新宋体"/>
        <w:b/>
        <w:spacing w:val="18"/>
        <w:sz w:val="21"/>
        <w:szCs w:val="21"/>
      </w:rPr>
    </w:pPr>
    <w:r>
      <w:rPr>
        <w:rFonts w:hint="eastAsia" w:ascii="新宋体" w:hAnsi="新宋体" w:eastAsia="新宋体" w:cs="新宋体"/>
        <w:b/>
        <w:spacing w:val="18"/>
        <w:sz w:val="21"/>
        <w:szCs w:val="21"/>
      </w:rPr>
      <w:t>采购需求</w:t>
    </w:r>
  </w:p>
  <w:p w14:paraId="1086EA6B">
    <w:pPr>
      <w:pStyle w:val="6"/>
      <w:pBdr>
        <w:bottom w:val="dotted" w:color="auto" w:sz="4" w:space="1"/>
      </w:pBdr>
      <w:tabs>
        <w:tab w:val="right" w:pos="9000"/>
      </w:tabs>
      <w:ind w:left="-538" w:leftChars="-256" w:right="-693" w:rightChars="-330" w:firstLine="2064" w:firstLineChars="1147"/>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4E75">
    <w:pPr>
      <w:pStyle w:val="6"/>
      <w:pBdr>
        <w:bottom w:val="dotted" w:color="auto" w:sz="4" w:space="1"/>
      </w:pBdr>
      <w:tabs>
        <w:tab w:val="right" w:pos="9000"/>
      </w:tabs>
      <w:ind w:right="-693" w:rightChars="-330"/>
      <w:jc w:val="right"/>
      <w:rPr>
        <w:b/>
        <w:bCs/>
        <w:sz w:val="24"/>
        <w:szCs w:val="24"/>
      </w:rPr>
    </w:pPr>
    <w:r>
      <w:rPr>
        <w:rFonts w:hint="eastAsia"/>
        <w:b/>
        <w:bCs/>
        <w:sz w:val="24"/>
        <w:szCs w:val="24"/>
      </w:rPr>
      <w:t>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B6378"/>
    <w:multiLevelType w:val="multilevel"/>
    <w:tmpl w:val="447B6378"/>
    <w:lvl w:ilvl="0" w:tentative="0">
      <w:start w:val="1"/>
      <w:numFmt w:val="decimal"/>
      <w:pStyle w:val="1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16D98"/>
    <w:rsid w:val="005D4D92"/>
    <w:rsid w:val="007F4F5C"/>
    <w:rsid w:val="00CB1C21"/>
    <w:rsid w:val="09493868"/>
    <w:rsid w:val="0EB423BB"/>
    <w:rsid w:val="13911057"/>
    <w:rsid w:val="19196A19"/>
    <w:rsid w:val="1950596D"/>
    <w:rsid w:val="19E9751A"/>
    <w:rsid w:val="1E3649B9"/>
    <w:rsid w:val="215F0DB5"/>
    <w:rsid w:val="22B16D98"/>
    <w:rsid w:val="25FC08F7"/>
    <w:rsid w:val="2A4006A4"/>
    <w:rsid w:val="2DC7118A"/>
    <w:rsid w:val="35F72C44"/>
    <w:rsid w:val="370B658B"/>
    <w:rsid w:val="3716738B"/>
    <w:rsid w:val="3A993EAE"/>
    <w:rsid w:val="3D0B30B0"/>
    <w:rsid w:val="3DD35929"/>
    <w:rsid w:val="3EE71542"/>
    <w:rsid w:val="450042C0"/>
    <w:rsid w:val="4A4060F4"/>
    <w:rsid w:val="4A9D48C2"/>
    <w:rsid w:val="4AB50890"/>
    <w:rsid w:val="57BA4A73"/>
    <w:rsid w:val="7B354F51"/>
    <w:rsid w:val="7B3665D4"/>
    <w:rsid w:val="7ED5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widowControl/>
      <w:spacing w:line="576" w:lineRule="auto"/>
      <w:ind w:firstLine="200" w:firstLineChars="200"/>
      <w:jc w:val="left"/>
      <w:outlineLvl w:val="0"/>
    </w:pPr>
    <w:rPr>
      <w:rFonts w:ascii="Calibri" w:hAnsi="Calibri"/>
      <w:b/>
      <w:kern w:val="44"/>
      <w:sz w:val="32"/>
      <w:szCs w:val="44"/>
    </w:rPr>
  </w:style>
  <w:style w:type="paragraph" w:styleId="4">
    <w:name w:val="heading 2"/>
    <w:basedOn w:val="1"/>
    <w:next w:val="1"/>
    <w:unhideWhenUsed/>
    <w:qFormat/>
    <w:uiPriority w:val="9"/>
    <w:pPr>
      <w:keepNext/>
      <w:keepLines/>
      <w:spacing w:before="260" w:after="260" w:line="416" w:lineRule="auto"/>
      <w:outlineLvl w:val="1"/>
    </w:pPr>
    <w:rPr>
      <w:rFonts w:ascii="等线 Light" w:hAnsi="等线 Light"/>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eastAsia="等线"/>
      <w:szCs w:val="24"/>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numPr>
        <w:ilvl w:val="0"/>
        <w:numId w:val="1"/>
      </w:numPr>
    </w:pPr>
  </w:style>
  <w:style w:type="paragraph" w:customStyle="1" w:styleId="11">
    <w:name w:val="列出段落1"/>
    <w:basedOn w:val="1"/>
    <w:qFormat/>
    <w:uiPriority w:val="0"/>
    <w:pPr>
      <w:widowControl/>
      <w:spacing w:line="360" w:lineRule="auto"/>
      <w:ind w:firstLine="420" w:firstLineChars="200"/>
      <w:jc w:val="left"/>
    </w:pPr>
    <w:rPr>
      <w:rFonts w:ascii="Calibri" w:hAnsi="Calibri"/>
    </w:rPr>
  </w:style>
  <w:style w:type="paragraph" w:styleId="12">
    <w:name w:val="No Spacing"/>
    <w:basedOn w:val="1"/>
    <w:qFormat/>
    <w:uiPriority w:val="1"/>
    <w:rPr>
      <w:rFonts w:ascii="宋体" w:hAnsi="宋体"/>
      <w:sz w:val="24"/>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34</Pages>
  <Words>15253</Words>
  <Characters>16998</Characters>
  <Lines>164</Lines>
  <Paragraphs>46</Paragraphs>
  <TotalTime>5</TotalTime>
  <ScaleCrop>false</ScaleCrop>
  <LinksUpToDate>false</LinksUpToDate>
  <CharactersWithSpaces>17383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2025-11-20T03:23:00Z</dcterms:created>
  <dc:creator>c</dc:creator>
  <cp:lastModifiedBy>小小</cp:lastModifiedBy>
  <dcterms:modified xsi:type="dcterms:W3CDTF">2026-03-04T08:18:16Z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9EFF8C1DB8B447B0A87EFCEB2221E180_11</vt:lpwstr>
  </property>
  <property fmtid="{D5CDD505-2E9C-101B-9397-08002B2CF9AE}" pid="4" name="KSOTemplateDocerSaveRecord">
    <vt:lpwstr>eyJoZGlkIjoiMzEwNTM5NzYwMDRjMzkwZTVkZjY2ODkwMGIxNGU0OTUiLCJ1c2VySWQiOiI5NjMwMTc4MjIifQ==</vt:lpwstr>
  </property>
</Properties>
</file>