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AA4C7">
      <w:pPr>
        <w:jc w:val="center"/>
        <w:rPr>
          <w:rFonts w:ascii="宋体" w:hAnsi="宋体" w:eastAsia="宋体" w:cs="宋体"/>
          <w:b w:val="0"/>
          <w:bCs w:val="0"/>
          <w:sz w:val="84"/>
          <w:szCs w:val="84"/>
        </w:rPr>
      </w:pPr>
    </w:p>
    <w:p w14:paraId="5B5ACA18">
      <w:pPr>
        <w:jc w:val="center"/>
        <w:rPr>
          <w:rFonts w:ascii="宋体" w:hAnsi="宋体" w:eastAsia="宋体" w:cs="宋体"/>
          <w:b w:val="0"/>
          <w:bCs w:val="0"/>
          <w:sz w:val="84"/>
          <w:szCs w:val="84"/>
        </w:rPr>
      </w:pPr>
    </w:p>
    <w:p w14:paraId="419E14D0">
      <w:pPr>
        <w:jc w:val="center"/>
        <w:rPr>
          <w:rFonts w:ascii="宋体" w:hAnsi="宋体" w:eastAsia="宋体" w:cs="宋体"/>
          <w:b w:val="0"/>
          <w:bCs w:val="0"/>
          <w:sz w:val="84"/>
          <w:szCs w:val="84"/>
        </w:rPr>
      </w:pPr>
    </w:p>
    <w:p w14:paraId="54047355">
      <w:pPr>
        <w:jc w:val="center"/>
        <w:rPr>
          <w:rFonts w:ascii="宋体" w:hAnsi="宋体" w:eastAsia="宋体" w:cs="宋体"/>
          <w:b w:val="0"/>
          <w:bCs w:val="0"/>
          <w:sz w:val="84"/>
          <w:szCs w:val="84"/>
        </w:rPr>
      </w:pPr>
      <w:r>
        <w:rPr>
          <w:rFonts w:hint="eastAsia" w:ascii="宋体" w:hAnsi="宋体" w:eastAsia="宋体" w:cs="宋体"/>
          <w:b w:val="0"/>
          <w:bCs w:val="0"/>
          <w:sz w:val="84"/>
          <w:szCs w:val="84"/>
        </w:rPr>
        <w:t>采购需求</w:t>
      </w:r>
    </w:p>
    <w:p w14:paraId="5ED68E2E">
      <w:pPr>
        <w:pStyle w:val="5"/>
        <w:ind w:left="562"/>
        <w:rPr>
          <w:rFonts w:ascii="宋体" w:hAnsi="宋体" w:eastAsia="宋体" w:cs="宋体"/>
          <w:b w:val="0"/>
          <w:bCs w:val="0"/>
          <w:sz w:val="84"/>
          <w:szCs w:val="84"/>
        </w:rPr>
      </w:pPr>
    </w:p>
    <w:p w14:paraId="0C84B70F">
      <w:pPr>
        <w:pStyle w:val="5"/>
        <w:ind w:left="562"/>
        <w:rPr>
          <w:rFonts w:ascii="宋体" w:hAnsi="宋体" w:eastAsia="宋体" w:cs="宋体"/>
          <w:b w:val="0"/>
          <w:bCs w:val="0"/>
          <w:sz w:val="84"/>
          <w:szCs w:val="84"/>
        </w:rPr>
      </w:pPr>
    </w:p>
    <w:p w14:paraId="1CCB27B3">
      <w:pPr>
        <w:pStyle w:val="5"/>
        <w:ind w:left="0" w:leftChars="0"/>
        <w:rPr>
          <w:rFonts w:ascii="宋体" w:hAnsi="宋体" w:eastAsia="宋体" w:cs="宋体"/>
          <w:b w:val="0"/>
          <w:bCs w:val="0"/>
          <w:sz w:val="84"/>
          <w:szCs w:val="84"/>
        </w:rPr>
      </w:pPr>
    </w:p>
    <w:p w14:paraId="4291951A">
      <w:pPr>
        <w:pStyle w:val="5"/>
        <w:ind w:left="562"/>
        <w:rPr>
          <w:rFonts w:ascii="宋体" w:hAnsi="宋体" w:eastAsia="宋体" w:cs="宋体"/>
          <w:b w:val="0"/>
          <w:bCs w:val="0"/>
          <w:szCs w:val="28"/>
        </w:rPr>
      </w:pPr>
      <w:r>
        <w:rPr>
          <w:rFonts w:hint="eastAsia" w:ascii="宋体" w:hAnsi="宋体" w:eastAsia="宋体" w:cs="宋体"/>
          <w:b w:val="0"/>
          <w:bCs w:val="0"/>
          <w:szCs w:val="28"/>
        </w:rPr>
        <w:t>项目名称：新建铁路武汉枢纽直通线工程项目征迁退地工作评估服务</w:t>
      </w:r>
    </w:p>
    <w:p w14:paraId="52E6758E">
      <w:pPr>
        <w:pStyle w:val="5"/>
        <w:ind w:left="562"/>
        <w:rPr>
          <w:rFonts w:ascii="宋体" w:hAnsi="宋体" w:eastAsia="宋体" w:cs="宋体"/>
          <w:b w:val="0"/>
          <w:bCs w:val="0"/>
          <w:szCs w:val="28"/>
        </w:rPr>
      </w:pPr>
      <w:r>
        <w:rPr>
          <w:rFonts w:hint="eastAsia" w:ascii="宋体" w:hAnsi="宋体" w:eastAsia="宋体" w:cs="宋体"/>
          <w:b w:val="0"/>
          <w:bCs w:val="0"/>
          <w:szCs w:val="28"/>
        </w:rPr>
        <w:t>项目编号：HCWH(2025)122906</w:t>
      </w:r>
    </w:p>
    <w:p w14:paraId="0E87BDB0">
      <w:pPr>
        <w:pStyle w:val="5"/>
        <w:ind w:left="562"/>
        <w:rPr>
          <w:rFonts w:ascii="宋体" w:hAnsi="宋体" w:eastAsia="宋体" w:cs="宋体"/>
          <w:b w:val="0"/>
          <w:bCs w:val="0"/>
          <w:szCs w:val="28"/>
        </w:rPr>
      </w:pPr>
      <w:r>
        <w:rPr>
          <w:rFonts w:hint="eastAsia" w:ascii="宋体" w:hAnsi="宋体" w:eastAsia="宋体" w:cs="宋体"/>
          <w:b w:val="0"/>
          <w:bCs w:val="0"/>
          <w:szCs w:val="28"/>
        </w:rPr>
        <w:t>采 购 人：武汉市东西湖区住房和城市更新局</w:t>
      </w:r>
    </w:p>
    <w:p w14:paraId="162550B0">
      <w:pPr>
        <w:pStyle w:val="5"/>
        <w:ind w:left="562"/>
        <w:rPr>
          <w:rFonts w:ascii="宋体" w:hAnsi="宋体" w:eastAsia="宋体" w:cs="宋体"/>
          <w:b w:val="0"/>
          <w:bCs w:val="0"/>
          <w:szCs w:val="28"/>
        </w:rPr>
      </w:pPr>
      <w:r>
        <w:rPr>
          <w:rFonts w:hint="eastAsia" w:ascii="宋体" w:hAnsi="宋体" w:eastAsia="宋体" w:cs="宋体"/>
          <w:b w:val="0"/>
          <w:bCs w:val="0"/>
          <w:szCs w:val="28"/>
        </w:rPr>
        <w:t>代理机构：华春建设工程项目管理有限公司</w:t>
      </w:r>
    </w:p>
    <w:p w14:paraId="0D1E7C8C">
      <w:pPr>
        <w:pStyle w:val="5"/>
        <w:ind w:left="562"/>
        <w:jc w:val="center"/>
        <w:rPr>
          <w:rFonts w:ascii="宋体" w:hAnsi="宋体" w:eastAsia="宋体" w:cs="宋体"/>
          <w:b w:val="0"/>
          <w:bCs w:val="0"/>
          <w:szCs w:val="28"/>
        </w:rPr>
      </w:pPr>
      <w:r>
        <w:rPr>
          <w:rFonts w:hint="eastAsia" w:ascii="宋体" w:hAnsi="宋体" w:eastAsia="宋体" w:cs="宋体"/>
          <w:b w:val="0"/>
          <w:bCs w:val="0"/>
          <w:szCs w:val="28"/>
        </w:rPr>
        <w:t>2025年12月</w:t>
      </w:r>
    </w:p>
    <w:p w14:paraId="4E3B7744">
      <w:pPr>
        <w:rPr>
          <w:rFonts w:hint="eastAsia" w:ascii="宋体" w:hAnsi="宋体" w:eastAsia="宋体" w:cs="宋体"/>
          <w:szCs w:val="28"/>
        </w:rPr>
      </w:pPr>
      <w:r>
        <w:rPr>
          <w:rFonts w:hint="eastAsia" w:ascii="宋体" w:hAnsi="宋体" w:eastAsia="宋体" w:cs="宋体"/>
          <w:szCs w:val="28"/>
        </w:rPr>
        <w:br w:type="page"/>
      </w:r>
    </w:p>
    <w:p w14:paraId="5C047366">
      <w:pPr>
        <w:pStyle w:val="5"/>
        <w:ind w:left="0" w:leftChars="0"/>
        <w:jc w:val="center"/>
        <w:rPr>
          <w:rFonts w:ascii="宋体" w:hAnsi="宋体" w:eastAsia="宋体" w:cs="宋体"/>
          <w:szCs w:val="28"/>
        </w:rPr>
      </w:pPr>
      <w:r>
        <w:rPr>
          <w:rFonts w:hint="eastAsia" w:ascii="宋体" w:hAnsi="宋体" w:eastAsia="宋体" w:cs="宋体"/>
          <w:szCs w:val="28"/>
        </w:rPr>
        <w:t>一、项目基本情况</w:t>
      </w:r>
    </w:p>
    <w:p w14:paraId="6DEE7631">
      <w:pPr>
        <w:spacing w:before="78" w:line="360" w:lineRule="auto"/>
        <w:ind w:firstLine="280"/>
        <w:rPr>
          <w:rFonts w:ascii="宋体" w:hAnsi="宋体" w:eastAsia="宋体" w:cs="宋体"/>
          <w:b w:val="0"/>
          <w:bCs w:val="0"/>
          <w:spacing w:val="-1"/>
          <w:sz w:val="24"/>
          <w:szCs w:val="24"/>
          <w:u w:val="single"/>
        </w:rPr>
      </w:pPr>
      <w:r>
        <w:rPr>
          <w:rFonts w:ascii="宋体" w:hAnsi="宋体" w:eastAsia="宋体" w:cs="宋体"/>
          <w:b w:val="0"/>
          <w:bCs w:val="0"/>
          <w:spacing w:val="-2"/>
          <w:sz w:val="24"/>
          <w:szCs w:val="24"/>
        </w:rPr>
        <w:t>1.项目编号：</w:t>
      </w:r>
      <w:r>
        <w:rPr>
          <w:rFonts w:hint="eastAsia" w:ascii="宋体" w:hAnsi="宋体" w:eastAsia="宋体" w:cs="宋体"/>
          <w:b w:val="0"/>
          <w:bCs w:val="0"/>
          <w:spacing w:val="-1"/>
          <w:sz w:val="24"/>
          <w:szCs w:val="24"/>
          <w:u w:val="single"/>
        </w:rPr>
        <w:t>HCWH(2025)122906</w:t>
      </w:r>
    </w:p>
    <w:p w14:paraId="59D99800">
      <w:pPr>
        <w:spacing w:before="184" w:line="360" w:lineRule="auto"/>
        <w:ind w:firstLine="280"/>
        <w:rPr>
          <w:rFonts w:ascii="宋体" w:hAnsi="宋体" w:eastAsia="宋体" w:cs="宋体"/>
          <w:b w:val="0"/>
          <w:bCs w:val="0"/>
          <w:spacing w:val="-1"/>
          <w:sz w:val="24"/>
          <w:szCs w:val="24"/>
          <w:u w:val="single"/>
        </w:rPr>
      </w:pPr>
      <w:r>
        <w:rPr>
          <w:rFonts w:ascii="宋体" w:hAnsi="宋体" w:eastAsia="宋体" w:cs="宋体"/>
          <w:b w:val="0"/>
          <w:bCs w:val="0"/>
          <w:spacing w:val="-1"/>
          <w:sz w:val="24"/>
          <w:szCs w:val="24"/>
        </w:rPr>
        <w:t>2.采购计划备案号：</w:t>
      </w:r>
    </w:p>
    <w:p w14:paraId="5D6FB39B">
      <w:pPr>
        <w:spacing w:before="184" w:line="360" w:lineRule="auto"/>
        <w:ind w:firstLine="280"/>
        <w:rPr>
          <w:rFonts w:ascii="宋体" w:hAnsi="宋体" w:eastAsia="宋体" w:cs="宋体"/>
          <w:b w:val="0"/>
          <w:bCs w:val="0"/>
          <w:sz w:val="24"/>
          <w:szCs w:val="24"/>
        </w:rPr>
      </w:pPr>
      <w:r>
        <w:rPr>
          <w:rFonts w:ascii="宋体" w:hAnsi="宋体" w:eastAsia="宋体" w:cs="宋体"/>
          <w:b w:val="0"/>
          <w:bCs w:val="0"/>
          <w:spacing w:val="-2"/>
          <w:sz w:val="24"/>
          <w:szCs w:val="24"/>
        </w:rPr>
        <w:t>3.项目名称：</w:t>
      </w:r>
      <w:r>
        <w:rPr>
          <w:rFonts w:hint="eastAsia" w:ascii="宋体" w:hAnsi="宋体" w:eastAsia="宋体" w:cs="宋体"/>
          <w:b w:val="0"/>
          <w:bCs w:val="0"/>
          <w:spacing w:val="-2"/>
          <w:sz w:val="24"/>
          <w:szCs w:val="24"/>
          <w:u w:val="single"/>
        </w:rPr>
        <w:t>新建铁路武汉枢纽直通线工程项目征迁退地工作评估服务</w:t>
      </w:r>
    </w:p>
    <w:p w14:paraId="01F81A1C">
      <w:pPr>
        <w:spacing w:before="182" w:line="360" w:lineRule="auto"/>
        <w:ind w:firstLine="280"/>
        <w:rPr>
          <w:rFonts w:ascii="宋体" w:hAnsi="宋体" w:eastAsia="宋体" w:cs="宋体"/>
          <w:b w:val="0"/>
          <w:bCs w:val="0"/>
          <w:sz w:val="24"/>
          <w:szCs w:val="24"/>
        </w:rPr>
      </w:pPr>
      <w:r>
        <w:rPr>
          <w:rFonts w:ascii="宋体" w:hAnsi="宋体" w:eastAsia="宋体" w:cs="宋体"/>
          <w:b w:val="0"/>
          <w:bCs w:val="0"/>
          <w:spacing w:val="-1"/>
          <w:sz w:val="24"/>
          <w:szCs w:val="24"/>
        </w:rPr>
        <w:t>4.采购方式：</w:t>
      </w:r>
      <w:r>
        <w:rPr>
          <w:rFonts w:hint="eastAsia" w:ascii="宋体" w:hAnsi="宋体" w:eastAsia="宋体" w:cs="宋体"/>
          <w:b w:val="0"/>
          <w:bCs w:val="0"/>
          <w:spacing w:val="-1"/>
          <w:sz w:val="24"/>
          <w:szCs w:val="24"/>
          <w:u w:val="single"/>
        </w:rPr>
        <w:t>公开招标</w:t>
      </w:r>
    </w:p>
    <w:p w14:paraId="1B297A3A">
      <w:pPr>
        <w:spacing w:before="184" w:line="360" w:lineRule="auto"/>
        <w:ind w:firstLine="280"/>
        <w:rPr>
          <w:rFonts w:hint="eastAsia" w:ascii="宋体" w:hAnsi="宋体" w:eastAsia="宋体" w:cs="宋体"/>
          <w:b w:val="0"/>
          <w:bCs w:val="0"/>
          <w:sz w:val="24"/>
          <w:szCs w:val="24"/>
          <w:lang w:eastAsia="zh-CN"/>
        </w:rPr>
      </w:pPr>
      <w:r>
        <w:rPr>
          <w:rFonts w:ascii="宋体" w:hAnsi="宋体" w:eastAsia="宋体" w:cs="宋体"/>
          <w:b w:val="0"/>
          <w:bCs w:val="0"/>
          <w:spacing w:val="-3"/>
          <w:sz w:val="24"/>
          <w:szCs w:val="24"/>
        </w:rPr>
        <w:t>5.预算金额（万元</w:t>
      </w:r>
      <w:r>
        <w:rPr>
          <w:rFonts w:ascii="宋体" w:hAnsi="宋体" w:eastAsia="宋体" w:cs="宋体"/>
          <w:b w:val="0"/>
          <w:bCs w:val="0"/>
          <w:spacing w:val="13"/>
          <w:sz w:val="24"/>
          <w:szCs w:val="24"/>
        </w:rPr>
        <w:t>）：</w:t>
      </w:r>
      <w:r>
        <w:rPr>
          <w:rFonts w:hint="eastAsia" w:ascii="宋体" w:hAnsi="宋体" w:eastAsia="宋体" w:cs="宋体"/>
          <w:b w:val="0"/>
          <w:bCs w:val="0"/>
          <w:spacing w:val="-3"/>
          <w:sz w:val="24"/>
          <w:szCs w:val="24"/>
          <w:u w:val="single"/>
          <w:lang w:eastAsia="zh-CN"/>
        </w:rPr>
        <w:t>37.26</w:t>
      </w:r>
    </w:p>
    <w:p w14:paraId="0EA0E917">
      <w:pPr>
        <w:spacing w:before="183" w:line="360" w:lineRule="auto"/>
        <w:ind w:firstLine="280"/>
        <w:rPr>
          <w:rFonts w:hint="eastAsia" w:ascii="宋体" w:hAnsi="宋体" w:eastAsia="宋体" w:cs="宋体"/>
          <w:b w:val="0"/>
          <w:bCs w:val="0"/>
          <w:sz w:val="24"/>
          <w:szCs w:val="24"/>
          <w:lang w:eastAsia="zh-CN"/>
        </w:rPr>
      </w:pPr>
      <w:r>
        <w:rPr>
          <w:rFonts w:ascii="宋体" w:hAnsi="宋体" w:eastAsia="宋体" w:cs="宋体"/>
          <w:b w:val="0"/>
          <w:bCs w:val="0"/>
          <w:spacing w:val="-3"/>
          <w:sz w:val="24"/>
          <w:szCs w:val="24"/>
        </w:rPr>
        <w:t>6.最高限价（万元</w:t>
      </w:r>
      <w:r>
        <w:rPr>
          <w:rFonts w:ascii="宋体" w:hAnsi="宋体" w:eastAsia="宋体" w:cs="宋体"/>
          <w:b w:val="0"/>
          <w:bCs w:val="0"/>
          <w:spacing w:val="14"/>
          <w:sz w:val="24"/>
          <w:szCs w:val="24"/>
        </w:rPr>
        <w:t>）：</w:t>
      </w:r>
      <w:r>
        <w:rPr>
          <w:rFonts w:hint="eastAsia" w:ascii="宋体" w:hAnsi="宋体" w:eastAsia="宋体" w:cs="宋体"/>
          <w:b w:val="0"/>
          <w:bCs w:val="0"/>
          <w:spacing w:val="-3"/>
          <w:sz w:val="24"/>
          <w:szCs w:val="24"/>
          <w:u w:val="single"/>
          <w:lang w:eastAsia="zh-CN"/>
        </w:rPr>
        <w:t>37.26</w:t>
      </w:r>
    </w:p>
    <w:p w14:paraId="75E845C8">
      <w:pPr>
        <w:spacing w:before="185" w:line="360" w:lineRule="auto"/>
        <w:ind w:right="16" w:firstLine="280"/>
        <w:rPr>
          <w:rFonts w:ascii="宋体" w:hAnsi="宋体" w:eastAsia="宋体" w:cs="宋体"/>
          <w:b w:val="0"/>
          <w:bCs w:val="0"/>
          <w:sz w:val="24"/>
          <w:szCs w:val="24"/>
        </w:rPr>
      </w:pPr>
      <w:r>
        <w:rPr>
          <w:rFonts w:ascii="宋体" w:hAnsi="宋体" w:eastAsia="宋体" w:cs="宋体"/>
          <w:b w:val="0"/>
          <w:bCs w:val="0"/>
          <w:spacing w:val="-1"/>
          <w:sz w:val="24"/>
          <w:szCs w:val="24"/>
        </w:rPr>
        <w:t>7.采购需求：</w:t>
      </w:r>
      <w:r>
        <w:rPr>
          <w:rFonts w:hint="eastAsia" w:ascii="宋体" w:hAnsi="宋体" w:eastAsia="宋体" w:cs="宋体"/>
          <w:b w:val="0"/>
          <w:bCs w:val="0"/>
          <w:spacing w:val="-1"/>
          <w:sz w:val="24"/>
          <w:szCs w:val="24"/>
        </w:rPr>
        <w:t>为</w:t>
      </w:r>
      <w:r>
        <w:rPr>
          <w:rFonts w:hint="eastAsia" w:ascii="宋体" w:hAnsi="宋体" w:eastAsia="宋体" w:cs="宋体"/>
          <w:b w:val="0"/>
          <w:bCs w:val="0"/>
          <w:spacing w:val="-2"/>
          <w:sz w:val="24"/>
          <w:szCs w:val="24"/>
        </w:rPr>
        <w:t>新建铁路武汉枢纽直通线工程项目征迁退地工作评估服务</w:t>
      </w:r>
      <w:r>
        <w:rPr>
          <w:rFonts w:ascii="宋体" w:hAnsi="宋体" w:eastAsia="宋体" w:cs="宋体"/>
          <w:b w:val="0"/>
          <w:bCs w:val="0"/>
          <w:spacing w:val="-2"/>
          <w:sz w:val="24"/>
          <w:szCs w:val="24"/>
        </w:rPr>
        <w:t>（具体要求</w:t>
      </w:r>
      <w:r>
        <w:rPr>
          <w:rFonts w:ascii="宋体" w:hAnsi="宋体" w:eastAsia="宋体" w:cs="宋体"/>
          <w:b w:val="0"/>
          <w:bCs w:val="0"/>
          <w:spacing w:val="-3"/>
          <w:sz w:val="24"/>
          <w:szCs w:val="24"/>
        </w:rPr>
        <w:t>详见采购文件第三章“项目采购需求”）。</w:t>
      </w:r>
    </w:p>
    <w:p w14:paraId="25069498">
      <w:pPr>
        <w:spacing w:before="185" w:line="360" w:lineRule="auto"/>
        <w:ind w:right="16" w:firstLine="280"/>
        <w:rPr>
          <w:rFonts w:ascii="宋体" w:hAnsi="宋体" w:eastAsia="宋体" w:cs="宋体"/>
          <w:b w:val="0"/>
          <w:bCs w:val="0"/>
          <w:spacing w:val="-1"/>
          <w:sz w:val="24"/>
          <w:szCs w:val="24"/>
          <w:u w:val="single"/>
        </w:rPr>
      </w:pPr>
      <w:r>
        <w:rPr>
          <w:rFonts w:ascii="宋体" w:hAnsi="宋体" w:eastAsia="宋体" w:cs="宋体"/>
          <w:b w:val="0"/>
          <w:bCs w:val="0"/>
          <w:spacing w:val="-8"/>
          <w:sz w:val="24"/>
          <w:szCs w:val="24"/>
        </w:rPr>
        <w:t>8.合同履行期限：</w:t>
      </w:r>
      <w:r>
        <w:rPr>
          <w:rFonts w:hint="eastAsia" w:ascii="宋体" w:hAnsi="宋体" w:eastAsia="宋体" w:cs="宋体"/>
          <w:b w:val="0"/>
          <w:bCs w:val="0"/>
          <w:spacing w:val="-1"/>
          <w:sz w:val="24"/>
          <w:szCs w:val="24"/>
          <w:u w:val="single"/>
        </w:rPr>
        <w:t>自合同签订之日起60日历天，具体以采购人要求为准。</w:t>
      </w:r>
    </w:p>
    <w:p w14:paraId="3B21F728">
      <w:pPr>
        <w:spacing w:before="183" w:line="360" w:lineRule="auto"/>
        <w:ind w:firstLine="280"/>
        <w:rPr>
          <w:rFonts w:ascii="宋体" w:hAnsi="宋体" w:eastAsia="宋体" w:cs="宋体"/>
          <w:b w:val="0"/>
          <w:bCs w:val="0"/>
          <w:sz w:val="24"/>
          <w:szCs w:val="24"/>
        </w:rPr>
      </w:pPr>
      <w:r>
        <w:rPr>
          <w:rFonts w:ascii="宋体" w:hAnsi="宋体" w:eastAsia="宋体" w:cs="宋体"/>
          <w:b w:val="0"/>
          <w:bCs w:val="0"/>
          <w:spacing w:val="-1"/>
          <w:sz w:val="24"/>
          <w:szCs w:val="24"/>
        </w:rPr>
        <w:t>9.本项目（是/否）接受联合体：</w:t>
      </w:r>
      <w:r>
        <w:rPr>
          <w:rFonts w:hint="eastAsia" w:ascii="宋体" w:hAnsi="宋体" w:eastAsia="宋体" w:cs="宋体"/>
          <w:b w:val="0"/>
          <w:bCs w:val="0"/>
          <w:spacing w:val="-1"/>
          <w:sz w:val="24"/>
          <w:szCs w:val="24"/>
        </w:rPr>
        <w:t>不接受</w:t>
      </w:r>
      <w:r>
        <w:rPr>
          <w:rFonts w:ascii="宋体" w:hAnsi="宋体" w:eastAsia="宋体" w:cs="宋体"/>
          <w:b w:val="0"/>
          <w:bCs w:val="0"/>
          <w:spacing w:val="-1"/>
          <w:sz w:val="24"/>
          <w:szCs w:val="24"/>
        </w:rPr>
        <w:t>。</w:t>
      </w:r>
    </w:p>
    <w:p w14:paraId="1A6D4DEF">
      <w:pPr>
        <w:spacing w:before="184" w:line="360" w:lineRule="auto"/>
        <w:ind w:firstLine="280"/>
        <w:rPr>
          <w:rFonts w:ascii="宋体" w:hAnsi="宋体" w:eastAsia="宋体" w:cs="宋体"/>
          <w:b w:val="0"/>
          <w:bCs w:val="0"/>
          <w:sz w:val="24"/>
          <w:szCs w:val="24"/>
        </w:rPr>
      </w:pPr>
      <w:r>
        <w:rPr>
          <w:rFonts w:ascii="宋体" w:hAnsi="宋体" w:eastAsia="宋体" w:cs="宋体"/>
          <w:b w:val="0"/>
          <w:bCs w:val="0"/>
          <w:spacing w:val="-2"/>
          <w:sz w:val="24"/>
          <w:szCs w:val="24"/>
        </w:rPr>
        <w:t>10.本项目（是/否)可采购进口产品：否。</w:t>
      </w:r>
    </w:p>
    <w:p w14:paraId="25740EEE">
      <w:pPr>
        <w:spacing w:before="183" w:line="360" w:lineRule="auto"/>
        <w:ind w:firstLine="280"/>
        <w:rPr>
          <w:rFonts w:ascii="宋体" w:hAnsi="宋体" w:eastAsia="宋体" w:cs="宋体"/>
          <w:b w:val="0"/>
          <w:bCs w:val="0"/>
          <w:sz w:val="24"/>
          <w:szCs w:val="24"/>
        </w:rPr>
      </w:pPr>
      <w:r>
        <w:rPr>
          <w:rFonts w:ascii="宋体" w:hAnsi="宋体" w:eastAsia="宋体" w:cs="宋体"/>
          <w:b w:val="0"/>
          <w:bCs w:val="0"/>
          <w:spacing w:val="-2"/>
          <w:sz w:val="24"/>
          <w:szCs w:val="24"/>
        </w:rPr>
        <w:t>11.本项目（是/否）接受合同分包：否。</w:t>
      </w:r>
    </w:p>
    <w:p w14:paraId="00F47918">
      <w:pPr>
        <w:spacing w:before="226" w:line="360" w:lineRule="auto"/>
        <w:ind w:firstLine="280"/>
        <w:rPr>
          <w:rFonts w:ascii="宋体" w:hAnsi="宋体" w:eastAsia="宋体" w:cs="宋体"/>
          <w:b w:val="0"/>
          <w:bCs w:val="0"/>
          <w:sz w:val="24"/>
          <w:szCs w:val="24"/>
        </w:rPr>
      </w:pPr>
      <w:r>
        <w:rPr>
          <w:rFonts w:ascii="等线" w:hAnsi="等线" w:eastAsia="等线" w:cs="等线"/>
          <w:b w:val="0"/>
          <w:bCs w:val="0"/>
          <w:spacing w:val="-1"/>
          <w:position w:val="2"/>
          <w:sz w:val="24"/>
          <w:szCs w:val="24"/>
        </w:rPr>
        <w:t>12.</w:t>
      </w:r>
      <w:r>
        <w:rPr>
          <w:rFonts w:ascii="宋体" w:hAnsi="宋体" w:eastAsia="宋体" w:cs="宋体"/>
          <w:b w:val="0"/>
          <w:bCs w:val="0"/>
          <w:spacing w:val="-1"/>
          <w:position w:val="2"/>
          <w:sz w:val="24"/>
          <w:szCs w:val="24"/>
        </w:rPr>
        <w:t>本项目（是/否）专门面向中小微企业：</w:t>
      </w:r>
      <w:r>
        <w:rPr>
          <w:rFonts w:hint="eastAsia" w:ascii="宋体" w:hAnsi="宋体" w:eastAsia="宋体" w:cs="宋体"/>
          <w:b w:val="0"/>
          <w:bCs w:val="0"/>
          <w:spacing w:val="-1"/>
          <w:position w:val="2"/>
          <w:sz w:val="24"/>
          <w:szCs w:val="24"/>
        </w:rPr>
        <w:t>是</w:t>
      </w:r>
      <w:r>
        <w:rPr>
          <w:rFonts w:ascii="宋体" w:hAnsi="宋体" w:eastAsia="宋体" w:cs="宋体"/>
          <w:b w:val="0"/>
          <w:bCs w:val="0"/>
          <w:spacing w:val="-1"/>
          <w:position w:val="2"/>
          <w:sz w:val="24"/>
          <w:szCs w:val="24"/>
        </w:rPr>
        <w:t>。</w:t>
      </w:r>
    </w:p>
    <w:p w14:paraId="1AF3EA3F">
      <w:pPr>
        <w:pStyle w:val="5"/>
        <w:spacing w:line="360" w:lineRule="auto"/>
        <w:ind w:left="0" w:leftChars="0" w:firstLine="280"/>
        <w:rPr>
          <w:rFonts w:ascii="宋体" w:hAnsi="宋体" w:eastAsia="宋体" w:cs="宋体"/>
          <w:b w:val="0"/>
          <w:bCs w:val="0"/>
          <w:spacing w:val="-2"/>
          <w:sz w:val="24"/>
          <w:szCs w:val="24"/>
        </w:rPr>
      </w:pPr>
      <w:r>
        <w:rPr>
          <w:rFonts w:ascii="宋体" w:hAnsi="宋体" w:eastAsia="宋体" w:cs="宋体"/>
          <w:b w:val="0"/>
          <w:bCs w:val="0"/>
          <w:spacing w:val="-1"/>
          <w:sz w:val="24"/>
          <w:szCs w:val="24"/>
        </w:rPr>
        <w:t>13.符合条件的小微企业价格扣除优惠为</w:t>
      </w:r>
      <w:r>
        <w:rPr>
          <w:rFonts w:ascii="宋体" w:hAnsi="宋体" w:eastAsia="宋体" w:cs="宋体"/>
          <w:b w:val="0"/>
          <w:bCs w:val="0"/>
          <w:spacing w:val="-2"/>
          <w:sz w:val="24"/>
          <w:szCs w:val="24"/>
        </w:rPr>
        <w:t>：</w:t>
      </w:r>
      <w:r>
        <w:rPr>
          <w:rFonts w:hint="eastAsia" w:ascii="宋体" w:hAnsi="宋体" w:eastAsia="宋体" w:cs="宋体"/>
          <w:b w:val="0"/>
          <w:bCs w:val="0"/>
          <w:spacing w:val="-2"/>
          <w:sz w:val="24"/>
          <w:szCs w:val="24"/>
          <w:u w:val="single"/>
        </w:rPr>
        <w:t>/</w:t>
      </w:r>
      <w:r>
        <w:rPr>
          <w:rFonts w:ascii="宋体" w:hAnsi="宋体" w:eastAsia="宋体" w:cs="宋体"/>
          <w:b w:val="0"/>
          <w:bCs w:val="0"/>
          <w:spacing w:val="-2"/>
          <w:sz w:val="24"/>
          <w:szCs w:val="24"/>
        </w:rPr>
        <w:t>。</w:t>
      </w:r>
    </w:p>
    <w:p w14:paraId="1C2D9C29">
      <w:pPr>
        <w:rPr>
          <w:rFonts w:hint="eastAsia" w:ascii="宋体" w:hAnsi="宋体" w:eastAsia="宋体" w:cs="宋体"/>
          <w:szCs w:val="28"/>
        </w:rPr>
      </w:pPr>
      <w:r>
        <w:rPr>
          <w:rFonts w:hint="eastAsia" w:ascii="宋体" w:hAnsi="宋体" w:eastAsia="宋体" w:cs="宋体"/>
          <w:szCs w:val="28"/>
        </w:rPr>
        <w:br w:type="page"/>
      </w:r>
    </w:p>
    <w:p w14:paraId="510234B0">
      <w:pPr>
        <w:pStyle w:val="5"/>
        <w:ind w:left="0" w:leftChars="0"/>
        <w:jc w:val="center"/>
        <w:rPr>
          <w:rFonts w:ascii="宋体" w:hAnsi="宋体" w:eastAsia="宋体" w:cs="宋体"/>
          <w:szCs w:val="28"/>
        </w:rPr>
      </w:pPr>
      <w:r>
        <w:rPr>
          <w:rFonts w:hint="eastAsia" w:ascii="宋体" w:hAnsi="宋体" w:eastAsia="宋体" w:cs="宋体"/>
          <w:szCs w:val="28"/>
        </w:rPr>
        <w:t>二、申请人资格要求</w:t>
      </w:r>
    </w:p>
    <w:p w14:paraId="53C95AC1">
      <w:pPr>
        <w:pStyle w:val="4"/>
        <w:spacing w:line="500" w:lineRule="exact"/>
        <w:ind w:firstLine="480" w:firstLineChars="200"/>
        <w:rPr>
          <w:rFonts w:hint="eastAsia" w:hAnsi="宋体" w:eastAsia="宋体" w:cs="宋体"/>
          <w:b w:val="0"/>
          <w:bCs w:val="0"/>
          <w:sz w:val="24"/>
          <w:szCs w:val="24"/>
        </w:rPr>
      </w:pPr>
      <w:r>
        <w:rPr>
          <w:rFonts w:hint="eastAsia" w:hAnsi="宋体" w:eastAsia="宋体" w:cs="宋体"/>
          <w:b w:val="0"/>
          <w:bCs w:val="0"/>
          <w:sz w:val="24"/>
          <w:szCs w:val="24"/>
        </w:rPr>
        <w:t>1、满足《中华人民共和国政府采购法》第二十二条规定，即：</w:t>
      </w:r>
    </w:p>
    <w:p w14:paraId="70F300D0">
      <w:pPr>
        <w:pStyle w:val="4"/>
        <w:spacing w:line="500" w:lineRule="exact"/>
        <w:ind w:firstLine="480" w:firstLineChars="200"/>
        <w:rPr>
          <w:rFonts w:hint="eastAsia" w:hAnsi="宋体" w:eastAsia="宋体" w:cs="宋体"/>
          <w:b w:val="0"/>
          <w:bCs w:val="0"/>
          <w:sz w:val="24"/>
          <w:szCs w:val="24"/>
        </w:rPr>
      </w:pPr>
      <w:r>
        <w:rPr>
          <w:rFonts w:hint="eastAsia" w:hAnsi="宋体" w:eastAsia="宋体" w:cs="宋体"/>
          <w:b w:val="0"/>
          <w:bCs w:val="0"/>
          <w:sz w:val="24"/>
          <w:szCs w:val="24"/>
        </w:rPr>
        <w:t>（1）具有独立承担民事责任的能力；</w:t>
      </w:r>
    </w:p>
    <w:p w14:paraId="0F872C1A">
      <w:pPr>
        <w:pStyle w:val="4"/>
        <w:spacing w:line="500" w:lineRule="exact"/>
        <w:ind w:firstLine="480" w:firstLineChars="200"/>
        <w:rPr>
          <w:rFonts w:hint="eastAsia" w:hAnsi="宋体" w:eastAsia="宋体" w:cs="宋体"/>
          <w:b w:val="0"/>
          <w:bCs w:val="0"/>
          <w:sz w:val="24"/>
          <w:szCs w:val="24"/>
        </w:rPr>
      </w:pPr>
      <w:r>
        <w:rPr>
          <w:rFonts w:hint="eastAsia" w:hAnsi="宋体" w:eastAsia="宋体" w:cs="宋体"/>
          <w:b w:val="0"/>
          <w:bCs w:val="0"/>
          <w:sz w:val="24"/>
          <w:szCs w:val="24"/>
        </w:rPr>
        <w:t>（2）具有良好的商业信誉和健全的财务会计制度；</w:t>
      </w:r>
    </w:p>
    <w:p w14:paraId="1192F657">
      <w:pPr>
        <w:pStyle w:val="4"/>
        <w:spacing w:line="500" w:lineRule="exact"/>
        <w:ind w:firstLine="480" w:firstLineChars="200"/>
        <w:rPr>
          <w:rFonts w:hint="eastAsia" w:hAnsi="宋体" w:eastAsia="宋体" w:cs="宋体"/>
          <w:b w:val="0"/>
          <w:bCs w:val="0"/>
          <w:sz w:val="24"/>
          <w:szCs w:val="24"/>
        </w:rPr>
      </w:pPr>
      <w:r>
        <w:rPr>
          <w:rFonts w:hint="eastAsia" w:hAnsi="宋体" w:eastAsia="宋体" w:cs="宋体"/>
          <w:b w:val="0"/>
          <w:bCs w:val="0"/>
          <w:sz w:val="24"/>
          <w:szCs w:val="24"/>
        </w:rPr>
        <w:t>（3）具有履行合同所必需的设备和专业技术能力；</w:t>
      </w:r>
    </w:p>
    <w:p w14:paraId="17FDEBFC">
      <w:pPr>
        <w:pStyle w:val="4"/>
        <w:spacing w:line="500" w:lineRule="exact"/>
        <w:ind w:firstLine="480" w:firstLineChars="200"/>
        <w:rPr>
          <w:rFonts w:hint="eastAsia" w:hAnsi="宋体" w:eastAsia="宋体" w:cs="宋体"/>
          <w:b w:val="0"/>
          <w:bCs w:val="0"/>
          <w:sz w:val="24"/>
          <w:szCs w:val="24"/>
        </w:rPr>
      </w:pPr>
      <w:r>
        <w:rPr>
          <w:rFonts w:hint="eastAsia" w:hAnsi="宋体" w:eastAsia="宋体" w:cs="宋体"/>
          <w:b w:val="0"/>
          <w:bCs w:val="0"/>
          <w:sz w:val="24"/>
          <w:szCs w:val="24"/>
        </w:rPr>
        <w:t>（4）有依法缴纳税收和社会保障资金的良好记录；</w:t>
      </w:r>
    </w:p>
    <w:p w14:paraId="5B59E395">
      <w:pPr>
        <w:pStyle w:val="4"/>
        <w:spacing w:line="500" w:lineRule="exact"/>
        <w:ind w:firstLine="480" w:firstLineChars="200"/>
        <w:rPr>
          <w:rFonts w:hint="eastAsia" w:hAnsi="宋体" w:eastAsia="宋体" w:cs="宋体"/>
          <w:b w:val="0"/>
          <w:bCs w:val="0"/>
          <w:sz w:val="24"/>
          <w:szCs w:val="24"/>
        </w:rPr>
      </w:pPr>
      <w:r>
        <w:rPr>
          <w:rFonts w:hint="eastAsia" w:hAnsi="宋体" w:eastAsia="宋体" w:cs="宋体"/>
          <w:b w:val="0"/>
          <w:bCs w:val="0"/>
          <w:sz w:val="24"/>
          <w:szCs w:val="24"/>
        </w:rPr>
        <w:t>（5）参加政府采购活动前三年内，在经营活动中没有重大违法记录；</w:t>
      </w:r>
    </w:p>
    <w:p w14:paraId="0518E10A">
      <w:pPr>
        <w:pStyle w:val="4"/>
        <w:spacing w:line="500" w:lineRule="exact"/>
        <w:ind w:firstLine="480" w:firstLineChars="200"/>
        <w:rPr>
          <w:rFonts w:hint="eastAsia" w:hAnsi="宋体" w:eastAsia="宋体" w:cs="宋体"/>
          <w:b w:val="0"/>
          <w:bCs w:val="0"/>
          <w:sz w:val="24"/>
          <w:szCs w:val="24"/>
        </w:rPr>
      </w:pPr>
      <w:r>
        <w:rPr>
          <w:rFonts w:hint="eastAsia" w:hAnsi="宋体" w:eastAsia="宋体" w:cs="宋体"/>
          <w:b w:val="0"/>
          <w:bCs w:val="0"/>
          <w:sz w:val="24"/>
          <w:szCs w:val="24"/>
        </w:rPr>
        <w:t>（6）法律、行政法规规定的其他条件。</w:t>
      </w:r>
    </w:p>
    <w:p w14:paraId="768512EB">
      <w:pPr>
        <w:pStyle w:val="4"/>
        <w:spacing w:line="500" w:lineRule="exact"/>
        <w:ind w:firstLine="480" w:firstLineChars="200"/>
        <w:rPr>
          <w:rFonts w:hint="eastAsia" w:hAnsi="宋体" w:eastAsia="宋体" w:cs="宋体"/>
          <w:b w:val="0"/>
          <w:bCs w:val="0"/>
          <w:sz w:val="24"/>
          <w:szCs w:val="24"/>
        </w:rPr>
      </w:pPr>
      <w:r>
        <w:rPr>
          <w:rFonts w:hint="eastAsia" w:hAnsi="宋体" w:eastAsia="宋体" w:cs="宋体"/>
          <w:b w:val="0"/>
          <w:bCs w:val="0"/>
          <w:sz w:val="24"/>
          <w:szCs w:val="24"/>
        </w:rPr>
        <w:t>2、单位负责人为同一人或者存在直接控股、管理关系的不同投标人，不得参加本项目同一合同项下的政府采购活动。</w:t>
      </w:r>
    </w:p>
    <w:p w14:paraId="40B1839F">
      <w:pPr>
        <w:pStyle w:val="4"/>
        <w:spacing w:line="500" w:lineRule="exact"/>
        <w:ind w:firstLine="480" w:firstLineChars="200"/>
        <w:rPr>
          <w:rFonts w:hint="eastAsia" w:hAnsi="宋体" w:eastAsia="宋体" w:cs="宋体"/>
          <w:b w:val="0"/>
          <w:bCs w:val="0"/>
          <w:sz w:val="24"/>
          <w:szCs w:val="24"/>
        </w:rPr>
      </w:pPr>
      <w:r>
        <w:rPr>
          <w:rFonts w:hint="eastAsia" w:hAnsi="宋体" w:eastAsia="宋体" w:cs="宋体"/>
          <w:b w:val="0"/>
          <w:bCs w:val="0"/>
          <w:sz w:val="24"/>
          <w:szCs w:val="24"/>
        </w:rPr>
        <w:t>3、为本采购项目提供整体设计、规范编制或者项目管理、监理、检测等服务的，不得再参加本项目的其他招标采购活动。</w:t>
      </w:r>
    </w:p>
    <w:p w14:paraId="5E92DB5B">
      <w:pPr>
        <w:pStyle w:val="4"/>
        <w:spacing w:line="500" w:lineRule="exact"/>
        <w:ind w:firstLine="480" w:firstLineChars="200"/>
        <w:rPr>
          <w:rFonts w:hint="eastAsia" w:hAnsi="宋体" w:eastAsia="宋体" w:cs="宋体"/>
          <w:b w:val="0"/>
          <w:bCs w:val="0"/>
          <w:sz w:val="24"/>
          <w:szCs w:val="24"/>
        </w:rPr>
      </w:pPr>
      <w:r>
        <w:rPr>
          <w:rFonts w:hint="eastAsia" w:hAnsi="宋体" w:eastAsia="宋体" w:cs="宋体"/>
          <w:b w:val="0"/>
          <w:bCs w:val="0"/>
          <w:sz w:val="24"/>
          <w:szCs w:val="24"/>
        </w:rPr>
        <w:t>4、未被列入失信被执行人、重大税收违法案件当事人名单，未被列入政府采购严重违法失信行为记录名单；</w:t>
      </w:r>
    </w:p>
    <w:p w14:paraId="0BC42A2A">
      <w:pPr>
        <w:pStyle w:val="4"/>
        <w:spacing w:line="500" w:lineRule="exact"/>
        <w:ind w:firstLine="480" w:firstLineChars="200"/>
        <w:rPr>
          <w:rFonts w:hint="eastAsia" w:hAnsi="宋体" w:eastAsia="宋体" w:cs="宋体"/>
          <w:b w:val="0"/>
          <w:bCs w:val="0"/>
          <w:sz w:val="24"/>
          <w:szCs w:val="24"/>
        </w:rPr>
      </w:pPr>
      <w:r>
        <w:rPr>
          <w:rFonts w:hint="eastAsia" w:hAnsi="宋体" w:eastAsia="宋体" w:cs="宋体"/>
          <w:b w:val="0"/>
          <w:bCs w:val="0"/>
          <w:sz w:val="24"/>
          <w:szCs w:val="24"/>
        </w:rPr>
        <w:t>落实政府采购政策需满足的资格要求：本项目专门面向中小微企业，供应商应为中小微企业或监狱企业或残疾人福利性单位。供应商需提供中小企业声明函。</w:t>
      </w:r>
    </w:p>
    <w:p w14:paraId="4B350D13">
      <w:pPr>
        <w:pStyle w:val="4"/>
        <w:spacing w:line="500" w:lineRule="exact"/>
        <w:ind w:firstLine="480" w:firstLineChars="200"/>
        <w:rPr>
          <w:rFonts w:hint="eastAsia" w:hAnsi="宋体" w:eastAsia="宋体" w:cs="宋体"/>
          <w:b w:val="0"/>
          <w:bCs w:val="0"/>
          <w:sz w:val="24"/>
          <w:szCs w:val="24"/>
        </w:rPr>
      </w:pPr>
      <w:r>
        <w:rPr>
          <w:rFonts w:hint="eastAsia" w:hAnsi="宋体" w:eastAsia="宋体" w:cs="宋体"/>
          <w:b w:val="0"/>
          <w:bCs w:val="0"/>
          <w:sz w:val="24"/>
          <w:szCs w:val="24"/>
        </w:rPr>
        <w:t>6、本项目的特定资格要求：投标人须具有相关行政主管部门颁发的《中华人民共和国房地产估价机构备案证书》贰级及以上资格。</w:t>
      </w:r>
    </w:p>
    <w:p w14:paraId="10507211">
      <w:pPr>
        <w:rPr>
          <w:rFonts w:hint="eastAsia" w:ascii="宋体" w:hAnsi="宋体" w:eastAsia="宋体" w:cs="宋体"/>
          <w:szCs w:val="28"/>
        </w:rPr>
      </w:pPr>
      <w:r>
        <w:rPr>
          <w:rFonts w:hint="eastAsia" w:ascii="宋体" w:hAnsi="宋体" w:eastAsia="宋体" w:cs="宋体"/>
          <w:szCs w:val="28"/>
        </w:rPr>
        <w:br w:type="page"/>
      </w:r>
    </w:p>
    <w:p w14:paraId="636CCFA0">
      <w:pPr>
        <w:pStyle w:val="5"/>
        <w:ind w:left="0" w:leftChars="0"/>
        <w:jc w:val="center"/>
        <w:rPr>
          <w:rFonts w:ascii="宋体" w:hAnsi="宋体" w:eastAsia="宋体" w:cs="宋体"/>
          <w:szCs w:val="28"/>
        </w:rPr>
      </w:pPr>
      <w:r>
        <w:rPr>
          <w:rFonts w:hint="eastAsia" w:ascii="宋体" w:hAnsi="宋体" w:eastAsia="宋体" w:cs="宋体"/>
          <w:szCs w:val="28"/>
        </w:rPr>
        <w:t>三、采购需求</w:t>
      </w:r>
    </w:p>
    <w:p w14:paraId="4316B1C3">
      <w:pPr>
        <w:pStyle w:val="4"/>
        <w:spacing w:line="500" w:lineRule="exact"/>
        <w:ind w:firstLine="480" w:firstLineChars="200"/>
        <w:rPr>
          <w:rFonts w:hint="eastAsia" w:hAnsi="宋体" w:eastAsia="宋体" w:cs="宋体"/>
          <w:b w:val="0"/>
          <w:bCs w:val="0"/>
          <w:sz w:val="24"/>
          <w:szCs w:val="24"/>
        </w:rPr>
      </w:pPr>
      <w:r>
        <w:rPr>
          <w:rFonts w:hint="eastAsia" w:hAnsi="宋体" w:eastAsia="宋体" w:cs="宋体"/>
          <w:b w:val="0"/>
          <w:bCs w:val="0"/>
          <w:sz w:val="24"/>
          <w:szCs w:val="24"/>
        </w:rPr>
        <w:t xml:space="preserve">1、项目基本情况 </w:t>
      </w:r>
    </w:p>
    <w:p w14:paraId="10BAC2B8">
      <w:pPr>
        <w:pStyle w:val="4"/>
        <w:spacing w:line="500" w:lineRule="exact"/>
        <w:ind w:firstLine="480" w:firstLineChars="200"/>
        <w:rPr>
          <w:rFonts w:hint="eastAsia" w:hAnsi="宋体" w:eastAsia="宋体" w:cs="宋体"/>
          <w:b w:val="0"/>
          <w:bCs w:val="0"/>
          <w:sz w:val="24"/>
          <w:szCs w:val="24"/>
        </w:rPr>
      </w:pPr>
      <w:r>
        <w:rPr>
          <w:rFonts w:hint="eastAsia" w:hAnsi="宋体" w:eastAsia="宋体" w:cs="宋体"/>
          <w:b w:val="0"/>
          <w:bCs w:val="0"/>
          <w:sz w:val="24"/>
          <w:szCs w:val="24"/>
        </w:rPr>
        <w:t>1.1.采购项目的介绍及需实现的功能或者目标：</w:t>
      </w:r>
    </w:p>
    <w:p w14:paraId="2D5AC515">
      <w:pPr>
        <w:pStyle w:val="4"/>
        <w:spacing w:line="500" w:lineRule="exact"/>
        <w:ind w:firstLine="480" w:firstLineChars="200"/>
        <w:rPr>
          <w:rFonts w:hint="eastAsia" w:hAnsi="宋体" w:eastAsia="宋体" w:cs="宋体"/>
          <w:b w:val="0"/>
          <w:bCs w:val="0"/>
          <w:sz w:val="24"/>
          <w:szCs w:val="24"/>
        </w:rPr>
      </w:pPr>
      <w:r>
        <w:rPr>
          <w:rFonts w:hint="eastAsia" w:hAnsi="宋体" w:eastAsia="宋体" w:cs="宋体"/>
          <w:b w:val="0"/>
          <w:bCs w:val="0"/>
          <w:sz w:val="24"/>
          <w:szCs w:val="24"/>
        </w:rPr>
        <w:t>（1）为招标人与被征迁退地人确定拟征迁房屋、青苗、地上附着物及其他补偿价值提供依据，评估被征迁房屋、青苗、地上附着物及其他补偿价值；</w:t>
      </w:r>
    </w:p>
    <w:p w14:paraId="34299DD0">
      <w:pPr>
        <w:pStyle w:val="4"/>
        <w:spacing w:line="500" w:lineRule="exact"/>
        <w:ind w:firstLine="480" w:firstLineChars="200"/>
        <w:rPr>
          <w:rFonts w:hint="eastAsia" w:hAnsi="宋体" w:eastAsia="宋体" w:cs="宋体"/>
          <w:b w:val="0"/>
          <w:bCs w:val="0"/>
          <w:sz w:val="24"/>
          <w:szCs w:val="24"/>
        </w:rPr>
      </w:pPr>
      <w:r>
        <w:rPr>
          <w:rFonts w:hint="eastAsia" w:hAnsi="宋体" w:eastAsia="宋体" w:cs="宋体"/>
          <w:b w:val="0"/>
          <w:bCs w:val="0"/>
          <w:sz w:val="24"/>
          <w:szCs w:val="24"/>
        </w:rPr>
        <w:t>（2）为招标人与被征迁退地人计算被征迁退地房屋价值与用于产权调换房屋价值的差价提供依据，评估用于产权调换房屋的价值。</w:t>
      </w:r>
    </w:p>
    <w:p w14:paraId="7DB6CD6C">
      <w:pPr>
        <w:pStyle w:val="4"/>
        <w:spacing w:line="500" w:lineRule="exact"/>
        <w:ind w:firstLine="480" w:firstLineChars="200"/>
        <w:rPr>
          <w:rFonts w:hint="eastAsia" w:hAnsi="宋体" w:eastAsia="宋体" w:cs="宋体"/>
          <w:b w:val="0"/>
          <w:bCs w:val="0"/>
          <w:sz w:val="24"/>
          <w:szCs w:val="24"/>
        </w:rPr>
      </w:pPr>
      <w:r>
        <w:rPr>
          <w:rFonts w:hint="eastAsia" w:hAnsi="宋体" w:eastAsia="宋体" w:cs="宋体"/>
          <w:b w:val="0"/>
          <w:bCs w:val="0"/>
          <w:sz w:val="24"/>
          <w:szCs w:val="24"/>
        </w:rPr>
        <w:t>1.2.合同履行期限：自合同签订之日起60日历天，具体以采购人要求为准</w:t>
      </w:r>
    </w:p>
    <w:p w14:paraId="03A78C30">
      <w:pPr>
        <w:pStyle w:val="4"/>
        <w:spacing w:line="500" w:lineRule="exact"/>
        <w:ind w:firstLine="480" w:firstLineChars="200"/>
        <w:rPr>
          <w:rFonts w:hint="eastAsia" w:hAnsi="宋体" w:eastAsia="宋体" w:cs="宋体"/>
          <w:b w:val="0"/>
          <w:bCs w:val="0"/>
          <w:sz w:val="24"/>
          <w:szCs w:val="24"/>
        </w:rPr>
      </w:pPr>
      <w:r>
        <w:rPr>
          <w:rFonts w:hint="eastAsia" w:hAnsi="宋体" w:eastAsia="宋体" w:cs="宋体"/>
          <w:b w:val="0"/>
          <w:bCs w:val="0"/>
          <w:sz w:val="24"/>
          <w:szCs w:val="24"/>
        </w:rPr>
        <w:t>1.3.预算绩效目标：按照招标人委托的服务要求，完成新建铁路武汉枢纽直通线工程项目征迁退地工作评估服务。</w:t>
      </w:r>
    </w:p>
    <w:p w14:paraId="7299D14C">
      <w:pPr>
        <w:pStyle w:val="4"/>
        <w:spacing w:line="500" w:lineRule="exact"/>
        <w:ind w:firstLine="480" w:firstLineChars="200"/>
        <w:rPr>
          <w:rFonts w:hint="eastAsia" w:hAnsi="宋体" w:eastAsia="宋体" w:cs="宋体"/>
          <w:b w:val="0"/>
          <w:bCs w:val="0"/>
          <w:sz w:val="24"/>
          <w:szCs w:val="24"/>
        </w:rPr>
      </w:pPr>
      <w:r>
        <w:rPr>
          <w:rFonts w:hint="eastAsia" w:hAnsi="宋体" w:eastAsia="宋体" w:cs="宋体"/>
          <w:b w:val="0"/>
          <w:bCs w:val="0"/>
          <w:sz w:val="24"/>
          <w:szCs w:val="24"/>
        </w:rPr>
        <w:t>2、采购需求</w:t>
      </w:r>
    </w:p>
    <w:p w14:paraId="0EF20330">
      <w:pPr>
        <w:pStyle w:val="4"/>
        <w:spacing w:line="500" w:lineRule="exact"/>
        <w:ind w:firstLine="480" w:firstLineChars="200"/>
        <w:rPr>
          <w:rFonts w:hint="eastAsia" w:hAnsi="宋体" w:eastAsia="宋体" w:cs="宋体"/>
          <w:b w:val="0"/>
          <w:bCs w:val="0"/>
          <w:sz w:val="24"/>
          <w:szCs w:val="24"/>
        </w:rPr>
      </w:pPr>
      <w:r>
        <w:rPr>
          <w:rFonts w:hint="eastAsia" w:hAnsi="宋体" w:eastAsia="宋体" w:cs="宋体"/>
          <w:b w:val="0"/>
          <w:bCs w:val="0"/>
          <w:sz w:val="24"/>
          <w:szCs w:val="24"/>
        </w:rPr>
        <w:t xml:space="preserve">2.1服务内容 </w:t>
      </w:r>
    </w:p>
    <w:p w14:paraId="6FADCCA2">
      <w:pPr>
        <w:pStyle w:val="4"/>
        <w:spacing w:line="500" w:lineRule="exact"/>
        <w:ind w:firstLine="480" w:firstLineChars="200"/>
        <w:rPr>
          <w:rFonts w:hint="eastAsia" w:hAnsi="宋体" w:eastAsia="宋体" w:cs="宋体"/>
          <w:b w:val="0"/>
          <w:bCs w:val="0"/>
          <w:color w:val="auto"/>
          <w:sz w:val="24"/>
          <w:szCs w:val="24"/>
        </w:rPr>
      </w:pPr>
      <w:r>
        <w:rPr>
          <w:rFonts w:hint="eastAsia" w:hAnsi="宋体" w:eastAsia="宋体" w:cs="宋体"/>
          <w:b w:val="0"/>
          <w:bCs w:val="0"/>
          <w:color w:val="auto"/>
          <w:sz w:val="24"/>
          <w:szCs w:val="24"/>
        </w:rPr>
        <w:t>2.1.1.</w:t>
      </w:r>
      <w:r>
        <w:rPr>
          <w:rFonts w:hint="eastAsia" w:hAnsi="宋体" w:eastAsia="宋体" w:cs="宋体"/>
          <w:b w:val="0"/>
          <w:bCs w:val="0"/>
          <w:color w:val="auto"/>
          <w:sz w:val="24"/>
          <w:szCs w:val="24"/>
          <w:lang w:val="en-US" w:eastAsia="zh-CN"/>
        </w:rPr>
        <w:t>投标人应安排注册估价师</w:t>
      </w:r>
      <w:r>
        <w:rPr>
          <w:rFonts w:hint="eastAsia" w:hAnsi="宋体" w:eastAsia="宋体" w:cs="宋体"/>
          <w:b w:val="0"/>
          <w:bCs w:val="0"/>
          <w:color w:val="auto"/>
          <w:sz w:val="24"/>
          <w:szCs w:val="24"/>
        </w:rPr>
        <w:t>开展本次工作，未经招标人同意，不得随意更换项目负责人和评估人员。</w:t>
      </w:r>
      <w:r>
        <w:rPr>
          <w:rFonts w:hint="eastAsia" w:hAnsi="宋体" w:eastAsia="宋体" w:cs="宋体"/>
          <w:b w:val="0"/>
          <w:bCs w:val="0"/>
          <w:color w:val="auto"/>
          <w:sz w:val="24"/>
          <w:szCs w:val="24"/>
          <w:lang w:val="en-US" w:eastAsia="zh-CN"/>
        </w:rPr>
        <w:t>投标人应</w:t>
      </w:r>
      <w:r>
        <w:rPr>
          <w:rFonts w:hint="eastAsia" w:hAnsi="宋体" w:eastAsia="宋体" w:cs="宋体"/>
          <w:b w:val="0"/>
          <w:bCs w:val="0"/>
          <w:color w:val="auto"/>
          <w:sz w:val="24"/>
          <w:szCs w:val="24"/>
        </w:rPr>
        <w:t>到现场进行查勘，核对被征迁房屋、被腾退土地的面积及利用状况、拍摄房屋内外状况、土地现状的照片（包括室内外设施、装饰装修、搭建的建构筑物、地下设备设施、青苗及地上附着物等），做好实地查勘记录，并制作档案妥善保管。若评估工作确有开挖取样等必要，经被征迁人同意后，由</w:t>
      </w:r>
      <w:r>
        <w:rPr>
          <w:rFonts w:hint="eastAsia" w:hAnsi="宋体" w:eastAsia="宋体" w:cs="宋体"/>
          <w:b w:val="0"/>
          <w:bCs w:val="0"/>
          <w:color w:val="auto"/>
          <w:sz w:val="24"/>
          <w:szCs w:val="24"/>
          <w:lang w:val="en-US" w:eastAsia="zh-CN"/>
        </w:rPr>
        <w:t>投标</w:t>
      </w:r>
      <w:r>
        <w:rPr>
          <w:rFonts w:hint="eastAsia" w:hAnsi="宋体" w:eastAsia="宋体" w:cs="宋体"/>
          <w:b w:val="0"/>
          <w:bCs w:val="0"/>
          <w:color w:val="auto"/>
          <w:sz w:val="24"/>
          <w:szCs w:val="24"/>
        </w:rPr>
        <w:t>人组织人员、设备开展相关工作，相关费用由</w:t>
      </w:r>
      <w:r>
        <w:rPr>
          <w:rFonts w:hint="eastAsia" w:hAnsi="宋体" w:eastAsia="宋体" w:cs="宋体"/>
          <w:b w:val="0"/>
          <w:bCs w:val="0"/>
          <w:color w:val="auto"/>
          <w:sz w:val="24"/>
          <w:szCs w:val="24"/>
          <w:lang w:val="en-US" w:eastAsia="zh-CN"/>
        </w:rPr>
        <w:t>投标</w:t>
      </w:r>
      <w:r>
        <w:rPr>
          <w:rFonts w:hint="eastAsia" w:hAnsi="宋体" w:eastAsia="宋体" w:cs="宋体"/>
          <w:b w:val="0"/>
          <w:bCs w:val="0"/>
          <w:color w:val="auto"/>
          <w:sz w:val="24"/>
          <w:szCs w:val="24"/>
        </w:rPr>
        <w:t>人承担。被征迁人不予配合入户查勘的，应当及时向招标人出具不予配合查勘的情况说明；</w:t>
      </w:r>
    </w:p>
    <w:p w14:paraId="70C284B8">
      <w:pPr>
        <w:pStyle w:val="4"/>
        <w:spacing w:line="500" w:lineRule="exact"/>
        <w:ind w:firstLine="480" w:firstLineChars="200"/>
        <w:rPr>
          <w:rFonts w:hint="eastAsia" w:hAnsi="宋体" w:eastAsia="宋体" w:cs="宋体"/>
          <w:b w:val="0"/>
          <w:bCs w:val="0"/>
          <w:color w:val="auto"/>
          <w:sz w:val="24"/>
          <w:szCs w:val="24"/>
          <w:lang w:val="en-US" w:eastAsia="zh-CN"/>
        </w:rPr>
      </w:pPr>
      <w:r>
        <w:rPr>
          <w:rFonts w:hint="eastAsia" w:hAnsi="宋体" w:eastAsia="宋体" w:cs="宋体"/>
          <w:b w:val="0"/>
          <w:bCs w:val="0"/>
          <w:color w:val="auto"/>
          <w:sz w:val="24"/>
          <w:szCs w:val="24"/>
        </w:rPr>
        <w:t>2.1.</w:t>
      </w:r>
      <w:r>
        <w:rPr>
          <w:rFonts w:hint="eastAsia" w:hAnsi="宋体" w:eastAsia="宋体" w:cs="宋体"/>
          <w:b w:val="0"/>
          <w:bCs w:val="0"/>
          <w:color w:val="auto"/>
          <w:sz w:val="24"/>
          <w:szCs w:val="24"/>
          <w:lang w:val="en-US" w:eastAsia="zh-CN"/>
        </w:rPr>
        <w:t>2</w:t>
      </w:r>
      <w:r>
        <w:rPr>
          <w:rFonts w:hint="eastAsia" w:hAnsi="宋体" w:eastAsia="宋体" w:cs="宋体"/>
          <w:b w:val="0"/>
          <w:bCs w:val="0"/>
          <w:color w:val="auto"/>
          <w:sz w:val="24"/>
          <w:szCs w:val="24"/>
        </w:rPr>
        <w:t>.</w:t>
      </w:r>
      <w:r>
        <w:rPr>
          <w:rFonts w:hint="eastAsia" w:hAnsi="宋体" w:eastAsia="宋体" w:cs="宋体"/>
          <w:b w:val="0"/>
          <w:bCs w:val="0"/>
          <w:color w:val="auto"/>
          <w:sz w:val="24"/>
          <w:szCs w:val="24"/>
          <w:lang w:val="en-US" w:eastAsia="zh-CN"/>
        </w:rPr>
        <w:t>投标人应在招标人规定的时间节点内向招标人提供被征迁房屋、被腾退土地的初步数据（</w:t>
      </w:r>
      <w:r>
        <w:rPr>
          <w:rFonts w:hint="eastAsia" w:hAnsi="宋体" w:eastAsia="宋体" w:cs="宋体"/>
          <w:b w:val="0"/>
          <w:bCs w:val="0"/>
          <w:color w:val="auto"/>
          <w:sz w:val="24"/>
          <w:szCs w:val="24"/>
        </w:rPr>
        <w:t>包括室内外设施、装饰装修、搭建的建构筑物、地下设备设施、青苗及地上附着物</w:t>
      </w:r>
      <w:r>
        <w:rPr>
          <w:rFonts w:hint="eastAsia" w:hAnsi="宋体" w:eastAsia="宋体" w:cs="宋体"/>
          <w:b w:val="0"/>
          <w:bCs w:val="0"/>
          <w:color w:val="auto"/>
          <w:sz w:val="24"/>
          <w:szCs w:val="24"/>
          <w:lang w:val="en-US" w:eastAsia="zh-CN"/>
        </w:rPr>
        <w:t>评估价值</w:t>
      </w:r>
      <w:r>
        <w:rPr>
          <w:rFonts w:hint="eastAsia" w:hAnsi="宋体" w:eastAsia="宋体" w:cs="宋体"/>
          <w:b w:val="0"/>
          <w:bCs w:val="0"/>
          <w:color w:val="auto"/>
          <w:sz w:val="24"/>
          <w:szCs w:val="24"/>
        </w:rPr>
        <w:t>等</w:t>
      </w:r>
      <w:r>
        <w:rPr>
          <w:rFonts w:hint="eastAsia" w:hAnsi="宋体" w:eastAsia="宋体" w:cs="宋体"/>
          <w:b w:val="0"/>
          <w:bCs w:val="0"/>
          <w:color w:val="auto"/>
          <w:sz w:val="24"/>
          <w:szCs w:val="24"/>
          <w:lang w:val="en-US" w:eastAsia="zh-CN"/>
        </w:rPr>
        <w:t>），出具项目资金测算报告。评估价值内含：</w:t>
      </w:r>
    </w:p>
    <w:p w14:paraId="0D7293B8">
      <w:pPr>
        <w:pStyle w:val="4"/>
        <w:spacing w:line="500" w:lineRule="exact"/>
        <w:ind w:firstLine="480" w:firstLineChars="200"/>
        <w:rPr>
          <w:rFonts w:hint="eastAsia" w:hAnsi="宋体" w:eastAsia="宋体" w:cs="宋体"/>
          <w:b w:val="0"/>
          <w:bCs w:val="0"/>
          <w:color w:val="auto"/>
          <w:sz w:val="24"/>
          <w:szCs w:val="24"/>
          <w:lang w:val="en-US" w:eastAsia="zh-CN"/>
        </w:rPr>
      </w:pPr>
      <w:r>
        <w:rPr>
          <w:rFonts w:hint="eastAsia" w:hAnsi="宋体" w:eastAsia="宋体" w:cs="宋体"/>
          <w:b w:val="0"/>
          <w:bCs w:val="0"/>
          <w:color w:val="auto"/>
          <w:sz w:val="24"/>
          <w:szCs w:val="24"/>
          <w:lang w:val="en-US" w:eastAsia="zh-CN"/>
        </w:rPr>
        <w:t>（1）拟征迁房屋价值；</w:t>
      </w:r>
    </w:p>
    <w:p w14:paraId="3EE91198">
      <w:pPr>
        <w:pStyle w:val="4"/>
        <w:spacing w:line="500" w:lineRule="exact"/>
        <w:ind w:firstLine="480" w:firstLineChars="200"/>
        <w:rPr>
          <w:rFonts w:hint="eastAsia" w:hAnsi="宋体" w:eastAsia="宋体" w:cs="宋体"/>
          <w:b w:val="0"/>
          <w:bCs w:val="0"/>
          <w:color w:val="auto"/>
          <w:sz w:val="24"/>
          <w:szCs w:val="24"/>
          <w:lang w:val="en-US" w:eastAsia="zh-CN"/>
        </w:rPr>
      </w:pPr>
      <w:r>
        <w:rPr>
          <w:rFonts w:hint="eastAsia" w:hAnsi="宋体" w:eastAsia="宋体" w:cs="宋体"/>
          <w:b w:val="0"/>
          <w:bCs w:val="0"/>
          <w:color w:val="auto"/>
          <w:sz w:val="24"/>
          <w:szCs w:val="24"/>
          <w:lang w:val="en-US" w:eastAsia="zh-CN"/>
        </w:rPr>
        <w:t>（2）产权调换房屋价值；</w:t>
      </w:r>
    </w:p>
    <w:p w14:paraId="4BDCB9AF">
      <w:pPr>
        <w:pStyle w:val="4"/>
        <w:spacing w:line="500" w:lineRule="exact"/>
        <w:ind w:firstLine="480" w:firstLineChars="200"/>
        <w:rPr>
          <w:rFonts w:hint="eastAsia" w:hAnsi="宋体" w:eastAsia="宋体" w:cs="宋体"/>
          <w:b w:val="0"/>
          <w:bCs w:val="0"/>
          <w:color w:val="auto"/>
          <w:sz w:val="24"/>
          <w:szCs w:val="24"/>
          <w:lang w:val="en-US" w:eastAsia="zh-CN"/>
        </w:rPr>
      </w:pPr>
      <w:r>
        <w:rPr>
          <w:rFonts w:hint="eastAsia" w:hAnsi="宋体" w:eastAsia="宋体" w:cs="宋体"/>
          <w:b w:val="0"/>
          <w:bCs w:val="0"/>
          <w:color w:val="auto"/>
          <w:sz w:val="24"/>
          <w:szCs w:val="24"/>
          <w:lang w:val="en-US" w:eastAsia="zh-CN"/>
        </w:rPr>
        <w:t>（3）构筑物、附属物价值；</w:t>
      </w:r>
    </w:p>
    <w:p w14:paraId="0CE70320">
      <w:pPr>
        <w:pStyle w:val="4"/>
        <w:spacing w:line="500" w:lineRule="exact"/>
        <w:ind w:firstLine="480" w:firstLineChars="200"/>
        <w:rPr>
          <w:rFonts w:hint="default" w:hAnsi="宋体" w:eastAsia="宋体" w:cs="宋体"/>
          <w:b w:val="0"/>
          <w:bCs w:val="0"/>
          <w:color w:val="auto"/>
          <w:sz w:val="24"/>
          <w:szCs w:val="24"/>
          <w:lang w:val="en-US" w:eastAsia="zh-CN"/>
        </w:rPr>
      </w:pPr>
      <w:r>
        <w:rPr>
          <w:rFonts w:hint="eastAsia" w:hAnsi="宋体" w:eastAsia="宋体" w:cs="宋体"/>
          <w:b w:val="0"/>
          <w:bCs w:val="0"/>
          <w:color w:val="auto"/>
          <w:sz w:val="24"/>
          <w:szCs w:val="24"/>
          <w:lang w:val="en-US" w:eastAsia="zh-CN"/>
        </w:rPr>
        <w:t>（4）青苗、地上附着物价值；</w:t>
      </w:r>
    </w:p>
    <w:p w14:paraId="516DD463">
      <w:pPr>
        <w:pStyle w:val="4"/>
        <w:spacing w:line="500" w:lineRule="exact"/>
        <w:ind w:firstLine="480" w:firstLineChars="200"/>
        <w:rPr>
          <w:rFonts w:hint="eastAsia" w:hAnsi="宋体" w:eastAsia="宋体" w:cs="宋体"/>
          <w:b w:val="0"/>
          <w:bCs w:val="0"/>
          <w:color w:val="auto"/>
          <w:sz w:val="24"/>
          <w:szCs w:val="24"/>
          <w:lang w:val="en-US" w:eastAsia="zh-CN"/>
        </w:rPr>
      </w:pPr>
      <w:r>
        <w:rPr>
          <w:rFonts w:hint="eastAsia" w:hAnsi="宋体" w:eastAsia="宋体" w:cs="宋体"/>
          <w:b w:val="0"/>
          <w:bCs w:val="0"/>
          <w:color w:val="auto"/>
          <w:sz w:val="24"/>
          <w:szCs w:val="24"/>
          <w:lang w:val="en-US" w:eastAsia="zh-CN"/>
        </w:rPr>
        <w:t>（5）其他补偿价值（包括房屋室内装饰装修价值、机器设备、物资等搬迁和安装费用，临时安置补偿费以及停产停业补偿费等）；</w:t>
      </w:r>
    </w:p>
    <w:p w14:paraId="6D42A189">
      <w:pPr>
        <w:pStyle w:val="4"/>
        <w:spacing w:line="500" w:lineRule="exact"/>
        <w:ind w:firstLine="480" w:firstLineChars="200"/>
        <w:rPr>
          <w:rFonts w:hint="default" w:hAnsi="宋体" w:eastAsia="宋体" w:cs="宋体"/>
          <w:b w:val="0"/>
          <w:bCs w:val="0"/>
          <w:color w:val="auto"/>
          <w:sz w:val="24"/>
          <w:szCs w:val="24"/>
          <w:lang w:val="en-US" w:eastAsia="zh-CN"/>
        </w:rPr>
      </w:pPr>
      <w:r>
        <w:rPr>
          <w:rFonts w:hint="eastAsia" w:hAnsi="宋体" w:eastAsia="宋体" w:cs="宋体"/>
          <w:b w:val="0"/>
          <w:bCs w:val="0"/>
          <w:color w:val="auto"/>
          <w:sz w:val="24"/>
          <w:szCs w:val="24"/>
          <w:lang w:val="en-US" w:eastAsia="zh-CN"/>
        </w:rPr>
        <w:t>（6）其他与拟征迁退地房屋及土地有关的事项；</w:t>
      </w:r>
    </w:p>
    <w:p w14:paraId="57FFACBE">
      <w:pPr>
        <w:pStyle w:val="4"/>
        <w:spacing w:line="500" w:lineRule="exact"/>
        <w:ind w:firstLine="480" w:firstLineChars="200"/>
        <w:rPr>
          <w:rFonts w:hint="eastAsia" w:hAnsi="宋体" w:eastAsia="宋体" w:cs="宋体"/>
          <w:b w:val="0"/>
          <w:bCs w:val="0"/>
          <w:color w:val="auto"/>
          <w:sz w:val="24"/>
          <w:szCs w:val="24"/>
          <w:lang w:val="en-US" w:eastAsia="zh-CN"/>
        </w:rPr>
      </w:pPr>
      <w:r>
        <w:rPr>
          <w:rFonts w:hint="eastAsia" w:hAnsi="宋体" w:eastAsia="宋体" w:cs="宋体"/>
          <w:b w:val="0"/>
          <w:bCs w:val="0"/>
          <w:color w:val="auto"/>
          <w:sz w:val="24"/>
          <w:szCs w:val="24"/>
          <w:lang w:val="en-US" w:eastAsia="zh-CN"/>
        </w:rPr>
        <w:t>（7）若项目房屋设施方式从协议搬迁转为房屋征收，投标人应向招标人提供预评估结果报告和社会稳定风险评估报告（具体以招标人要求为准）；</w:t>
      </w:r>
    </w:p>
    <w:p w14:paraId="47A10F68">
      <w:pPr>
        <w:pStyle w:val="4"/>
        <w:spacing w:line="500" w:lineRule="exact"/>
        <w:ind w:firstLine="480" w:firstLineChars="200"/>
        <w:rPr>
          <w:rFonts w:hint="eastAsia" w:hAnsi="宋体" w:eastAsia="宋体" w:cs="宋体"/>
          <w:b w:val="0"/>
          <w:bCs w:val="0"/>
          <w:color w:val="auto"/>
          <w:sz w:val="24"/>
          <w:szCs w:val="24"/>
        </w:rPr>
      </w:pPr>
      <w:r>
        <w:rPr>
          <w:rFonts w:hint="eastAsia" w:hAnsi="宋体" w:eastAsia="宋体" w:cs="宋体"/>
          <w:b w:val="0"/>
          <w:bCs w:val="0"/>
          <w:color w:val="auto"/>
          <w:sz w:val="24"/>
          <w:szCs w:val="24"/>
          <w:lang w:val="en-US" w:eastAsia="zh-CN"/>
        </w:rPr>
        <w:t>（8）同一户征迁、退地成果分别出具报告等。</w:t>
      </w:r>
    </w:p>
    <w:p w14:paraId="3E65EC5D">
      <w:pPr>
        <w:pStyle w:val="4"/>
        <w:spacing w:line="500" w:lineRule="exact"/>
        <w:ind w:firstLine="480" w:firstLineChars="200"/>
        <w:rPr>
          <w:rFonts w:hint="default" w:hAnsi="宋体" w:eastAsia="宋体" w:cs="宋体"/>
          <w:b w:val="0"/>
          <w:bCs w:val="0"/>
          <w:color w:val="auto"/>
          <w:sz w:val="24"/>
          <w:szCs w:val="24"/>
          <w:lang w:val="en-US" w:eastAsia="zh-CN"/>
        </w:rPr>
      </w:pPr>
      <w:r>
        <w:rPr>
          <w:rFonts w:hint="eastAsia" w:hAnsi="宋体" w:eastAsia="宋体" w:cs="宋体"/>
          <w:b w:val="0"/>
          <w:bCs w:val="0"/>
          <w:color w:val="auto"/>
          <w:sz w:val="24"/>
          <w:szCs w:val="24"/>
          <w:lang w:val="en-US" w:eastAsia="zh-CN"/>
        </w:rPr>
        <w:t>2.1.3.投标人应在招标人规定的时间节点内向招标人提供评估报告。</w:t>
      </w:r>
    </w:p>
    <w:p w14:paraId="7EA6A7CF">
      <w:pPr>
        <w:pStyle w:val="4"/>
        <w:spacing w:line="500" w:lineRule="exact"/>
        <w:ind w:firstLine="480" w:firstLineChars="200"/>
        <w:rPr>
          <w:rFonts w:hint="eastAsia" w:hAnsi="宋体" w:eastAsia="宋体" w:cs="宋体"/>
          <w:b w:val="0"/>
          <w:bCs w:val="0"/>
          <w:color w:val="auto"/>
          <w:sz w:val="24"/>
          <w:szCs w:val="24"/>
        </w:rPr>
      </w:pPr>
      <w:r>
        <w:rPr>
          <w:rFonts w:hint="eastAsia" w:hAnsi="宋体" w:eastAsia="宋体" w:cs="宋体"/>
          <w:b w:val="0"/>
          <w:bCs w:val="0"/>
          <w:color w:val="auto"/>
          <w:sz w:val="24"/>
          <w:szCs w:val="24"/>
        </w:rPr>
        <w:t>2.1.4.</w:t>
      </w:r>
      <w:r>
        <w:rPr>
          <w:rFonts w:hint="eastAsia" w:hAnsi="宋体" w:eastAsia="宋体" w:cs="宋体"/>
          <w:b w:val="0"/>
          <w:bCs w:val="0"/>
          <w:color w:val="auto"/>
          <w:sz w:val="24"/>
          <w:szCs w:val="24"/>
          <w:lang w:val="en-US" w:eastAsia="zh-CN"/>
        </w:rPr>
        <w:t>招标人对评估报告有疑问的，投标人应当作出解释和说明。</w:t>
      </w:r>
      <w:r>
        <w:rPr>
          <w:rFonts w:hint="eastAsia" w:hAnsi="宋体" w:eastAsia="宋体" w:cs="宋体"/>
          <w:b w:val="0"/>
          <w:bCs w:val="0"/>
          <w:color w:val="auto"/>
          <w:sz w:val="24"/>
          <w:szCs w:val="24"/>
        </w:rPr>
        <w:t xml:space="preserve"> </w:t>
      </w:r>
    </w:p>
    <w:p w14:paraId="79364941">
      <w:pPr>
        <w:pStyle w:val="4"/>
        <w:spacing w:line="500" w:lineRule="exact"/>
        <w:ind w:firstLine="480" w:firstLineChars="200"/>
        <w:rPr>
          <w:rFonts w:hint="eastAsia" w:hAnsi="宋体" w:eastAsia="宋体" w:cs="宋体"/>
          <w:b w:val="0"/>
          <w:bCs w:val="0"/>
          <w:color w:val="auto"/>
          <w:sz w:val="24"/>
          <w:szCs w:val="24"/>
        </w:rPr>
      </w:pPr>
      <w:r>
        <w:rPr>
          <w:rFonts w:hint="eastAsia" w:hAnsi="宋体" w:eastAsia="宋体" w:cs="宋体"/>
          <w:b w:val="0"/>
          <w:bCs w:val="0"/>
          <w:color w:val="auto"/>
          <w:sz w:val="24"/>
          <w:szCs w:val="24"/>
        </w:rPr>
        <w:t>2.1.5.</w:t>
      </w:r>
      <w:r>
        <w:rPr>
          <w:rFonts w:hint="eastAsia" w:hAnsi="宋体" w:eastAsia="宋体" w:cs="宋体"/>
          <w:b w:val="0"/>
          <w:bCs w:val="0"/>
          <w:color w:val="auto"/>
          <w:sz w:val="24"/>
          <w:szCs w:val="24"/>
          <w:lang w:val="en-US" w:eastAsia="zh-CN"/>
        </w:rPr>
        <w:t>投标</w:t>
      </w:r>
      <w:r>
        <w:rPr>
          <w:rFonts w:hint="eastAsia" w:hAnsi="宋体" w:eastAsia="宋体" w:cs="宋体"/>
          <w:b w:val="0"/>
          <w:bCs w:val="0"/>
          <w:color w:val="auto"/>
          <w:sz w:val="24"/>
          <w:szCs w:val="24"/>
        </w:rPr>
        <w:t>人</w:t>
      </w:r>
      <w:r>
        <w:rPr>
          <w:rFonts w:hint="eastAsia" w:hAnsi="宋体" w:eastAsia="宋体" w:cs="宋体"/>
          <w:b w:val="0"/>
          <w:bCs w:val="0"/>
          <w:color w:val="auto"/>
          <w:sz w:val="24"/>
          <w:szCs w:val="24"/>
          <w:lang w:val="en-US" w:eastAsia="zh-CN"/>
        </w:rPr>
        <w:t>应</w:t>
      </w:r>
      <w:r>
        <w:rPr>
          <w:rFonts w:hint="eastAsia" w:hAnsi="宋体" w:eastAsia="宋体" w:cs="宋体"/>
          <w:b w:val="0"/>
          <w:bCs w:val="0"/>
          <w:color w:val="auto"/>
          <w:sz w:val="24"/>
          <w:szCs w:val="24"/>
        </w:rPr>
        <w:t>对本项目估价结果等全部信息资料，尽保密责任，未经招标人同意不得擅自公开或泄漏给他人；</w:t>
      </w:r>
    </w:p>
    <w:p w14:paraId="0782BFDA">
      <w:pPr>
        <w:pStyle w:val="4"/>
        <w:spacing w:line="500" w:lineRule="exact"/>
        <w:ind w:firstLine="480" w:firstLineChars="200"/>
        <w:rPr>
          <w:rFonts w:hint="eastAsia" w:hAnsi="宋体" w:eastAsia="宋体" w:cs="宋体"/>
          <w:b w:val="0"/>
          <w:bCs w:val="0"/>
          <w:color w:val="auto"/>
          <w:sz w:val="24"/>
          <w:szCs w:val="24"/>
        </w:rPr>
      </w:pPr>
      <w:r>
        <w:rPr>
          <w:rFonts w:hint="eastAsia" w:hAnsi="宋体" w:eastAsia="宋体" w:cs="宋体"/>
          <w:b w:val="0"/>
          <w:bCs w:val="0"/>
          <w:color w:val="auto"/>
          <w:sz w:val="24"/>
          <w:szCs w:val="24"/>
        </w:rPr>
        <w:t xml:space="preserve">2.1.6. </w:t>
      </w:r>
      <w:r>
        <w:rPr>
          <w:rFonts w:hint="eastAsia" w:hAnsi="宋体" w:eastAsia="宋体" w:cs="宋体"/>
          <w:b w:val="0"/>
          <w:bCs w:val="0"/>
          <w:color w:val="auto"/>
          <w:sz w:val="24"/>
          <w:szCs w:val="24"/>
          <w:lang w:val="en-US" w:eastAsia="zh-CN"/>
        </w:rPr>
        <w:t>投标人</w:t>
      </w:r>
      <w:r>
        <w:rPr>
          <w:rFonts w:hint="eastAsia" w:hAnsi="宋体" w:eastAsia="宋体" w:cs="宋体"/>
          <w:b w:val="0"/>
          <w:bCs w:val="0"/>
          <w:color w:val="auto"/>
          <w:sz w:val="24"/>
          <w:szCs w:val="24"/>
        </w:rPr>
        <w:t>与征迁退地当事人有利害关系的，应当回避；</w:t>
      </w:r>
    </w:p>
    <w:p w14:paraId="109FABD2">
      <w:pPr>
        <w:pStyle w:val="4"/>
        <w:spacing w:line="500" w:lineRule="exact"/>
        <w:ind w:firstLine="480" w:firstLineChars="200"/>
        <w:rPr>
          <w:rFonts w:hint="eastAsia" w:hAnsi="宋体" w:eastAsia="宋体" w:cs="宋体"/>
          <w:b w:val="0"/>
          <w:bCs w:val="0"/>
          <w:color w:val="auto"/>
          <w:sz w:val="24"/>
          <w:szCs w:val="24"/>
        </w:rPr>
      </w:pPr>
      <w:r>
        <w:rPr>
          <w:rFonts w:hint="eastAsia" w:hAnsi="宋体" w:eastAsia="宋体" w:cs="宋体"/>
          <w:b w:val="0"/>
          <w:bCs w:val="0"/>
          <w:color w:val="auto"/>
          <w:sz w:val="24"/>
          <w:szCs w:val="24"/>
        </w:rPr>
        <w:t xml:space="preserve">2.1.7. </w:t>
      </w:r>
      <w:r>
        <w:rPr>
          <w:rFonts w:hint="eastAsia" w:hAnsi="宋体" w:eastAsia="宋体" w:cs="宋体"/>
          <w:b w:val="0"/>
          <w:bCs w:val="0"/>
          <w:color w:val="auto"/>
          <w:sz w:val="24"/>
          <w:szCs w:val="24"/>
          <w:lang w:val="en-US" w:eastAsia="zh-CN"/>
        </w:rPr>
        <w:t>投标</w:t>
      </w:r>
      <w:r>
        <w:rPr>
          <w:rFonts w:hint="eastAsia" w:hAnsi="宋体" w:eastAsia="宋体" w:cs="宋体"/>
          <w:b w:val="0"/>
          <w:bCs w:val="0"/>
          <w:color w:val="auto"/>
          <w:sz w:val="24"/>
          <w:szCs w:val="24"/>
          <w:lang w:val="en-US"/>
        </w:rPr>
        <w:t>人应当做好项目管理工作，因</w:t>
      </w:r>
      <w:r>
        <w:rPr>
          <w:rFonts w:hint="eastAsia" w:hAnsi="宋体" w:eastAsia="宋体" w:cs="宋体"/>
          <w:b w:val="0"/>
          <w:bCs w:val="0"/>
          <w:color w:val="auto"/>
          <w:sz w:val="24"/>
          <w:szCs w:val="24"/>
          <w:lang w:val="en-US" w:eastAsia="zh-CN"/>
        </w:rPr>
        <w:t>投标</w:t>
      </w:r>
      <w:r>
        <w:rPr>
          <w:rFonts w:hint="eastAsia" w:hAnsi="宋体" w:eastAsia="宋体" w:cs="宋体"/>
          <w:b w:val="0"/>
          <w:bCs w:val="0"/>
          <w:color w:val="auto"/>
          <w:sz w:val="24"/>
          <w:szCs w:val="24"/>
          <w:lang w:val="en-US"/>
        </w:rPr>
        <w:t>人原因造成的包括但不限于：劳动纠纷、工伤事故以及其他纠纷等由中标人自行处理，不得因此造成对项目的不利影响；</w:t>
      </w:r>
    </w:p>
    <w:p w14:paraId="01CF84DB">
      <w:pPr>
        <w:pStyle w:val="4"/>
        <w:spacing w:line="500" w:lineRule="exact"/>
        <w:ind w:firstLine="480" w:firstLineChars="200"/>
        <w:rPr>
          <w:rFonts w:hint="default" w:hAnsi="宋体" w:eastAsia="宋体" w:cs="宋体"/>
          <w:b w:val="0"/>
          <w:bCs w:val="0"/>
          <w:color w:val="auto"/>
          <w:sz w:val="24"/>
          <w:szCs w:val="24"/>
          <w:lang w:val="en-US" w:eastAsia="zh-CN"/>
        </w:rPr>
      </w:pPr>
      <w:r>
        <w:rPr>
          <w:rFonts w:hint="eastAsia" w:hAnsi="宋体" w:eastAsia="宋体" w:cs="宋体"/>
          <w:b w:val="0"/>
          <w:bCs w:val="0"/>
          <w:color w:val="auto"/>
          <w:sz w:val="24"/>
          <w:szCs w:val="24"/>
          <w:lang w:val="en-US"/>
        </w:rPr>
        <w:t>2.1.8.</w:t>
      </w:r>
      <w:r>
        <w:rPr>
          <w:rFonts w:hint="eastAsia" w:hAnsi="宋体" w:eastAsia="宋体" w:cs="宋体"/>
          <w:b w:val="0"/>
          <w:bCs w:val="0"/>
          <w:color w:val="auto"/>
          <w:sz w:val="24"/>
          <w:szCs w:val="24"/>
          <w:lang w:val="en-US" w:eastAsia="zh-CN"/>
        </w:rPr>
        <w:t>投标人应按招标人需求进行相关数据的收集和汇总统计。</w:t>
      </w:r>
    </w:p>
    <w:p w14:paraId="02A2CC71">
      <w:pPr>
        <w:pStyle w:val="4"/>
        <w:spacing w:line="500" w:lineRule="exact"/>
        <w:ind w:firstLine="480" w:firstLineChars="200"/>
        <w:rPr>
          <w:rFonts w:hint="eastAsia" w:hAnsi="宋体" w:eastAsia="宋体" w:cs="宋体"/>
          <w:b w:val="0"/>
          <w:bCs w:val="0"/>
          <w:color w:val="auto"/>
          <w:sz w:val="24"/>
          <w:szCs w:val="24"/>
          <w:lang w:val="en-US"/>
        </w:rPr>
      </w:pPr>
      <w:r>
        <w:rPr>
          <w:rFonts w:hint="eastAsia" w:hAnsi="宋体" w:eastAsia="宋体" w:cs="宋体"/>
          <w:b w:val="0"/>
          <w:bCs w:val="0"/>
          <w:color w:val="auto"/>
          <w:sz w:val="24"/>
          <w:szCs w:val="24"/>
          <w:lang w:val="en-US"/>
        </w:rPr>
        <w:t>2.1.9.</w:t>
      </w:r>
      <w:r>
        <w:rPr>
          <w:rFonts w:hint="eastAsia" w:hAnsi="宋体" w:eastAsia="宋体" w:cs="宋体"/>
          <w:b w:val="0"/>
          <w:bCs w:val="0"/>
          <w:color w:val="auto"/>
          <w:sz w:val="24"/>
          <w:szCs w:val="24"/>
          <w:lang w:val="en-US" w:eastAsia="zh-CN"/>
        </w:rPr>
        <w:t>投标</w:t>
      </w:r>
      <w:r>
        <w:rPr>
          <w:rFonts w:hint="eastAsia" w:hAnsi="宋体" w:eastAsia="宋体" w:cs="宋体"/>
          <w:b w:val="0"/>
          <w:bCs w:val="0"/>
          <w:color w:val="auto"/>
          <w:sz w:val="24"/>
          <w:szCs w:val="24"/>
          <w:lang w:val="en-US"/>
        </w:rPr>
        <w:t>人应当做好安全管理工作，履行安全生产义务并自行承担工作过程中的安全责任，因</w:t>
      </w:r>
      <w:r>
        <w:rPr>
          <w:rFonts w:hint="eastAsia" w:hAnsi="宋体" w:eastAsia="宋体" w:cs="宋体"/>
          <w:b w:val="0"/>
          <w:bCs w:val="0"/>
          <w:color w:val="auto"/>
          <w:sz w:val="24"/>
          <w:szCs w:val="24"/>
          <w:lang w:val="en-US" w:eastAsia="zh-CN"/>
        </w:rPr>
        <w:t>投标</w:t>
      </w:r>
      <w:r>
        <w:rPr>
          <w:rFonts w:hint="eastAsia" w:hAnsi="宋体" w:eastAsia="宋体" w:cs="宋体"/>
          <w:b w:val="0"/>
          <w:bCs w:val="0"/>
          <w:color w:val="auto"/>
          <w:sz w:val="24"/>
          <w:szCs w:val="24"/>
          <w:lang w:val="en-US"/>
        </w:rPr>
        <w:t>人原因造成的安全生产事故由</w:t>
      </w:r>
      <w:r>
        <w:rPr>
          <w:rFonts w:hint="eastAsia" w:hAnsi="宋体" w:eastAsia="宋体" w:cs="宋体"/>
          <w:b w:val="0"/>
          <w:bCs w:val="0"/>
          <w:color w:val="auto"/>
          <w:sz w:val="24"/>
          <w:szCs w:val="24"/>
          <w:lang w:val="en-US" w:eastAsia="zh-CN"/>
        </w:rPr>
        <w:t>投标</w:t>
      </w:r>
      <w:r>
        <w:rPr>
          <w:rFonts w:hint="eastAsia" w:hAnsi="宋体" w:eastAsia="宋体" w:cs="宋体"/>
          <w:b w:val="0"/>
          <w:bCs w:val="0"/>
          <w:color w:val="auto"/>
          <w:sz w:val="24"/>
          <w:szCs w:val="24"/>
          <w:lang w:val="en-US"/>
        </w:rPr>
        <w:t>人自行处理，如因</w:t>
      </w:r>
      <w:r>
        <w:rPr>
          <w:rFonts w:hint="eastAsia" w:hAnsi="宋体" w:eastAsia="宋体" w:cs="宋体"/>
          <w:b w:val="0"/>
          <w:bCs w:val="0"/>
          <w:color w:val="auto"/>
          <w:sz w:val="24"/>
          <w:szCs w:val="24"/>
          <w:lang w:val="en-US" w:eastAsia="zh-CN"/>
        </w:rPr>
        <w:t>投标</w:t>
      </w:r>
      <w:r>
        <w:rPr>
          <w:rFonts w:hint="eastAsia" w:hAnsi="宋体" w:eastAsia="宋体" w:cs="宋体"/>
          <w:b w:val="0"/>
          <w:bCs w:val="0"/>
          <w:color w:val="auto"/>
          <w:sz w:val="24"/>
          <w:szCs w:val="24"/>
          <w:lang w:val="en-US"/>
        </w:rPr>
        <w:t>人原因给招标人造成损失的，</w:t>
      </w:r>
      <w:r>
        <w:rPr>
          <w:rFonts w:hint="eastAsia" w:hAnsi="宋体" w:eastAsia="宋体" w:cs="宋体"/>
          <w:b w:val="0"/>
          <w:bCs w:val="0"/>
          <w:color w:val="auto"/>
          <w:sz w:val="24"/>
          <w:szCs w:val="24"/>
          <w:lang w:val="en-US" w:eastAsia="zh-CN"/>
        </w:rPr>
        <w:t>投标</w:t>
      </w:r>
      <w:r>
        <w:rPr>
          <w:rFonts w:hint="eastAsia" w:hAnsi="宋体" w:eastAsia="宋体" w:cs="宋体"/>
          <w:b w:val="0"/>
          <w:bCs w:val="0"/>
          <w:color w:val="auto"/>
          <w:sz w:val="24"/>
          <w:szCs w:val="24"/>
          <w:lang w:val="en-US"/>
        </w:rPr>
        <w:t>人应当予以赔偿包括但不限于：律师费、诉讼费、经济损失费等；</w:t>
      </w:r>
    </w:p>
    <w:p w14:paraId="6FB24B06">
      <w:pPr>
        <w:pStyle w:val="4"/>
        <w:spacing w:line="500" w:lineRule="exact"/>
        <w:ind w:firstLine="480" w:firstLineChars="200"/>
        <w:rPr>
          <w:rFonts w:hint="eastAsia" w:hAnsi="宋体" w:eastAsia="宋体" w:cs="宋体"/>
          <w:b w:val="0"/>
          <w:bCs w:val="0"/>
          <w:color w:val="auto"/>
          <w:sz w:val="24"/>
          <w:szCs w:val="24"/>
          <w:lang w:val="en-US"/>
        </w:rPr>
      </w:pPr>
      <w:r>
        <w:rPr>
          <w:rFonts w:hint="eastAsia" w:hAnsi="宋体" w:eastAsia="宋体" w:cs="宋体"/>
          <w:b w:val="0"/>
          <w:bCs w:val="0"/>
          <w:color w:val="auto"/>
          <w:sz w:val="24"/>
          <w:szCs w:val="24"/>
          <w:lang w:val="en-US"/>
        </w:rPr>
        <w:t>2.1.10.</w:t>
      </w:r>
      <w:r>
        <w:rPr>
          <w:rFonts w:hint="eastAsia" w:hAnsi="宋体" w:eastAsia="宋体" w:cs="宋体"/>
          <w:b w:val="0"/>
          <w:bCs w:val="0"/>
          <w:color w:val="auto"/>
          <w:sz w:val="24"/>
          <w:szCs w:val="24"/>
          <w:lang w:val="en-US" w:eastAsia="zh-CN"/>
        </w:rPr>
        <w:t>投标</w:t>
      </w:r>
      <w:r>
        <w:rPr>
          <w:rFonts w:hint="eastAsia" w:hAnsi="宋体" w:eastAsia="宋体" w:cs="宋体"/>
          <w:b w:val="0"/>
          <w:bCs w:val="0"/>
          <w:color w:val="auto"/>
          <w:sz w:val="24"/>
          <w:szCs w:val="24"/>
          <w:lang w:val="en-US"/>
        </w:rPr>
        <w:t>人应招标人要求及项目实际需要，在日常工作中安排足量人员在项目现场设立办公地点进行办公，随时提供相关服务；</w:t>
      </w:r>
    </w:p>
    <w:p w14:paraId="00FA7760">
      <w:pPr>
        <w:pStyle w:val="4"/>
        <w:spacing w:line="500" w:lineRule="exact"/>
        <w:ind w:firstLine="480" w:firstLineChars="200"/>
        <w:rPr>
          <w:rFonts w:hint="eastAsia" w:hAnsi="宋体" w:eastAsia="宋体" w:cs="宋体"/>
          <w:b w:val="0"/>
          <w:bCs w:val="0"/>
          <w:color w:val="auto"/>
          <w:sz w:val="24"/>
          <w:szCs w:val="24"/>
          <w:lang w:val="en-US"/>
        </w:rPr>
      </w:pPr>
      <w:r>
        <w:rPr>
          <w:rFonts w:hint="eastAsia" w:hAnsi="宋体" w:eastAsia="宋体" w:cs="宋体"/>
          <w:b w:val="0"/>
          <w:bCs w:val="0"/>
          <w:color w:val="auto"/>
          <w:sz w:val="24"/>
          <w:szCs w:val="24"/>
          <w:lang w:val="en-US"/>
        </w:rPr>
        <w:t>2.1.11.应招标人要求，</w:t>
      </w:r>
      <w:r>
        <w:rPr>
          <w:rFonts w:hint="eastAsia" w:hAnsi="宋体" w:eastAsia="宋体" w:cs="宋体"/>
          <w:b w:val="0"/>
          <w:bCs w:val="0"/>
          <w:color w:val="auto"/>
          <w:sz w:val="24"/>
          <w:szCs w:val="24"/>
          <w:lang w:val="en-US" w:eastAsia="zh-CN"/>
        </w:rPr>
        <w:t>投标</w:t>
      </w:r>
      <w:r>
        <w:rPr>
          <w:rFonts w:hint="eastAsia" w:hAnsi="宋体" w:eastAsia="宋体" w:cs="宋体"/>
          <w:b w:val="0"/>
          <w:bCs w:val="0"/>
          <w:color w:val="auto"/>
          <w:sz w:val="24"/>
          <w:szCs w:val="24"/>
          <w:lang w:val="en-US"/>
        </w:rPr>
        <w:t>人对项目所在地征迁退地工作人员进行征迁退地评估等方面相关知识的专项培训。</w:t>
      </w:r>
    </w:p>
    <w:p w14:paraId="4379C781">
      <w:pPr>
        <w:pStyle w:val="4"/>
        <w:spacing w:line="500" w:lineRule="exact"/>
        <w:ind w:firstLine="480" w:firstLineChars="200"/>
        <w:rPr>
          <w:rFonts w:hint="eastAsia" w:hAnsi="宋体" w:eastAsia="宋体" w:cs="宋体"/>
          <w:b w:val="0"/>
          <w:bCs w:val="0"/>
          <w:sz w:val="24"/>
          <w:szCs w:val="24"/>
        </w:rPr>
      </w:pPr>
      <w:r>
        <w:rPr>
          <w:rFonts w:hint="eastAsia" w:hAnsi="宋体" w:eastAsia="宋体" w:cs="宋体"/>
          <w:b w:val="0"/>
          <w:bCs w:val="0"/>
          <w:sz w:val="24"/>
          <w:szCs w:val="24"/>
        </w:rPr>
        <w:t xml:space="preserve">2.2成果文件交付时间及方式 </w:t>
      </w:r>
    </w:p>
    <w:p w14:paraId="73AC0CC9">
      <w:pPr>
        <w:pStyle w:val="4"/>
        <w:spacing w:line="500" w:lineRule="exact"/>
        <w:ind w:firstLine="480" w:firstLineChars="200"/>
        <w:rPr>
          <w:rFonts w:hint="eastAsia" w:hAnsi="宋体" w:eastAsia="宋体" w:cs="宋体"/>
          <w:b w:val="0"/>
          <w:bCs w:val="0"/>
          <w:sz w:val="24"/>
          <w:szCs w:val="24"/>
        </w:rPr>
      </w:pPr>
      <w:r>
        <w:rPr>
          <w:rFonts w:hint="eastAsia" w:hAnsi="宋体" w:eastAsia="宋体" w:cs="宋体"/>
          <w:b w:val="0"/>
          <w:bCs w:val="0"/>
          <w:sz w:val="24"/>
          <w:szCs w:val="24"/>
          <w:lang w:val="en-US" w:eastAsia="zh-CN"/>
        </w:rPr>
        <w:t>投标</w:t>
      </w:r>
      <w:r>
        <w:rPr>
          <w:rFonts w:hint="eastAsia" w:hAnsi="宋体" w:eastAsia="宋体" w:cs="宋体"/>
          <w:b w:val="0"/>
          <w:bCs w:val="0"/>
          <w:sz w:val="24"/>
          <w:szCs w:val="24"/>
        </w:rPr>
        <w:t>人应自合同签订之日起60日内向招标人交付全部成果文件，具体以招标人要求为准。但因招标人原因导致</w:t>
      </w:r>
      <w:r>
        <w:rPr>
          <w:rFonts w:hint="eastAsia" w:hAnsi="宋体" w:eastAsia="宋体" w:cs="宋体"/>
          <w:b w:val="0"/>
          <w:bCs w:val="0"/>
          <w:sz w:val="24"/>
          <w:szCs w:val="24"/>
          <w:lang w:val="en-US" w:eastAsia="zh-CN"/>
        </w:rPr>
        <w:t>投标</w:t>
      </w:r>
      <w:r>
        <w:rPr>
          <w:rFonts w:hint="eastAsia" w:hAnsi="宋体" w:eastAsia="宋体" w:cs="宋体"/>
          <w:b w:val="0"/>
          <w:bCs w:val="0"/>
          <w:sz w:val="24"/>
          <w:szCs w:val="24"/>
        </w:rPr>
        <w:t>人不能正常开展评估工作的，成果文件交付期限相应顺延。</w:t>
      </w:r>
    </w:p>
    <w:p w14:paraId="0A45F2DF">
      <w:pPr>
        <w:widowControl/>
        <w:spacing w:line="360" w:lineRule="auto"/>
        <w:ind w:firstLine="480" w:firstLineChars="200"/>
        <w:jc w:val="left"/>
        <w:rPr>
          <w:rFonts w:ascii="宋体" w:hAnsi="宋体" w:eastAsia="宋体" w:cs="宋体"/>
          <w:b w:val="0"/>
          <w:bCs w:val="0"/>
          <w:sz w:val="24"/>
          <w:szCs w:val="24"/>
        </w:rPr>
      </w:pPr>
      <w:r>
        <w:rPr>
          <w:rFonts w:hint="eastAsia" w:ascii="宋体" w:hAnsi="宋体" w:eastAsia="宋体" w:cs="宋体"/>
          <w:b w:val="0"/>
          <w:bCs w:val="0"/>
          <w:sz w:val="24"/>
          <w:szCs w:val="24"/>
        </w:rPr>
        <w:t>2.3报价要求：</w:t>
      </w:r>
    </w:p>
    <w:p w14:paraId="7E544FDD">
      <w:pPr>
        <w:pStyle w:val="4"/>
        <w:spacing w:line="500" w:lineRule="exact"/>
        <w:ind w:firstLine="480" w:firstLineChars="200"/>
        <w:rPr>
          <w:rFonts w:hint="eastAsia" w:hAnsi="宋体" w:eastAsia="宋体" w:cs="宋体"/>
          <w:b w:val="0"/>
          <w:bCs w:val="0"/>
          <w:sz w:val="24"/>
          <w:szCs w:val="24"/>
        </w:rPr>
      </w:pPr>
      <w:r>
        <w:rPr>
          <w:rFonts w:hint="eastAsia" w:hAnsi="宋体" w:eastAsia="宋体" w:cs="宋体"/>
          <w:b w:val="0"/>
          <w:bCs w:val="0"/>
          <w:sz w:val="24"/>
          <w:szCs w:val="24"/>
        </w:rPr>
        <w:t>2.3.1本项目报价为折扣率报价。按照实际工作量据实结算，即实际结算价格=取费标准单价*中标折扣率*实际建筑面积+实际退地面积*取费标准单价*</w:t>
      </w:r>
      <w:r>
        <w:rPr>
          <w:rFonts w:hint="eastAsia" w:ascii="宋体" w:hAnsi="宋体" w:eastAsia="宋体" w:cs="宋体"/>
          <w:b w:val="0"/>
          <w:bCs w:val="0"/>
          <w:sz w:val="24"/>
          <w:szCs w:val="24"/>
        </w:rPr>
        <w:t>中标折扣率（实际面积以审计最终确认的房屋建筑、退地面积为准）。</w:t>
      </w:r>
      <w:r>
        <w:rPr>
          <w:rFonts w:hint="eastAsia" w:hAnsi="宋体" w:eastAsia="宋体" w:cs="宋体"/>
          <w:b w:val="0"/>
          <w:bCs w:val="0"/>
          <w:sz w:val="24"/>
          <w:szCs w:val="24"/>
        </w:rPr>
        <w:t>最高结算金额不得超过本项目</w:t>
      </w:r>
      <w:r>
        <w:rPr>
          <w:rFonts w:hint="eastAsia" w:hAnsi="宋体" w:eastAsia="宋体" w:cs="宋体"/>
          <w:b w:val="0"/>
          <w:bCs w:val="0"/>
          <w:sz w:val="24"/>
          <w:szCs w:val="24"/>
          <w:lang w:eastAsia="zh-CN"/>
        </w:rPr>
        <w:t>的</w:t>
      </w:r>
      <w:r>
        <w:rPr>
          <w:rFonts w:hint="eastAsia" w:hAnsi="宋体" w:eastAsia="宋体" w:cs="宋体"/>
          <w:b w:val="0"/>
          <w:bCs w:val="0"/>
          <w:sz w:val="24"/>
          <w:szCs w:val="24"/>
          <w:lang w:val="en-US" w:eastAsia="zh-CN"/>
        </w:rPr>
        <w:t>最高限价</w:t>
      </w:r>
      <w:r>
        <w:rPr>
          <w:rFonts w:hint="eastAsia" w:hAnsi="宋体" w:eastAsia="宋体" w:cs="宋体"/>
          <w:b w:val="0"/>
          <w:bCs w:val="0"/>
          <w:sz w:val="24"/>
          <w:szCs w:val="24"/>
        </w:rPr>
        <w:t>*中标折扣率。折扣率不得大于100%，折扣率应为一个定值（不得有区间范围），否则视为无效投标。</w:t>
      </w:r>
    </w:p>
    <w:p w14:paraId="51306D98">
      <w:pPr>
        <w:pStyle w:val="4"/>
        <w:spacing w:line="500" w:lineRule="exact"/>
        <w:ind w:firstLine="480" w:firstLineChars="200"/>
        <w:rPr>
          <w:rFonts w:hint="eastAsia" w:hAnsi="宋体" w:eastAsia="宋体" w:cs="宋体"/>
          <w:b w:val="0"/>
          <w:bCs w:val="0"/>
          <w:sz w:val="24"/>
          <w:szCs w:val="24"/>
        </w:rPr>
      </w:pPr>
      <w:r>
        <w:rPr>
          <w:rFonts w:hint="eastAsia" w:hAnsi="宋体" w:eastAsia="宋体" w:cs="宋体"/>
          <w:b w:val="0"/>
          <w:bCs w:val="0"/>
          <w:sz w:val="24"/>
          <w:szCs w:val="24"/>
        </w:rPr>
        <w:t>取费单价如下：</w:t>
      </w:r>
    </w:p>
    <w:tbl>
      <w:tblPr>
        <w:tblStyle w:val="6"/>
        <w:tblW w:w="8972" w:type="dxa"/>
        <w:jc w:val="center"/>
        <w:tblLayout w:type="autofit"/>
        <w:tblCellMar>
          <w:top w:w="0" w:type="dxa"/>
          <w:left w:w="108" w:type="dxa"/>
          <w:bottom w:w="0" w:type="dxa"/>
          <w:right w:w="108" w:type="dxa"/>
        </w:tblCellMar>
      </w:tblPr>
      <w:tblGrid>
        <w:gridCol w:w="4487"/>
        <w:gridCol w:w="3131"/>
        <w:gridCol w:w="1354"/>
      </w:tblGrid>
      <w:tr w14:paraId="6638A6E2">
        <w:tblPrEx>
          <w:tblCellMar>
            <w:top w:w="0" w:type="dxa"/>
            <w:left w:w="108" w:type="dxa"/>
            <w:bottom w:w="0" w:type="dxa"/>
            <w:right w:w="108" w:type="dxa"/>
          </w:tblCellMar>
        </w:tblPrEx>
        <w:trPr>
          <w:trHeight w:val="405" w:hRule="atLeast"/>
          <w:jc w:val="center"/>
        </w:trPr>
        <w:tc>
          <w:tcPr>
            <w:tcW w:w="4487" w:type="dxa"/>
            <w:tcBorders>
              <w:top w:val="single" w:color="000000" w:sz="4" w:space="0"/>
              <w:left w:val="single" w:color="000000" w:sz="4" w:space="0"/>
              <w:bottom w:val="single" w:color="000000" w:sz="4" w:space="0"/>
              <w:right w:val="single" w:color="000000" w:sz="4" w:space="0"/>
            </w:tcBorders>
            <w:vAlign w:val="center"/>
          </w:tcPr>
          <w:p w14:paraId="44A94B21">
            <w:pPr>
              <w:pStyle w:val="4"/>
              <w:spacing w:line="500" w:lineRule="exact"/>
              <w:jc w:val="center"/>
              <w:rPr>
                <w:rFonts w:hint="eastAsia" w:hAnsi="宋体" w:eastAsia="宋体" w:cs="宋体"/>
                <w:b w:val="0"/>
                <w:bCs w:val="0"/>
                <w:sz w:val="24"/>
                <w:szCs w:val="24"/>
              </w:rPr>
            </w:pPr>
            <w:r>
              <w:rPr>
                <w:rFonts w:hint="eastAsia" w:hAnsi="宋体" w:eastAsia="宋体" w:cs="宋体"/>
                <w:b w:val="0"/>
                <w:bCs w:val="0"/>
                <w:sz w:val="24"/>
                <w:szCs w:val="24"/>
              </w:rPr>
              <w:t>取费方式</w:t>
            </w:r>
          </w:p>
        </w:tc>
        <w:tc>
          <w:tcPr>
            <w:tcW w:w="4485" w:type="dxa"/>
            <w:gridSpan w:val="2"/>
            <w:tcBorders>
              <w:top w:val="single" w:color="000000" w:sz="4" w:space="0"/>
              <w:left w:val="single" w:color="000000" w:sz="4" w:space="0"/>
              <w:bottom w:val="single" w:color="000000" w:sz="4" w:space="0"/>
              <w:right w:val="single" w:color="000000" w:sz="4" w:space="0"/>
            </w:tcBorders>
            <w:vAlign w:val="center"/>
          </w:tcPr>
          <w:p w14:paraId="4335FF52">
            <w:pPr>
              <w:pStyle w:val="4"/>
              <w:spacing w:line="500" w:lineRule="exact"/>
              <w:jc w:val="center"/>
              <w:rPr>
                <w:rFonts w:hint="eastAsia" w:hAnsi="宋体" w:eastAsia="宋体" w:cs="宋体"/>
                <w:b w:val="0"/>
                <w:bCs w:val="0"/>
                <w:sz w:val="24"/>
                <w:szCs w:val="24"/>
              </w:rPr>
            </w:pPr>
            <w:r>
              <w:rPr>
                <w:rFonts w:hint="eastAsia" w:hAnsi="宋体" w:eastAsia="宋体" w:cs="宋体"/>
                <w:b w:val="0"/>
                <w:bCs w:val="0"/>
                <w:sz w:val="24"/>
                <w:szCs w:val="24"/>
              </w:rPr>
              <w:t>取费标准</w:t>
            </w:r>
          </w:p>
        </w:tc>
      </w:tr>
      <w:tr w14:paraId="641216BF">
        <w:tblPrEx>
          <w:tblCellMar>
            <w:top w:w="0" w:type="dxa"/>
            <w:left w:w="108" w:type="dxa"/>
            <w:bottom w:w="0" w:type="dxa"/>
            <w:right w:w="108" w:type="dxa"/>
          </w:tblCellMar>
        </w:tblPrEx>
        <w:trPr>
          <w:trHeight w:val="532" w:hRule="atLeast"/>
          <w:jc w:val="center"/>
        </w:trPr>
        <w:tc>
          <w:tcPr>
            <w:tcW w:w="4487" w:type="dxa"/>
            <w:tcBorders>
              <w:top w:val="single" w:color="000000" w:sz="4" w:space="0"/>
              <w:left w:val="single" w:color="000000" w:sz="4" w:space="0"/>
              <w:bottom w:val="single" w:color="000000" w:sz="4" w:space="0"/>
              <w:right w:val="single" w:color="000000" w:sz="4" w:space="0"/>
            </w:tcBorders>
            <w:vAlign w:val="center"/>
          </w:tcPr>
          <w:p w14:paraId="75557763">
            <w:pPr>
              <w:pStyle w:val="4"/>
              <w:spacing w:line="500" w:lineRule="exact"/>
              <w:jc w:val="center"/>
              <w:rPr>
                <w:rFonts w:hint="eastAsia" w:hAnsi="宋体" w:eastAsia="宋体" w:cs="宋体"/>
                <w:b w:val="0"/>
                <w:bCs w:val="0"/>
                <w:sz w:val="24"/>
                <w:szCs w:val="24"/>
              </w:rPr>
            </w:pPr>
            <w:r>
              <w:rPr>
                <w:rFonts w:hAnsi="宋体" w:eastAsia="宋体" w:cs="宋体"/>
                <w:b w:val="0"/>
                <w:bCs w:val="0"/>
                <w:sz w:val="24"/>
                <w:szCs w:val="24"/>
              </w:rPr>
              <w:t>征迁（按</w:t>
            </w:r>
            <w:r>
              <w:rPr>
                <w:rFonts w:hint="eastAsia" w:hAnsi="宋体" w:eastAsia="宋体" w:cs="宋体"/>
                <w:b w:val="0"/>
                <w:bCs w:val="0"/>
                <w:sz w:val="24"/>
                <w:szCs w:val="24"/>
              </w:rPr>
              <w:t>实际建筑面积</w:t>
            </w:r>
            <w:r>
              <w:rPr>
                <w:rFonts w:hAnsi="宋体" w:eastAsia="宋体" w:cs="宋体"/>
                <w:b w:val="0"/>
                <w:bCs w:val="0"/>
                <w:sz w:val="24"/>
                <w:szCs w:val="24"/>
              </w:rPr>
              <w:t>计费）</w:t>
            </w:r>
          </w:p>
        </w:tc>
        <w:tc>
          <w:tcPr>
            <w:tcW w:w="4485" w:type="dxa"/>
            <w:gridSpan w:val="2"/>
            <w:tcBorders>
              <w:top w:val="single" w:color="000000" w:sz="4" w:space="0"/>
              <w:left w:val="single" w:color="000000" w:sz="4" w:space="0"/>
              <w:bottom w:val="single" w:color="000000" w:sz="4" w:space="0"/>
              <w:right w:val="single" w:color="000000" w:sz="4" w:space="0"/>
            </w:tcBorders>
            <w:vAlign w:val="center"/>
          </w:tcPr>
          <w:p w14:paraId="55D32E82">
            <w:pPr>
              <w:pStyle w:val="4"/>
              <w:spacing w:line="500" w:lineRule="exact"/>
              <w:jc w:val="center"/>
              <w:rPr>
                <w:rFonts w:hAnsi="宋体" w:eastAsia="宋体" w:cs="宋体"/>
                <w:b w:val="0"/>
                <w:bCs w:val="0"/>
                <w:sz w:val="24"/>
                <w:szCs w:val="24"/>
              </w:rPr>
            </w:pPr>
            <w:r>
              <w:rPr>
                <w:rFonts w:hint="eastAsia" w:hAnsi="宋体" w:eastAsia="宋体" w:cs="宋体"/>
                <w:b w:val="0"/>
                <w:bCs w:val="0"/>
                <w:sz w:val="24"/>
                <w:szCs w:val="24"/>
              </w:rPr>
              <w:t>3元/㎡</w:t>
            </w:r>
          </w:p>
        </w:tc>
      </w:tr>
      <w:tr w14:paraId="2ED483FD">
        <w:tblPrEx>
          <w:tblCellMar>
            <w:top w:w="0" w:type="dxa"/>
            <w:left w:w="108" w:type="dxa"/>
            <w:bottom w:w="0" w:type="dxa"/>
            <w:right w:w="108" w:type="dxa"/>
          </w:tblCellMar>
        </w:tblPrEx>
        <w:trPr>
          <w:trHeight w:val="461" w:hRule="atLeast"/>
          <w:jc w:val="center"/>
        </w:trPr>
        <w:tc>
          <w:tcPr>
            <w:tcW w:w="4487" w:type="dxa"/>
            <w:vMerge w:val="restart"/>
            <w:tcBorders>
              <w:top w:val="single" w:color="000000" w:sz="4" w:space="0"/>
              <w:left w:val="single" w:color="000000" w:sz="4" w:space="0"/>
              <w:bottom w:val="single" w:color="000000" w:sz="4" w:space="0"/>
              <w:right w:val="single" w:color="000000" w:sz="4" w:space="0"/>
            </w:tcBorders>
            <w:vAlign w:val="center"/>
          </w:tcPr>
          <w:p w14:paraId="7727F6B4">
            <w:pPr>
              <w:pStyle w:val="4"/>
              <w:spacing w:line="500" w:lineRule="exact"/>
              <w:jc w:val="center"/>
              <w:rPr>
                <w:rFonts w:hint="eastAsia" w:hAnsi="宋体" w:eastAsia="宋体" w:cs="宋体"/>
                <w:b w:val="0"/>
                <w:bCs w:val="0"/>
                <w:sz w:val="24"/>
                <w:szCs w:val="24"/>
              </w:rPr>
            </w:pPr>
            <w:r>
              <w:rPr>
                <w:rFonts w:hAnsi="宋体" w:eastAsia="宋体" w:cs="宋体"/>
                <w:b w:val="0"/>
                <w:bCs w:val="0"/>
                <w:sz w:val="24"/>
                <w:szCs w:val="24"/>
              </w:rPr>
              <w:t>退地（依据鄂价工服规[2011]24号，按实际退地评估部分补偿金额累进制计费</w:t>
            </w:r>
            <w:r>
              <w:rPr>
                <w:rFonts w:hint="eastAsia" w:hAnsi="宋体" w:eastAsia="宋体" w:cs="宋体"/>
                <w:b w:val="0"/>
                <w:bCs w:val="0"/>
                <w:sz w:val="24"/>
                <w:szCs w:val="24"/>
              </w:rPr>
              <w:t>，表格未尽收费以文件为准</w:t>
            </w:r>
            <w:r>
              <w:rPr>
                <w:rFonts w:hAnsi="宋体" w:eastAsia="宋体" w:cs="宋体"/>
                <w:b w:val="0"/>
                <w:bCs w:val="0"/>
                <w:sz w:val="24"/>
                <w:szCs w:val="24"/>
              </w:rPr>
              <w:t>）</w:t>
            </w:r>
          </w:p>
        </w:tc>
        <w:tc>
          <w:tcPr>
            <w:tcW w:w="3131" w:type="dxa"/>
            <w:tcBorders>
              <w:top w:val="single" w:color="000000" w:sz="4" w:space="0"/>
              <w:left w:val="single" w:color="000000" w:sz="4" w:space="0"/>
              <w:bottom w:val="single" w:color="000000" w:sz="4" w:space="0"/>
              <w:right w:val="single" w:color="000000" w:sz="4" w:space="0"/>
            </w:tcBorders>
            <w:vAlign w:val="center"/>
          </w:tcPr>
          <w:p w14:paraId="481F2659">
            <w:pPr>
              <w:pStyle w:val="4"/>
              <w:spacing w:line="500" w:lineRule="exact"/>
              <w:jc w:val="center"/>
              <w:rPr>
                <w:rFonts w:hint="eastAsia" w:hAnsi="宋体" w:eastAsia="宋体" w:cs="宋体"/>
                <w:b w:val="0"/>
                <w:bCs w:val="0"/>
                <w:sz w:val="24"/>
                <w:szCs w:val="24"/>
              </w:rPr>
            </w:pPr>
            <w:r>
              <w:rPr>
                <w:rFonts w:hAnsi="宋体" w:eastAsia="宋体" w:cs="宋体"/>
                <w:b w:val="0"/>
                <w:bCs w:val="0"/>
                <w:sz w:val="24"/>
                <w:szCs w:val="24"/>
              </w:rPr>
              <w:t>100万元以内</w:t>
            </w:r>
          </w:p>
        </w:tc>
        <w:tc>
          <w:tcPr>
            <w:tcW w:w="1354" w:type="dxa"/>
            <w:tcBorders>
              <w:top w:val="single" w:color="000000" w:sz="4" w:space="0"/>
              <w:left w:val="single" w:color="000000" w:sz="4" w:space="0"/>
              <w:bottom w:val="single" w:color="000000" w:sz="4" w:space="0"/>
              <w:right w:val="single" w:color="000000" w:sz="4" w:space="0"/>
            </w:tcBorders>
            <w:vAlign w:val="center"/>
          </w:tcPr>
          <w:p w14:paraId="0C265556">
            <w:pPr>
              <w:pStyle w:val="4"/>
              <w:spacing w:line="500" w:lineRule="exact"/>
              <w:jc w:val="center"/>
              <w:rPr>
                <w:rFonts w:hint="eastAsia" w:hAnsi="宋体" w:eastAsia="宋体" w:cs="宋体"/>
                <w:b w:val="0"/>
                <w:bCs w:val="0"/>
                <w:sz w:val="24"/>
                <w:szCs w:val="24"/>
              </w:rPr>
            </w:pPr>
            <w:r>
              <w:rPr>
                <w:rFonts w:hAnsi="宋体" w:eastAsia="宋体" w:cs="宋体"/>
                <w:b w:val="0"/>
                <w:bCs w:val="0"/>
                <w:sz w:val="24"/>
                <w:szCs w:val="24"/>
              </w:rPr>
              <w:t>7.5‰</w:t>
            </w:r>
          </w:p>
        </w:tc>
      </w:tr>
      <w:tr w14:paraId="5B3EBA3E">
        <w:tblPrEx>
          <w:tblCellMar>
            <w:top w:w="0" w:type="dxa"/>
            <w:left w:w="108" w:type="dxa"/>
            <w:bottom w:w="0" w:type="dxa"/>
            <w:right w:w="108" w:type="dxa"/>
          </w:tblCellMar>
        </w:tblPrEx>
        <w:trPr>
          <w:trHeight w:val="458" w:hRule="atLeast"/>
          <w:jc w:val="center"/>
        </w:trPr>
        <w:tc>
          <w:tcPr>
            <w:tcW w:w="4487" w:type="dxa"/>
            <w:vMerge w:val="continue"/>
            <w:tcBorders>
              <w:top w:val="single" w:color="000000" w:sz="4" w:space="0"/>
              <w:left w:val="single" w:color="000000" w:sz="4" w:space="0"/>
              <w:bottom w:val="single" w:color="000000" w:sz="4" w:space="0"/>
              <w:right w:val="single" w:color="000000" w:sz="4" w:space="0"/>
            </w:tcBorders>
            <w:vAlign w:val="center"/>
          </w:tcPr>
          <w:p w14:paraId="411A62EF">
            <w:pPr>
              <w:pStyle w:val="4"/>
              <w:spacing w:line="500" w:lineRule="exact"/>
              <w:ind w:firstLine="480" w:firstLineChars="200"/>
              <w:jc w:val="center"/>
              <w:rPr>
                <w:rFonts w:hint="eastAsia" w:hAnsi="宋体" w:eastAsia="宋体" w:cs="宋体"/>
                <w:b w:val="0"/>
                <w:bCs w:val="0"/>
                <w:sz w:val="24"/>
                <w:szCs w:val="24"/>
              </w:rPr>
            </w:pPr>
          </w:p>
        </w:tc>
        <w:tc>
          <w:tcPr>
            <w:tcW w:w="3131" w:type="dxa"/>
            <w:tcBorders>
              <w:top w:val="single" w:color="000000" w:sz="4" w:space="0"/>
              <w:left w:val="single" w:color="000000" w:sz="4" w:space="0"/>
              <w:bottom w:val="single" w:color="000000" w:sz="4" w:space="0"/>
              <w:right w:val="single" w:color="000000" w:sz="4" w:space="0"/>
            </w:tcBorders>
            <w:vAlign w:val="center"/>
          </w:tcPr>
          <w:p w14:paraId="155F4906">
            <w:pPr>
              <w:pStyle w:val="4"/>
              <w:spacing w:line="500" w:lineRule="exact"/>
              <w:jc w:val="center"/>
              <w:rPr>
                <w:rFonts w:hint="eastAsia" w:hAnsi="宋体" w:eastAsia="宋体" w:cs="宋体"/>
                <w:b w:val="0"/>
                <w:bCs w:val="0"/>
                <w:sz w:val="24"/>
                <w:szCs w:val="24"/>
              </w:rPr>
            </w:pPr>
            <w:r>
              <w:rPr>
                <w:rFonts w:hAnsi="宋体" w:eastAsia="宋体" w:cs="宋体"/>
                <w:b w:val="0"/>
                <w:bCs w:val="0"/>
                <w:sz w:val="24"/>
                <w:szCs w:val="24"/>
              </w:rPr>
              <w:t>100万元-1000万元以内</w:t>
            </w:r>
          </w:p>
        </w:tc>
        <w:tc>
          <w:tcPr>
            <w:tcW w:w="1354" w:type="dxa"/>
            <w:tcBorders>
              <w:top w:val="single" w:color="000000" w:sz="4" w:space="0"/>
              <w:left w:val="single" w:color="000000" w:sz="4" w:space="0"/>
              <w:bottom w:val="single" w:color="000000" w:sz="4" w:space="0"/>
              <w:right w:val="single" w:color="000000" w:sz="4" w:space="0"/>
            </w:tcBorders>
            <w:vAlign w:val="center"/>
          </w:tcPr>
          <w:p w14:paraId="02CBB0CD">
            <w:pPr>
              <w:pStyle w:val="4"/>
              <w:spacing w:line="500" w:lineRule="exact"/>
              <w:jc w:val="center"/>
              <w:rPr>
                <w:rFonts w:hint="eastAsia" w:hAnsi="宋体" w:eastAsia="宋体" w:cs="宋体"/>
                <w:b w:val="0"/>
                <w:bCs w:val="0"/>
                <w:sz w:val="24"/>
                <w:szCs w:val="24"/>
              </w:rPr>
            </w:pPr>
            <w:r>
              <w:rPr>
                <w:rFonts w:hAnsi="宋体" w:eastAsia="宋体" w:cs="宋体"/>
                <w:b w:val="0"/>
                <w:bCs w:val="0"/>
                <w:sz w:val="24"/>
                <w:szCs w:val="24"/>
              </w:rPr>
              <w:t>4‰</w:t>
            </w:r>
          </w:p>
        </w:tc>
      </w:tr>
      <w:tr w14:paraId="27FC65F9">
        <w:tblPrEx>
          <w:tblCellMar>
            <w:top w:w="0" w:type="dxa"/>
            <w:left w:w="108" w:type="dxa"/>
            <w:bottom w:w="0" w:type="dxa"/>
            <w:right w:w="108" w:type="dxa"/>
          </w:tblCellMar>
        </w:tblPrEx>
        <w:trPr>
          <w:trHeight w:val="425" w:hRule="atLeast"/>
          <w:jc w:val="center"/>
        </w:trPr>
        <w:tc>
          <w:tcPr>
            <w:tcW w:w="4487" w:type="dxa"/>
            <w:vMerge w:val="continue"/>
            <w:tcBorders>
              <w:top w:val="single" w:color="000000" w:sz="4" w:space="0"/>
              <w:left w:val="single" w:color="000000" w:sz="4" w:space="0"/>
              <w:bottom w:val="single" w:color="000000" w:sz="4" w:space="0"/>
              <w:right w:val="single" w:color="000000" w:sz="4" w:space="0"/>
            </w:tcBorders>
            <w:vAlign w:val="center"/>
          </w:tcPr>
          <w:p w14:paraId="40593D4E">
            <w:pPr>
              <w:pStyle w:val="4"/>
              <w:spacing w:line="500" w:lineRule="exact"/>
              <w:ind w:firstLine="480" w:firstLineChars="200"/>
              <w:jc w:val="center"/>
              <w:rPr>
                <w:rFonts w:hint="eastAsia" w:hAnsi="宋体" w:eastAsia="宋体" w:cs="宋体"/>
                <w:b w:val="0"/>
                <w:bCs w:val="0"/>
                <w:sz w:val="24"/>
                <w:szCs w:val="24"/>
              </w:rPr>
            </w:pPr>
          </w:p>
        </w:tc>
        <w:tc>
          <w:tcPr>
            <w:tcW w:w="3131" w:type="dxa"/>
            <w:tcBorders>
              <w:top w:val="single" w:color="000000" w:sz="4" w:space="0"/>
              <w:left w:val="single" w:color="000000" w:sz="4" w:space="0"/>
              <w:bottom w:val="single" w:color="000000" w:sz="4" w:space="0"/>
              <w:right w:val="single" w:color="000000" w:sz="4" w:space="0"/>
            </w:tcBorders>
            <w:vAlign w:val="center"/>
          </w:tcPr>
          <w:p w14:paraId="48564C25">
            <w:pPr>
              <w:pStyle w:val="4"/>
              <w:spacing w:line="500" w:lineRule="exact"/>
              <w:jc w:val="center"/>
              <w:rPr>
                <w:rFonts w:hint="eastAsia" w:hAnsi="宋体" w:eastAsia="宋体" w:cs="宋体"/>
                <w:b w:val="0"/>
                <w:bCs w:val="0"/>
                <w:sz w:val="24"/>
                <w:szCs w:val="24"/>
              </w:rPr>
            </w:pPr>
            <w:r>
              <w:rPr>
                <w:rFonts w:hAnsi="宋体" w:eastAsia="宋体" w:cs="宋体"/>
                <w:b w:val="0"/>
                <w:bCs w:val="0"/>
                <w:sz w:val="24"/>
                <w:szCs w:val="24"/>
              </w:rPr>
              <w:t>1000万元-5000万元以内</w:t>
            </w:r>
          </w:p>
        </w:tc>
        <w:tc>
          <w:tcPr>
            <w:tcW w:w="1354" w:type="dxa"/>
            <w:tcBorders>
              <w:top w:val="single" w:color="000000" w:sz="4" w:space="0"/>
              <w:left w:val="single" w:color="000000" w:sz="4" w:space="0"/>
              <w:bottom w:val="single" w:color="000000" w:sz="4" w:space="0"/>
              <w:right w:val="single" w:color="000000" w:sz="4" w:space="0"/>
            </w:tcBorders>
            <w:vAlign w:val="center"/>
          </w:tcPr>
          <w:p w14:paraId="4697B066">
            <w:pPr>
              <w:pStyle w:val="4"/>
              <w:spacing w:line="500" w:lineRule="exact"/>
              <w:jc w:val="center"/>
              <w:rPr>
                <w:rFonts w:hint="eastAsia" w:hAnsi="宋体" w:eastAsia="宋体" w:cs="宋体"/>
                <w:b w:val="0"/>
                <w:bCs w:val="0"/>
                <w:sz w:val="24"/>
                <w:szCs w:val="24"/>
              </w:rPr>
            </w:pPr>
            <w:r>
              <w:rPr>
                <w:rFonts w:hAnsi="宋体" w:eastAsia="宋体" w:cs="宋体"/>
                <w:b w:val="0"/>
                <w:bCs w:val="0"/>
                <w:sz w:val="24"/>
                <w:szCs w:val="24"/>
              </w:rPr>
              <w:t>1.2‰</w:t>
            </w:r>
          </w:p>
        </w:tc>
      </w:tr>
    </w:tbl>
    <w:p w14:paraId="04BA1F5B">
      <w:pPr>
        <w:spacing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2.3.2 投标人报价指投标人为完成本项目所需要的全部费用，包含但不限于以下费用：人员费用（含工资、社保、住房公积金）、办公设备、办公用品费用、项目实施过程中其他应预见和不可预见的费用、管理费以及税金（全额含税发票）等。</w:t>
      </w:r>
    </w:p>
    <w:p w14:paraId="4FAC0C09">
      <w:pPr>
        <w:spacing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2.3.3 投标人须考虑本项目在实施期间的一切可能产生的费用。</w:t>
      </w:r>
    </w:p>
    <w:p w14:paraId="75C9979D">
      <w:pPr>
        <w:spacing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2.3.4 报价不得高于本项目采购预算金额，否则视为无效报价，作无效投标处理。</w:t>
      </w:r>
    </w:p>
    <w:p w14:paraId="344334D2">
      <w:pPr>
        <w:widowControl/>
        <w:spacing w:line="36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2.3.5 结算方式：最终结算费用依据投标人中标折扣率计取，按项目实际完成工作量据实结算。</w:t>
      </w:r>
      <w:r>
        <w:rPr>
          <w:rFonts w:hint="eastAsia" w:ascii="宋体" w:hAnsi="宋体" w:eastAsia="宋体" w:cs="宋体"/>
          <w:b w:val="0"/>
          <w:bCs w:val="0"/>
          <w:spacing w:val="-4"/>
          <w:sz w:val="24"/>
          <w:szCs w:val="24"/>
          <w:lang w:eastAsia="zh-CN"/>
        </w:rPr>
        <w:t>最终</w:t>
      </w:r>
      <w:r>
        <w:rPr>
          <w:rFonts w:hint="eastAsia" w:ascii="宋体" w:hAnsi="宋体" w:eastAsia="宋体" w:cs="宋体"/>
          <w:b w:val="0"/>
          <w:bCs w:val="0"/>
          <w:spacing w:val="-1"/>
          <w:sz w:val="24"/>
          <w:szCs w:val="24"/>
          <w:lang w:eastAsia="zh-CN"/>
        </w:rPr>
        <w:t>结算金额不得超过本项目的最高限价×中标折扣率。</w:t>
      </w:r>
      <w:r>
        <w:rPr>
          <w:rFonts w:hint="eastAsia" w:ascii="宋体" w:hAnsi="宋体" w:eastAsia="宋体" w:cs="宋体"/>
          <w:b w:val="0"/>
          <w:bCs w:val="0"/>
          <w:sz w:val="24"/>
          <w:szCs w:val="24"/>
        </w:rPr>
        <w:t>若项目因区以上人民政府作出重大决策或其他不可抗力，招标人调整项目征迁退地范围或中途停止项目。经招标人验收合格后，招标人按中标人完成的实际工作量据实结算或采取协商的方式进行解决。</w:t>
      </w:r>
    </w:p>
    <w:p w14:paraId="17E2AF9E">
      <w:pPr>
        <w:widowControl/>
        <w:spacing w:line="36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2.4违约责任 </w:t>
      </w:r>
    </w:p>
    <w:p w14:paraId="4A4D7941">
      <w:pPr>
        <w:widowControl/>
        <w:spacing w:line="36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中标后根据与采购人签订的具体协议约定。</w:t>
      </w:r>
    </w:p>
    <w:p w14:paraId="409E1A68">
      <w:pPr>
        <w:widowControl/>
        <w:spacing w:line="36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2.5其他要求</w:t>
      </w:r>
    </w:p>
    <w:p w14:paraId="0D0D048C">
      <w:pPr>
        <w:widowControl/>
        <w:spacing w:line="36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2.5.1.投标人应针对本项目实际，结合采购需求和自身情况，在投标文件中提供项目理解、重难点分析、实施方案和具体措施、应急服务、进度保障、管理制度、服务承诺及相应处罚措施等。 </w:t>
      </w:r>
    </w:p>
    <w:p w14:paraId="1D98CDAA">
      <w:pPr>
        <w:widowControl/>
        <w:spacing w:line="36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2.5.2.因为项目实际情况比较复杂，目前预算金额和数据均为预估金额，具体数据以实际调查结果为准，按最终调查数据据实结算；投标人应充分考虑投标风险，无条件完全接受最终调查数据和结算总金额与现有预估数据出入较大的风险。 </w:t>
      </w:r>
    </w:p>
    <w:p w14:paraId="3EB48639">
      <w:pPr>
        <w:widowControl/>
        <w:spacing w:line="36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2.5.3.付款方式：中标人完成提交全部成果，并提供相应金额的合法税务凭证，经审计、招标人验收合格后，招标人按项目应结算总价的70%（不超过合同总价70%），向中标人支付第一笔费用；征迁退地项目完毕，经审计、招标人确认合格后，招标人向中标人支付项目应结算总价剩余的30%。</w:t>
      </w:r>
    </w:p>
    <w:p w14:paraId="054039B7">
      <w:pPr>
        <w:rPr>
          <w:rFonts w:hint="eastAsia" w:ascii="宋体" w:hAnsi="宋体" w:eastAsia="宋体" w:cs="宋体"/>
          <w:szCs w:val="28"/>
        </w:rPr>
      </w:pPr>
      <w:r>
        <w:rPr>
          <w:rFonts w:hint="eastAsia" w:ascii="宋体" w:hAnsi="宋体" w:eastAsia="宋体" w:cs="宋体"/>
          <w:szCs w:val="28"/>
        </w:rPr>
        <w:br w:type="page"/>
      </w:r>
    </w:p>
    <w:p w14:paraId="7B83E905">
      <w:pPr>
        <w:spacing w:before="183" w:line="360" w:lineRule="auto"/>
        <w:jc w:val="center"/>
        <w:rPr>
          <w:rFonts w:hint="eastAsia" w:ascii="宋体" w:hAnsi="宋体" w:eastAsia="宋体" w:cs="宋体"/>
          <w:szCs w:val="28"/>
        </w:rPr>
      </w:pPr>
      <w:r>
        <w:rPr>
          <w:rFonts w:hint="eastAsia" w:ascii="宋体" w:hAnsi="宋体" w:eastAsia="宋体" w:cs="宋体"/>
          <w:szCs w:val="28"/>
        </w:rPr>
        <w:t>四、评分标准</w:t>
      </w:r>
    </w:p>
    <w:p w14:paraId="4E427CB2">
      <w:pPr>
        <w:pStyle w:val="8"/>
        <w:spacing w:line="360" w:lineRule="auto"/>
        <w:ind w:left="408" w:firstLine="0" w:firstLineChars="0"/>
        <w:rPr>
          <w:rFonts w:ascii="宋体" w:hAnsi="宋体" w:cs="宋体"/>
          <w:b w:val="0"/>
          <w:bCs w:val="0"/>
          <w:spacing w:val="8"/>
          <w:sz w:val="24"/>
          <w:szCs w:val="24"/>
        </w:rPr>
      </w:pPr>
      <w:r>
        <w:rPr>
          <w:rFonts w:hint="eastAsia" w:ascii="宋体" w:hAnsi="宋体" w:cs="宋体"/>
          <w:b w:val="0"/>
          <w:bCs w:val="0"/>
          <w:spacing w:val="8"/>
          <w:sz w:val="24"/>
          <w:szCs w:val="24"/>
        </w:rPr>
        <w:t>一、评标方法</w:t>
      </w:r>
    </w:p>
    <w:p w14:paraId="3FDFB991">
      <w:pPr>
        <w:pStyle w:val="2"/>
        <w:ind w:firstLine="512"/>
        <w:rPr>
          <w:lang w:val="en-US"/>
        </w:rPr>
      </w:pPr>
      <w:r>
        <w:rPr>
          <w:rFonts w:ascii="宋体" w:hAnsi="宋体" w:cs="宋体"/>
          <w:b w:val="0"/>
          <w:bCs w:val="0"/>
          <w:spacing w:val="8"/>
          <w:szCs w:val="24"/>
        </w:rPr>
        <w:t>本项目评标采用综合评分法。综合评分法是指响应文件满足招标文件全部实质性要求，且按照评审因素的量化指标评审得分最高的投标人为中标候选人的评标方法。</w:t>
      </w:r>
    </w:p>
    <w:tbl>
      <w:tblPr>
        <w:tblStyle w:val="10"/>
        <w:tblW w:w="92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1002"/>
        <w:gridCol w:w="6573"/>
        <w:gridCol w:w="705"/>
      </w:tblGrid>
      <w:tr w14:paraId="65ED4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69" w:type="dxa"/>
          </w:tcPr>
          <w:p w14:paraId="384FE98E">
            <w:pPr>
              <w:pStyle w:val="9"/>
              <w:spacing w:before="41" w:line="223" w:lineRule="auto"/>
              <w:ind w:right="188"/>
              <w:jc w:val="center"/>
              <w:rPr>
                <w:rFonts w:asciiTheme="minorEastAsia" w:hAnsiTheme="minorEastAsia" w:eastAsiaTheme="minorEastAsia" w:cstheme="minorEastAsia"/>
                <w:b w:val="0"/>
                <w:bCs w:val="0"/>
                <w:spacing w:val="-5"/>
                <w:sz w:val="21"/>
                <w:szCs w:val="21"/>
              </w:rPr>
            </w:pPr>
            <w:r>
              <w:rPr>
                <w:rFonts w:hint="eastAsia" w:asciiTheme="minorEastAsia" w:hAnsiTheme="minorEastAsia" w:eastAsiaTheme="minorEastAsia" w:cstheme="minorEastAsia"/>
                <w:b w:val="0"/>
                <w:bCs w:val="0"/>
                <w:spacing w:val="-5"/>
                <w:sz w:val="21"/>
                <w:szCs w:val="21"/>
              </w:rPr>
              <w:t>评标</w:t>
            </w:r>
          </w:p>
          <w:p w14:paraId="13118981">
            <w:pPr>
              <w:pStyle w:val="9"/>
              <w:spacing w:before="41" w:line="223" w:lineRule="auto"/>
              <w:ind w:right="188"/>
              <w:jc w:val="center"/>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5"/>
                <w:sz w:val="21"/>
                <w:szCs w:val="21"/>
              </w:rPr>
              <w:t>项目</w:t>
            </w:r>
          </w:p>
        </w:tc>
        <w:tc>
          <w:tcPr>
            <w:tcW w:w="1002" w:type="dxa"/>
          </w:tcPr>
          <w:p w14:paraId="5D12127C">
            <w:pPr>
              <w:pStyle w:val="9"/>
              <w:spacing w:before="41" w:line="223" w:lineRule="auto"/>
              <w:ind w:left="435" w:right="188" w:hanging="244"/>
              <w:jc w:val="center"/>
              <w:rPr>
                <w:rFonts w:asciiTheme="minorEastAsia" w:hAnsiTheme="minorEastAsia" w:eastAsiaTheme="minorEastAsia" w:cstheme="minorEastAsia"/>
                <w:b w:val="0"/>
                <w:bCs w:val="0"/>
                <w:spacing w:val="-5"/>
                <w:sz w:val="21"/>
                <w:szCs w:val="21"/>
              </w:rPr>
            </w:pPr>
            <w:r>
              <w:rPr>
                <w:rFonts w:hint="eastAsia" w:asciiTheme="minorEastAsia" w:hAnsiTheme="minorEastAsia" w:eastAsiaTheme="minorEastAsia" w:cstheme="minorEastAsia"/>
                <w:b w:val="0"/>
                <w:bCs w:val="0"/>
                <w:spacing w:val="-5"/>
                <w:sz w:val="21"/>
                <w:szCs w:val="21"/>
              </w:rPr>
              <w:t>评标</w:t>
            </w:r>
          </w:p>
          <w:p w14:paraId="76EAAEF1">
            <w:pPr>
              <w:pStyle w:val="9"/>
              <w:spacing w:before="41" w:line="223" w:lineRule="auto"/>
              <w:ind w:left="435" w:right="188" w:hanging="244"/>
              <w:jc w:val="center"/>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5"/>
                <w:sz w:val="21"/>
                <w:szCs w:val="21"/>
              </w:rPr>
              <w:t>分</w:t>
            </w:r>
            <w:r>
              <w:rPr>
                <w:rFonts w:hint="eastAsia" w:asciiTheme="minorEastAsia" w:hAnsiTheme="minorEastAsia" w:eastAsiaTheme="minorEastAsia" w:cstheme="minorEastAsia"/>
                <w:b w:val="0"/>
                <w:bCs w:val="0"/>
                <w:spacing w:val="-3"/>
                <w:sz w:val="21"/>
                <w:szCs w:val="21"/>
              </w:rPr>
              <w:t>项</w:t>
            </w:r>
          </w:p>
        </w:tc>
        <w:tc>
          <w:tcPr>
            <w:tcW w:w="6573" w:type="dxa"/>
          </w:tcPr>
          <w:p w14:paraId="573B65CB">
            <w:pPr>
              <w:pStyle w:val="9"/>
              <w:spacing w:before="198" w:line="219" w:lineRule="auto"/>
              <w:jc w:val="center"/>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4"/>
                <w:sz w:val="21"/>
                <w:szCs w:val="21"/>
              </w:rPr>
              <w:t>评标分项及分值</w:t>
            </w:r>
          </w:p>
        </w:tc>
        <w:tc>
          <w:tcPr>
            <w:tcW w:w="705" w:type="dxa"/>
          </w:tcPr>
          <w:p w14:paraId="244A5DB4">
            <w:pPr>
              <w:pStyle w:val="9"/>
              <w:spacing w:before="186" w:line="208" w:lineRule="auto"/>
              <w:ind w:left="41"/>
              <w:jc w:val="center"/>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分值</w:t>
            </w:r>
          </w:p>
        </w:tc>
      </w:tr>
      <w:tr w14:paraId="4FF64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69" w:type="dxa"/>
            <w:vAlign w:val="center"/>
          </w:tcPr>
          <w:p w14:paraId="6C8049C9">
            <w:pPr>
              <w:pStyle w:val="9"/>
              <w:spacing w:before="39" w:line="219" w:lineRule="auto"/>
              <w:jc w:val="center"/>
              <w:rPr>
                <w:rFonts w:asciiTheme="minorEastAsia" w:hAnsiTheme="minorEastAsia" w:eastAsiaTheme="minorEastAsia" w:cstheme="minorEastAsia"/>
                <w:b w:val="0"/>
                <w:bCs w:val="0"/>
                <w:spacing w:val="-4"/>
                <w:sz w:val="21"/>
                <w:szCs w:val="21"/>
              </w:rPr>
            </w:pPr>
            <w:r>
              <w:rPr>
                <w:rFonts w:hint="eastAsia" w:asciiTheme="minorEastAsia" w:hAnsiTheme="minorEastAsia" w:eastAsiaTheme="minorEastAsia" w:cstheme="minorEastAsia"/>
                <w:b w:val="0"/>
                <w:bCs w:val="0"/>
                <w:spacing w:val="-4"/>
                <w:sz w:val="21"/>
                <w:szCs w:val="21"/>
              </w:rPr>
              <w:t>价格部分（</w:t>
            </w:r>
            <w:r>
              <w:rPr>
                <w:rFonts w:hint="eastAsia" w:asciiTheme="minorEastAsia" w:hAnsiTheme="minorEastAsia" w:eastAsiaTheme="minorEastAsia" w:cstheme="minorEastAsia"/>
                <w:b w:val="0"/>
                <w:bCs w:val="0"/>
                <w:spacing w:val="-4"/>
                <w:sz w:val="21"/>
                <w:szCs w:val="21"/>
                <w:lang w:val="en-US" w:eastAsia="zh-CN"/>
              </w:rPr>
              <w:t>15</w:t>
            </w:r>
            <w:r>
              <w:rPr>
                <w:rFonts w:hint="eastAsia" w:asciiTheme="minorEastAsia" w:hAnsiTheme="minorEastAsia" w:eastAsiaTheme="minorEastAsia" w:cstheme="minorEastAsia"/>
                <w:b w:val="0"/>
                <w:bCs w:val="0"/>
                <w:spacing w:val="-4"/>
                <w:sz w:val="21"/>
                <w:szCs w:val="21"/>
              </w:rPr>
              <w:t>分）</w:t>
            </w:r>
          </w:p>
        </w:tc>
        <w:tc>
          <w:tcPr>
            <w:tcW w:w="1002" w:type="dxa"/>
            <w:vAlign w:val="center"/>
          </w:tcPr>
          <w:p w14:paraId="36FE355A">
            <w:pPr>
              <w:pStyle w:val="9"/>
              <w:spacing w:before="39" w:line="219" w:lineRule="auto"/>
              <w:jc w:val="center"/>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4"/>
                <w:sz w:val="21"/>
                <w:szCs w:val="21"/>
              </w:rPr>
              <w:t>计算投标报价</w:t>
            </w:r>
            <w:r>
              <w:rPr>
                <w:rFonts w:hint="eastAsia" w:asciiTheme="minorEastAsia" w:hAnsiTheme="minorEastAsia" w:eastAsiaTheme="minorEastAsia" w:cstheme="minorEastAsia"/>
                <w:b w:val="0"/>
                <w:bCs w:val="0"/>
                <w:spacing w:val="-6"/>
                <w:sz w:val="21"/>
                <w:szCs w:val="21"/>
              </w:rPr>
              <w:t>得分</w:t>
            </w:r>
          </w:p>
        </w:tc>
        <w:tc>
          <w:tcPr>
            <w:tcW w:w="6573" w:type="dxa"/>
          </w:tcPr>
          <w:p w14:paraId="75BC7EBE">
            <w:pPr>
              <w:pStyle w:val="9"/>
              <w:spacing w:before="39" w:line="223" w:lineRule="auto"/>
              <w:ind w:right="102"/>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pacing w:val="5"/>
                <w:sz w:val="21"/>
                <w:szCs w:val="21"/>
                <w:lang w:eastAsia="zh-CN"/>
              </w:rPr>
              <w:t>满足招标文件要求且落实政府采购政策后折算的报价最低的作为基</w:t>
            </w:r>
            <w:r>
              <w:rPr>
                <w:rFonts w:hint="eastAsia" w:asciiTheme="minorEastAsia" w:hAnsiTheme="minorEastAsia" w:eastAsiaTheme="minorEastAsia" w:cstheme="minorEastAsia"/>
                <w:b w:val="0"/>
                <w:bCs w:val="0"/>
                <w:spacing w:val="-3"/>
                <w:sz w:val="21"/>
                <w:szCs w:val="21"/>
                <w:lang w:eastAsia="zh-CN"/>
              </w:rPr>
              <w:t>准价，其价格为满分。其他投标人的价格分按照下列公式计算：</w:t>
            </w:r>
            <w:r>
              <w:rPr>
                <w:rFonts w:hint="eastAsia" w:asciiTheme="minorEastAsia" w:hAnsiTheme="minorEastAsia" w:eastAsiaTheme="minorEastAsia" w:cstheme="minorEastAsia"/>
                <w:b w:val="0"/>
                <w:bCs w:val="0"/>
                <w:spacing w:val="-4"/>
                <w:sz w:val="21"/>
                <w:szCs w:val="21"/>
                <w:lang w:eastAsia="zh-CN"/>
              </w:rPr>
              <w:t>投标</w:t>
            </w:r>
            <w:r>
              <w:rPr>
                <w:rFonts w:hint="eastAsia" w:asciiTheme="minorEastAsia" w:hAnsiTheme="minorEastAsia" w:eastAsiaTheme="minorEastAsia" w:cstheme="minorEastAsia"/>
                <w:b w:val="0"/>
                <w:bCs w:val="0"/>
                <w:spacing w:val="-1"/>
                <w:sz w:val="21"/>
                <w:szCs w:val="21"/>
                <w:lang w:eastAsia="zh-CN"/>
              </w:rPr>
              <w:t>报价得分</w:t>
            </w:r>
            <w:r>
              <w:rPr>
                <w:rFonts w:hint="eastAsia" w:asciiTheme="minorEastAsia" w:hAnsiTheme="minorEastAsia" w:eastAsiaTheme="minorEastAsia" w:cstheme="minorEastAsia"/>
                <w:b w:val="0"/>
                <w:bCs w:val="0"/>
                <w:spacing w:val="-30"/>
                <w:sz w:val="21"/>
                <w:szCs w:val="21"/>
                <w:lang w:eastAsia="zh-CN"/>
              </w:rPr>
              <w:t>＝（</w:t>
            </w:r>
            <w:r>
              <w:rPr>
                <w:rFonts w:hint="eastAsia" w:asciiTheme="minorEastAsia" w:hAnsiTheme="minorEastAsia" w:eastAsiaTheme="minorEastAsia" w:cstheme="minorEastAsia"/>
                <w:b w:val="0"/>
                <w:bCs w:val="0"/>
                <w:spacing w:val="-1"/>
                <w:sz w:val="21"/>
                <w:szCs w:val="21"/>
                <w:lang w:eastAsia="zh-CN"/>
              </w:rPr>
              <w:t>评标基准价/投标报价）×</w:t>
            </w:r>
            <w:r>
              <w:rPr>
                <w:rFonts w:hint="eastAsia" w:asciiTheme="minorEastAsia" w:hAnsiTheme="minorEastAsia" w:eastAsiaTheme="minorEastAsia" w:cstheme="minorEastAsia"/>
                <w:b w:val="0"/>
                <w:bCs w:val="0"/>
                <w:spacing w:val="-1"/>
                <w:sz w:val="21"/>
                <w:szCs w:val="21"/>
                <w:lang w:val="en-US" w:eastAsia="zh-CN"/>
              </w:rPr>
              <w:t>15</w:t>
            </w:r>
            <w:r>
              <w:rPr>
                <w:rFonts w:hint="eastAsia" w:asciiTheme="minorEastAsia" w:hAnsiTheme="minorEastAsia" w:eastAsiaTheme="minorEastAsia" w:cstheme="minorEastAsia"/>
                <w:b w:val="0"/>
                <w:bCs w:val="0"/>
                <w:spacing w:val="-1"/>
                <w:sz w:val="21"/>
                <w:szCs w:val="21"/>
                <w:lang w:eastAsia="zh-CN"/>
              </w:rPr>
              <w:t>。</w:t>
            </w:r>
          </w:p>
        </w:tc>
        <w:tc>
          <w:tcPr>
            <w:tcW w:w="705" w:type="dxa"/>
            <w:vAlign w:val="center"/>
          </w:tcPr>
          <w:p w14:paraId="68DBAC5B">
            <w:pPr>
              <w:pStyle w:val="9"/>
              <w:spacing w:before="194"/>
              <w:jc w:val="center"/>
              <w:rPr>
                <w:rFonts w:hint="default" w:asciiTheme="minorEastAsia" w:hAnsiTheme="minorEastAsia" w:eastAsiaTheme="minorEastAsia" w:cstheme="minorEastAsia"/>
                <w:b w:val="0"/>
                <w:bCs w:val="0"/>
                <w:sz w:val="21"/>
                <w:szCs w:val="21"/>
                <w:lang w:val="en-US"/>
              </w:rPr>
            </w:pPr>
            <w:r>
              <w:rPr>
                <w:rFonts w:hint="eastAsia" w:asciiTheme="minorEastAsia" w:hAnsiTheme="minorEastAsia" w:eastAsiaTheme="minorEastAsia" w:cstheme="minorEastAsia"/>
                <w:b w:val="0"/>
                <w:bCs w:val="0"/>
                <w:spacing w:val="-14"/>
                <w:sz w:val="21"/>
                <w:szCs w:val="21"/>
                <w:lang w:val="en-US" w:eastAsia="zh-CN"/>
              </w:rPr>
              <w:t>15</w:t>
            </w:r>
          </w:p>
        </w:tc>
      </w:tr>
      <w:tr w14:paraId="43DAE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69" w:type="dxa"/>
            <w:vMerge w:val="restart"/>
            <w:tcBorders>
              <w:bottom w:val="nil"/>
            </w:tcBorders>
            <w:vAlign w:val="center"/>
          </w:tcPr>
          <w:p w14:paraId="077A9364">
            <w:pPr>
              <w:pStyle w:val="9"/>
              <w:spacing w:before="39" w:line="219" w:lineRule="auto"/>
              <w:jc w:val="center"/>
              <w:rPr>
                <w:rFonts w:asciiTheme="minorEastAsia" w:hAnsiTheme="minorEastAsia" w:eastAsiaTheme="minorEastAsia" w:cstheme="minorEastAsia"/>
                <w:b w:val="0"/>
                <w:bCs w:val="0"/>
                <w:spacing w:val="-4"/>
                <w:sz w:val="21"/>
                <w:szCs w:val="21"/>
              </w:rPr>
            </w:pPr>
            <w:r>
              <w:rPr>
                <w:rFonts w:hint="eastAsia" w:asciiTheme="minorEastAsia" w:hAnsiTheme="minorEastAsia" w:eastAsiaTheme="minorEastAsia" w:cstheme="minorEastAsia"/>
                <w:b w:val="0"/>
                <w:bCs w:val="0"/>
                <w:spacing w:val="-4"/>
                <w:sz w:val="21"/>
                <w:szCs w:val="21"/>
              </w:rPr>
              <w:t>商务部分（2</w:t>
            </w:r>
            <w:r>
              <w:rPr>
                <w:rFonts w:hint="eastAsia" w:asciiTheme="minorEastAsia" w:hAnsiTheme="minorEastAsia" w:eastAsiaTheme="minorEastAsia" w:cstheme="minorEastAsia"/>
                <w:b w:val="0"/>
                <w:bCs w:val="0"/>
                <w:spacing w:val="-4"/>
                <w:sz w:val="21"/>
                <w:szCs w:val="21"/>
                <w:lang w:eastAsia="zh-CN"/>
              </w:rPr>
              <w:t>0</w:t>
            </w:r>
            <w:r>
              <w:rPr>
                <w:rFonts w:hint="eastAsia" w:asciiTheme="minorEastAsia" w:hAnsiTheme="minorEastAsia" w:eastAsiaTheme="minorEastAsia" w:cstheme="minorEastAsia"/>
                <w:b w:val="0"/>
                <w:bCs w:val="0"/>
                <w:spacing w:val="-4"/>
                <w:sz w:val="21"/>
                <w:szCs w:val="21"/>
              </w:rPr>
              <w:t>分）</w:t>
            </w:r>
          </w:p>
        </w:tc>
        <w:tc>
          <w:tcPr>
            <w:tcW w:w="1002" w:type="dxa"/>
            <w:vAlign w:val="center"/>
          </w:tcPr>
          <w:p w14:paraId="38F8E1AC">
            <w:pPr>
              <w:pStyle w:val="9"/>
              <w:spacing w:before="39" w:line="219" w:lineRule="auto"/>
              <w:jc w:val="center"/>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4"/>
                <w:sz w:val="21"/>
                <w:szCs w:val="21"/>
              </w:rPr>
              <w:t>类似业绩</w:t>
            </w:r>
          </w:p>
        </w:tc>
        <w:tc>
          <w:tcPr>
            <w:tcW w:w="6573" w:type="dxa"/>
          </w:tcPr>
          <w:p w14:paraId="15645FB5">
            <w:pPr>
              <w:widowControl/>
              <w:jc w:val="left"/>
              <w:rPr>
                <w:rFonts w:asciiTheme="minorEastAsia" w:hAnsiTheme="minorEastAsia" w:cstheme="minorEastAsia"/>
                <w:b w:val="0"/>
                <w:bCs w:val="0"/>
                <w:sz w:val="21"/>
                <w:szCs w:val="21"/>
              </w:rPr>
            </w:pPr>
            <w:r>
              <w:rPr>
                <w:rFonts w:hint="eastAsia" w:asciiTheme="minorEastAsia" w:hAnsiTheme="minorEastAsia" w:cstheme="minorEastAsia"/>
                <w:b w:val="0"/>
                <w:bCs w:val="0"/>
                <w:spacing w:val="5"/>
                <w:sz w:val="21"/>
                <w:szCs w:val="21"/>
              </w:rPr>
              <w:t>投标人近五年（从开标截止日往前推算的五年，以合同签订日期为准）已完成或正在履行的类似项目业绩，每有一个得2分，最高得10分。（须提供合同关键页作为证明材料，否则不计分）</w:t>
            </w:r>
          </w:p>
        </w:tc>
        <w:tc>
          <w:tcPr>
            <w:tcW w:w="705" w:type="dxa"/>
            <w:vAlign w:val="center"/>
          </w:tcPr>
          <w:p w14:paraId="20225AA6">
            <w:pPr>
              <w:pStyle w:val="9"/>
              <w:spacing w:before="78" w:line="241" w:lineRule="auto"/>
              <w:jc w:val="center"/>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pacing w:val="-14"/>
                <w:sz w:val="21"/>
                <w:szCs w:val="21"/>
                <w:lang w:eastAsia="zh-CN"/>
              </w:rPr>
              <w:t>10</w:t>
            </w:r>
          </w:p>
        </w:tc>
      </w:tr>
      <w:tr w14:paraId="2BD0F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5" w:hRule="atLeast"/>
        </w:trPr>
        <w:tc>
          <w:tcPr>
            <w:tcW w:w="969" w:type="dxa"/>
            <w:vMerge w:val="continue"/>
            <w:tcBorders>
              <w:top w:val="nil"/>
            </w:tcBorders>
            <w:vAlign w:val="center"/>
          </w:tcPr>
          <w:p w14:paraId="43546BD5">
            <w:pPr>
              <w:jc w:val="center"/>
              <w:rPr>
                <w:rFonts w:asciiTheme="minorEastAsia" w:hAnsiTheme="minorEastAsia" w:cstheme="minorEastAsia"/>
                <w:b w:val="0"/>
                <w:bCs w:val="0"/>
                <w:sz w:val="21"/>
                <w:szCs w:val="21"/>
              </w:rPr>
            </w:pPr>
          </w:p>
        </w:tc>
        <w:tc>
          <w:tcPr>
            <w:tcW w:w="1002" w:type="dxa"/>
            <w:vAlign w:val="center"/>
          </w:tcPr>
          <w:p w14:paraId="4B77DA55">
            <w:pPr>
              <w:pStyle w:val="9"/>
              <w:spacing w:before="39" w:line="219" w:lineRule="auto"/>
              <w:jc w:val="center"/>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pacing w:val="-4"/>
                <w:sz w:val="21"/>
                <w:szCs w:val="21"/>
                <w:lang w:eastAsia="zh-CN"/>
              </w:rPr>
              <w:t>项目小组人员配备</w:t>
            </w:r>
          </w:p>
        </w:tc>
        <w:tc>
          <w:tcPr>
            <w:tcW w:w="6573" w:type="dxa"/>
          </w:tcPr>
          <w:p w14:paraId="50AA5A05">
            <w:pPr>
              <w:widowControl/>
              <w:jc w:val="left"/>
              <w:rPr>
                <w:rFonts w:asciiTheme="minorEastAsia" w:hAnsiTheme="minorEastAsia" w:cstheme="minorEastAsia"/>
                <w:b w:val="0"/>
                <w:bCs w:val="0"/>
                <w:spacing w:val="5"/>
                <w:sz w:val="21"/>
                <w:szCs w:val="21"/>
              </w:rPr>
            </w:pPr>
            <w:r>
              <w:rPr>
                <w:rFonts w:hint="eastAsia" w:asciiTheme="minorEastAsia" w:hAnsiTheme="minorEastAsia" w:cstheme="minorEastAsia"/>
                <w:b w:val="0"/>
                <w:bCs w:val="0"/>
                <w:spacing w:val="5"/>
                <w:sz w:val="21"/>
                <w:szCs w:val="21"/>
              </w:rPr>
              <w:t>1、项目负责人同时具备土地估价师和房地产估价师的得4分，本项最多得4分；</w:t>
            </w:r>
          </w:p>
          <w:p w14:paraId="4F6C9B10">
            <w:pPr>
              <w:widowControl/>
              <w:jc w:val="left"/>
              <w:rPr>
                <w:rFonts w:asciiTheme="minorEastAsia" w:hAnsiTheme="minorEastAsia" w:cstheme="minorEastAsia"/>
                <w:b w:val="0"/>
                <w:bCs w:val="0"/>
                <w:sz w:val="21"/>
                <w:szCs w:val="21"/>
              </w:rPr>
            </w:pPr>
            <w:r>
              <w:rPr>
                <w:rFonts w:hint="eastAsia" w:asciiTheme="minorEastAsia" w:hAnsiTheme="minorEastAsia" w:cstheme="minorEastAsia"/>
                <w:b w:val="0"/>
                <w:bCs w:val="0"/>
                <w:spacing w:val="5"/>
                <w:sz w:val="21"/>
                <w:szCs w:val="21"/>
              </w:rPr>
              <w:t>2、拟投入团队人员中（除项目负责人外）每提供1名具备土地估价师的得1分；每提供1名具备房地产估价师的得2分；最多得6分。（以上均须提供相关资质证明、劳动合同及依法缴纳社保的承诺书，未提供或者提供不全不得分）</w:t>
            </w:r>
          </w:p>
        </w:tc>
        <w:tc>
          <w:tcPr>
            <w:tcW w:w="705" w:type="dxa"/>
            <w:vAlign w:val="center"/>
          </w:tcPr>
          <w:p w14:paraId="1E981FCE">
            <w:pPr>
              <w:pStyle w:val="9"/>
              <w:spacing w:before="78"/>
              <w:jc w:val="center"/>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pacing w:val="-14"/>
                <w:sz w:val="21"/>
                <w:szCs w:val="21"/>
                <w:lang w:eastAsia="zh-CN"/>
              </w:rPr>
              <w:t>10</w:t>
            </w:r>
          </w:p>
        </w:tc>
      </w:tr>
      <w:tr w14:paraId="37E68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9" w:hRule="atLeast"/>
        </w:trPr>
        <w:tc>
          <w:tcPr>
            <w:tcW w:w="969" w:type="dxa"/>
            <w:vMerge w:val="restart"/>
            <w:vAlign w:val="center"/>
          </w:tcPr>
          <w:p w14:paraId="4F1D60EE">
            <w:pPr>
              <w:pStyle w:val="9"/>
              <w:spacing w:before="78" w:line="219" w:lineRule="auto"/>
              <w:jc w:val="center"/>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4"/>
                <w:sz w:val="21"/>
                <w:szCs w:val="21"/>
              </w:rPr>
              <w:t>技术部分（6</w:t>
            </w:r>
            <w:r>
              <w:rPr>
                <w:rFonts w:hint="eastAsia" w:asciiTheme="minorEastAsia" w:hAnsiTheme="minorEastAsia" w:eastAsiaTheme="minorEastAsia" w:cstheme="minorEastAsia"/>
                <w:b w:val="0"/>
                <w:bCs w:val="0"/>
                <w:spacing w:val="-4"/>
                <w:sz w:val="21"/>
                <w:szCs w:val="21"/>
                <w:lang w:val="en-US" w:eastAsia="zh-CN"/>
              </w:rPr>
              <w:t>5</w:t>
            </w:r>
            <w:r>
              <w:rPr>
                <w:rFonts w:hint="eastAsia" w:asciiTheme="minorEastAsia" w:hAnsiTheme="minorEastAsia" w:eastAsiaTheme="minorEastAsia" w:cstheme="minorEastAsia"/>
                <w:b w:val="0"/>
                <w:bCs w:val="0"/>
                <w:spacing w:val="-7"/>
                <w:sz w:val="21"/>
                <w:szCs w:val="21"/>
              </w:rPr>
              <w:t>分）</w:t>
            </w:r>
          </w:p>
        </w:tc>
        <w:tc>
          <w:tcPr>
            <w:tcW w:w="1002" w:type="dxa"/>
            <w:vAlign w:val="center"/>
          </w:tcPr>
          <w:p w14:paraId="4FF11C4B">
            <w:pPr>
              <w:pStyle w:val="9"/>
              <w:spacing w:before="39" w:line="219" w:lineRule="auto"/>
              <w:jc w:val="center"/>
              <w:rPr>
                <w:rFonts w:asciiTheme="minorEastAsia" w:hAnsiTheme="minorEastAsia" w:eastAsiaTheme="minorEastAsia" w:cstheme="minorEastAsia"/>
                <w:b w:val="0"/>
                <w:bCs w:val="0"/>
                <w:spacing w:val="-4"/>
                <w:sz w:val="21"/>
                <w:szCs w:val="21"/>
                <w:lang w:eastAsia="zh-CN"/>
              </w:rPr>
            </w:pPr>
            <w:r>
              <w:rPr>
                <w:rFonts w:hint="eastAsia" w:asciiTheme="minorEastAsia" w:hAnsiTheme="minorEastAsia" w:eastAsiaTheme="minorEastAsia" w:cstheme="minorEastAsia"/>
                <w:b w:val="0"/>
                <w:bCs w:val="0"/>
                <w:spacing w:val="-4"/>
                <w:sz w:val="21"/>
                <w:szCs w:val="21"/>
                <w:lang w:eastAsia="zh-CN"/>
              </w:rPr>
              <w:t>实施方案</w:t>
            </w:r>
          </w:p>
        </w:tc>
        <w:tc>
          <w:tcPr>
            <w:tcW w:w="6573" w:type="dxa"/>
          </w:tcPr>
          <w:p w14:paraId="512C70E8">
            <w:pPr>
              <w:widowControl/>
              <w:jc w:val="left"/>
              <w:rPr>
                <w:rFonts w:asciiTheme="minorEastAsia" w:hAnsiTheme="minorEastAsia" w:cstheme="minorEastAsia"/>
                <w:b w:val="0"/>
                <w:bCs w:val="0"/>
                <w:spacing w:val="5"/>
                <w:sz w:val="21"/>
                <w:szCs w:val="21"/>
              </w:rPr>
            </w:pPr>
            <w:r>
              <w:rPr>
                <w:rFonts w:hint="eastAsia" w:asciiTheme="minorEastAsia" w:hAnsiTheme="minorEastAsia" w:cstheme="minorEastAsia"/>
                <w:b w:val="0"/>
                <w:bCs w:val="0"/>
                <w:spacing w:val="5"/>
                <w:sz w:val="21"/>
                <w:szCs w:val="21"/>
              </w:rPr>
              <w:t>评委根据各投标人提交的实施方案的完整性、可行性、针对性、科学性进行评审。</w:t>
            </w:r>
          </w:p>
          <w:p w14:paraId="7B82E8BE">
            <w:pPr>
              <w:widowControl/>
              <w:jc w:val="left"/>
              <w:rPr>
                <w:rFonts w:asciiTheme="minorEastAsia" w:hAnsiTheme="minorEastAsia" w:cstheme="minorEastAsia"/>
                <w:b w:val="0"/>
                <w:bCs w:val="0"/>
                <w:spacing w:val="5"/>
                <w:sz w:val="21"/>
                <w:szCs w:val="21"/>
              </w:rPr>
            </w:pPr>
            <w:r>
              <w:rPr>
                <w:rFonts w:hint="eastAsia" w:asciiTheme="minorEastAsia" w:hAnsiTheme="minorEastAsia" w:cstheme="minorEastAsia"/>
                <w:b w:val="0"/>
                <w:bCs w:val="0"/>
                <w:spacing w:val="5"/>
                <w:sz w:val="21"/>
                <w:szCs w:val="21"/>
              </w:rPr>
              <w:t>①评估工作目标全面、科学合理、可行性强得7分；不合理、方案阐述不清、可行性方面有缺陷得5分；存在其他明显缺陷或缺漏得1分，没有提供不得分；</w:t>
            </w:r>
          </w:p>
          <w:p w14:paraId="0650B8D9">
            <w:pPr>
              <w:widowControl/>
              <w:jc w:val="left"/>
              <w:rPr>
                <w:rFonts w:asciiTheme="minorEastAsia" w:hAnsiTheme="minorEastAsia" w:cstheme="minorEastAsia"/>
                <w:b w:val="0"/>
                <w:bCs w:val="0"/>
                <w:spacing w:val="5"/>
                <w:sz w:val="21"/>
                <w:szCs w:val="21"/>
              </w:rPr>
            </w:pPr>
            <w:r>
              <w:rPr>
                <w:rFonts w:hint="eastAsia" w:asciiTheme="minorEastAsia" w:hAnsiTheme="minorEastAsia" w:cstheme="minorEastAsia"/>
                <w:b w:val="0"/>
                <w:bCs w:val="0"/>
                <w:spacing w:val="5"/>
                <w:sz w:val="21"/>
                <w:szCs w:val="21"/>
              </w:rPr>
              <w:t>②评估程序及方法全面、科学合理、可行性强得7分；不合理、方案阐述不清、可行性方面有缺陷得5分，存在其他明显缺陷或缺漏得1分，没有提供不得分；</w:t>
            </w:r>
          </w:p>
          <w:p w14:paraId="6CB9985C">
            <w:pPr>
              <w:widowControl/>
              <w:jc w:val="left"/>
              <w:rPr>
                <w:rFonts w:asciiTheme="minorEastAsia" w:hAnsiTheme="minorEastAsia" w:cstheme="minorEastAsia"/>
                <w:b w:val="0"/>
                <w:bCs w:val="0"/>
                <w:sz w:val="21"/>
                <w:szCs w:val="21"/>
              </w:rPr>
            </w:pPr>
            <w:r>
              <w:rPr>
                <w:rFonts w:hint="eastAsia" w:asciiTheme="minorEastAsia" w:hAnsiTheme="minorEastAsia" w:cstheme="minorEastAsia"/>
                <w:b w:val="0"/>
                <w:bCs w:val="0"/>
                <w:spacing w:val="5"/>
                <w:sz w:val="21"/>
                <w:szCs w:val="21"/>
              </w:rPr>
              <w:t>③评估组织、人员保障与分工全面、科学合理、可行性强得6分；人员保障基本满足需求，不合理、方案阐述不清、可行性方面有缺陷得得4分，人员保障不满足需求，存在其他明显缺陷或缺漏得1分；未提供不得分。</w:t>
            </w:r>
          </w:p>
        </w:tc>
        <w:tc>
          <w:tcPr>
            <w:tcW w:w="705" w:type="dxa"/>
            <w:vAlign w:val="center"/>
          </w:tcPr>
          <w:p w14:paraId="06B22DC8">
            <w:pPr>
              <w:pStyle w:val="9"/>
              <w:spacing w:before="78"/>
              <w:jc w:val="center"/>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20</w:t>
            </w:r>
          </w:p>
        </w:tc>
      </w:tr>
      <w:tr w14:paraId="3FC00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69" w:type="dxa"/>
            <w:vMerge w:val="continue"/>
            <w:vAlign w:val="center"/>
          </w:tcPr>
          <w:p w14:paraId="74EAEA93">
            <w:pPr>
              <w:jc w:val="center"/>
              <w:rPr>
                <w:rFonts w:asciiTheme="minorEastAsia" w:hAnsiTheme="minorEastAsia" w:cstheme="minorEastAsia"/>
                <w:b w:val="0"/>
                <w:bCs w:val="0"/>
                <w:sz w:val="21"/>
                <w:szCs w:val="21"/>
              </w:rPr>
            </w:pPr>
          </w:p>
        </w:tc>
        <w:tc>
          <w:tcPr>
            <w:tcW w:w="1002" w:type="dxa"/>
            <w:vAlign w:val="center"/>
          </w:tcPr>
          <w:p w14:paraId="1237140E">
            <w:pPr>
              <w:pStyle w:val="9"/>
              <w:spacing w:before="39" w:line="219" w:lineRule="auto"/>
              <w:jc w:val="center"/>
              <w:rPr>
                <w:rFonts w:asciiTheme="minorEastAsia" w:hAnsiTheme="minorEastAsia" w:eastAsiaTheme="minorEastAsia" w:cstheme="minorEastAsia"/>
                <w:b w:val="0"/>
                <w:bCs w:val="0"/>
                <w:spacing w:val="-4"/>
                <w:sz w:val="21"/>
                <w:szCs w:val="21"/>
                <w:lang w:eastAsia="zh-CN"/>
              </w:rPr>
            </w:pPr>
            <w:r>
              <w:rPr>
                <w:rFonts w:hint="eastAsia" w:asciiTheme="minorEastAsia" w:hAnsiTheme="minorEastAsia" w:eastAsiaTheme="minorEastAsia" w:cstheme="minorEastAsia"/>
                <w:b w:val="0"/>
                <w:bCs w:val="0"/>
                <w:spacing w:val="-4"/>
                <w:sz w:val="21"/>
                <w:szCs w:val="21"/>
                <w:lang w:eastAsia="zh-CN"/>
              </w:rPr>
              <w:t>项目重难点分析与解决措施</w:t>
            </w:r>
          </w:p>
        </w:tc>
        <w:tc>
          <w:tcPr>
            <w:tcW w:w="6573" w:type="dxa"/>
          </w:tcPr>
          <w:p w14:paraId="6E1A8E92">
            <w:pPr>
              <w:pStyle w:val="9"/>
              <w:spacing w:before="27" w:line="204" w:lineRule="auto"/>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对项目重难点进行分析，对国家及地方强制性技术标准的执行进行说明，对项目的重难点提出处理措施，阐述关键技术问题的对策措施。全面、科学合理、可行性强得15分；不合理、方案阐述不清、可行性方面有缺陷得10分；存在其他明显缺陷或缺漏得5分；</w:t>
            </w:r>
            <w:r>
              <w:rPr>
                <w:rFonts w:hint="eastAsia" w:asciiTheme="minorEastAsia" w:hAnsiTheme="minorEastAsia" w:eastAsiaTheme="minorEastAsia" w:cstheme="minorEastAsia"/>
                <w:b w:val="0"/>
                <w:bCs w:val="0"/>
                <w:spacing w:val="5"/>
                <w:sz w:val="21"/>
                <w:szCs w:val="21"/>
                <w:lang w:eastAsia="zh-CN"/>
              </w:rPr>
              <w:t>未提供不得分。</w:t>
            </w:r>
          </w:p>
        </w:tc>
        <w:tc>
          <w:tcPr>
            <w:tcW w:w="705" w:type="dxa"/>
            <w:vAlign w:val="center"/>
          </w:tcPr>
          <w:p w14:paraId="21028787">
            <w:pPr>
              <w:pStyle w:val="9"/>
              <w:spacing w:before="78"/>
              <w:jc w:val="center"/>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15</w:t>
            </w:r>
          </w:p>
        </w:tc>
      </w:tr>
      <w:tr w14:paraId="50E77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969" w:type="dxa"/>
            <w:vMerge w:val="continue"/>
            <w:vAlign w:val="center"/>
          </w:tcPr>
          <w:p w14:paraId="42D48F32">
            <w:pPr>
              <w:jc w:val="center"/>
              <w:rPr>
                <w:rFonts w:asciiTheme="minorEastAsia" w:hAnsiTheme="minorEastAsia" w:cstheme="minorEastAsia"/>
                <w:b w:val="0"/>
                <w:bCs w:val="0"/>
                <w:sz w:val="21"/>
                <w:szCs w:val="21"/>
              </w:rPr>
            </w:pPr>
          </w:p>
        </w:tc>
        <w:tc>
          <w:tcPr>
            <w:tcW w:w="1002" w:type="dxa"/>
            <w:vAlign w:val="center"/>
          </w:tcPr>
          <w:p w14:paraId="2A8A09ED">
            <w:pPr>
              <w:pStyle w:val="9"/>
              <w:spacing w:before="39" w:line="219" w:lineRule="auto"/>
              <w:jc w:val="center"/>
              <w:rPr>
                <w:rFonts w:asciiTheme="minorEastAsia" w:hAnsiTheme="minorEastAsia" w:eastAsiaTheme="minorEastAsia" w:cstheme="minorEastAsia"/>
                <w:b w:val="0"/>
                <w:bCs w:val="0"/>
                <w:spacing w:val="-4"/>
                <w:sz w:val="21"/>
                <w:szCs w:val="21"/>
                <w:lang w:eastAsia="zh-CN"/>
              </w:rPr>
            </w:pPr>
            <w:r>
              <w:rPr>
                <w:rFonts w:hint="eastAsia" w:asciiTheme="minorEastAsia" w:hAnsiTheme="minorEastAsia" w:eastAsiaTheme="minorEastAsia" w:cstheme="minorEastAsia"/>
                <w:b w:val="0"/>
                <w:bCs w:val="0"/>
                <w:spacing w:val="-4"/>
                <w:sz w:val="21"/>
                <w:szCs w:val="21"/>
                <w:lang w:eastAsia="zh-CN"/>
              </w:rPr>
              <w:t>质量保证措施</w:t>
            </w:r>
          </w:p>
        </w:tc>
        <w:tc>
          <w:tcPr>
            <w:tcW w:w="6573" w:type="dxa"/>
          </w:tcPr>
          <w:p w14:paraId="736506B3">
            <w:pPr>
              <w:pStyle w:val="9"/>
              <w:spacing w:before="27" w:line="204" w:lineRule="auto"/>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根据质量保证措施是否全面、科学、合理可行等进行评分，全面、科学合理、可行性强得</w:t>
            </w:r>
            <w:r>
              <w:rPr>
                <w:rFonts w:hint="eastAsia" w:asciiTheme="minorEastAsia" w:hAnsiTheme="minorEastAsia" w:eastAsiaTheme="minorEastAsia" w:cstheme="minorEastAsia"/>
                <w:b w:val="0"/>
                <w:bCs w:val="0"/>
                <w:sz w:val="21"/>
                <w:szCs w:val="21"/>
                <w:lang w:val="en-US" w:eastAsia="zh-CN"/>
              </w:rPr>
              <w:t>6</w:t>
            </w:r>
            <w:r>
              <w:rPr>
                <w:rFonts w:hint="eastAsia" w:asciiTheme="minorEastAsia" w:hAnsiTheme="minorEastAsia" w:eastAsiaTheme="minorEastAsia" w:cstheme="minorEastAsia"/>
                <w:b w:val="0"/>
                <w:bCs w:val="0"/>
                <w:sz w:val="21"/>
                <w:szCs w:val="21"/>
                <w:lang w:eastAsia="zh-CN"/>
              </w:rPr>
              <w:t>分；不合理、方案阐述不清、可行性方面有缺陷得</w:t>
            </w:r>
            <w:r>
              <w:rPr>
                <w:rFonts w:hint="eastAsia" w:asciiTheme="minorEastAsia" w:hAnsiTheme="minorEastAsia" w:eastAsiaTheme="minorEastAsia" w:cstheme="minorEastAsia"/>
                <w:b w:val="0"/>
                <w:bCs w:val="0"/>
                <w:sz w:val="21"/>
                <w:szCs w:val="21"/>
                <w:lang w:val="en-US" w:eastAsia="zh-CN"/>
              </w:rPr>
              <w:t>4</w:t>
            </w:r>
            <w:r>
              <w:rPr>
                <w:rFonts w:hint="eastAsia" w:asciiTheme="minorEastAsia" w:hAnsiTheme="minorEastAsia" w:eastAsiaTheme="minorEastAsia" w:cstheme="minorEastAsia"/>
                <w:b w:val="0"/>
                <w:bCs w:val="0"/>
                <w:sz w:val="21"/>
                <w:szCs w:val="21"/>
                <w:lang w:eastAsia="zh-CN"/>
              </w:rPr>
              <w:t>分；存在其他明显缺陷或缺漏得</w:t>
            </w: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lang w:eastAsia="zh-CN"/>
              </w:rPr>
              <w:t>分；</w:t>
            </w:r>
            <w:r>
              <w:rPr>
                <w:rFonts w:hint="eastAsia" w:asciiTheme="minorEastAsia" w:hAnsiTheme="minorEastAsia" w:eastAsiaTheme="minorEastAsia" w:cstheme="minorEastAsia"/>
                <w:b w:val="0"/>
                <w:bCs w:val="0"/>
                <w:spacing w:val="5"/>
                <w:sz w:val="21"/>
                <w:szCs w:val="21"/>
                <w:lang w:eastAsia="zh-CN"/>
              </w:rPr>
              <w:t>未提供不得分</w:t>
            </w:r>
            <w:r>
              <w:rPr>
                <w:rFonts w:hint="eastAsia" w:asciiTheme="minorEastAsia" w:hAnsiTheme="minorEastAsia" w:eastAsiaTheme="minorEastAsia" w:cstheme="minorEastAsia"/>
                <w:b w:val="0"/>
                <w:bCs w:val="0"/>
                <w:sz w:val="21"/>
                <w:szCs w:val="21"/>
                <w:lang w:eastAsia="zh-CN"/>
              </w:rPr>
              <w:t>。</w:t>
            </w:r>
          </w:p>
        </w:tc>
        <w:tc>
          <w:tcPr>
            <w:tcW w:w="705" w:type="dxa"/>
            <w:vAlign w:val="center"/>
          </w:tcPr>
          <w:p w14:paraId="072BDA79">
            <w:pPr>
              <w:pStyle w:val="9"/>
              <w:spacing w:before="78"/>
              <w:jc w:val="center"/>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6</w:t>
            </w:r>
          </w:p>
        </w:tc>
      </w:tr>
      <w:tr w14:paraId="4DEFC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969" w:type="dxa"/>
            <w:vMerge w:val="continue"/>
            <w:vAlign w:val="center"/>
          </w:tcPr>
          <w:p w14:paraId="2020F4F8">
            <w:pPr>
              <w:jc w:val="center"/>
              <w:rPr>
                <w:rFonts w:asciiTheme="minorEastAsia" w:hAnsiTheme="minorEastAsia" w:cstheme="minorEastAsia"/>
                <w:b w:val="0"/>
                <w:bCs w:val="0"/>
                <w:sz w:val="21"/>
                <w:szCs w:val="21"/>
              </w:rPr>
            </w:pPr>
          </w:p>
        </w:tc>
        <w:tc>
          <w:tcPr>
            <w:tcW w:w="1002" w:type="dxa"/>
            <w:vAlign w:val="center"/>
          </w:tcPr>
          <w:p w14:paraId="2E50B2F3">
            <w:pPr>
              <w:pStyle w:val="9"/>
              <w:spacing w:before="39" w:line="219" w:lineRule="auto"/>
              <w:jc w:val="center"/>
              <w:rPr>
                <w:rFonts w:asciiTheme="minorEastAsia" w:hAnsiTheme="minorEastAsia" w:eastAsiaTheme="minorEastAsia" w:cstheme="minorEastAsia"/>
                <w:b w:val="0"/>
                <w:bCs w:val="0"/>
                <w:spacing w:val="-4"/>
                <w:sz w:val="21"/>
                <w:szCs w:val="21"/>
                <w:lang w:eastAsia="zh-CN"/>
              </w:rPr>
            </w:pPr>
            <w:r>
              <w:rPr>
                <w:rFonts w:hint="eastAsia" w:asciiTheme="minorEastAsia" w:hAnsiTheme="minorEastAsia" w:eastAsiaTheme="minorEastAsia" w:cstheme="minorEastAsia"/>
                <w:b w:val="0"/>
                <w:bCs w:val="0"/>
                <w:spacing w:val="-4"/>
                <w:sz w:val="21"/>
                <w:szCs w:val="21"/>
                <w:lang w:eastAsia="zh-CN"/>
              </w:rPr>
              <w:t>进度保证措施</w:t>
            </w:r>
          </w:p>
        </w:tc>
        <w:tc>
          <w:tcPr>
            <w:tcW w:w="6573" w:type="dxa"/>
          </w:tcPr>
          <w:p w14:paraId="30BCD159">
            <w:pPr>
              <w:pStyle w:val="9"/>
              <w:spacing w:before="26" w:line="223" w:lineRule="auto"/>
              <w:ind w:right="102"/>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履约期限满足招标文件要求，有详细的项目实施进度计划、保证措施及处罚措施，全面、科学合理、可行性强得</w:t>
            </w:r>
            <w:r>
              <w:rPr>
                <w:rFonts w:hint="eastAsia" w:asciiTheme="minorEastAsia" w:hAnsiTheme="minorEastAsia" w:eastAsiaTheme="minorEastAsia" w:cstheme="minorEastAsia"/>
                <w:b w:val="0"/>
                <w:bCs w:val="0"/>
                <w:sz w:val="21"/>
                <w:szCs w:val="21"/>
                <w:lang w:val="en-US" w:eastAsia="zh-CN"/>
              </w:rPr>
              <w:t>6</w:t>
            </w:r>
            <w:r>
              <w:rPr>
                <w:rFonts w:hint="eastAsia" w:asciiTheme="minorEastAsia" w:hAnsiTheme="minorEastAsia" w:eastAsiaTheme="minorEastAsia" w:cstheme="minorEastAsia"/>
                <w:b w:val="0"/>
                <w:bCs w:val="0"/>
                <w:sz w:val="21"/>
                <w:szCs w:val="21"/>
                <w:lang w:eastAsia="zh-CN"/>
              </w:rPr>
              <w:t>分；不合理、方案阐述不清、可行性方面有缺陷得</w:t>
            </w:r>
            <w:r>
              <w:rPr>
                <w:rFonts w:hint="eastAsia" w:asciiTheme="minorEastAsia" w:hAnsiTheme="minorEastAsia" w:eastAsiaTheme="minorEastAsia" w:cstheme="minorEastAsia"/>
                <w:b w:val="0"/>
                <w:bCs w:val="0"/>
                <w:sz w:val="21"/>
                <w:szCs w:val="21"/>
                <w:lang w:val="en-US" w:eastAsia="zh-CN"/>
              </w:rPr>
              <w:t>4</w:t>
            </w:r>
            <w:r>
              <w:rPr>
                <w:rFonts w:hint="eastAsia" w:asciiTheme="minorEastAsia" w:hAnsiTheme="minorEastAsia" w:eastAsiaTheme="minorEastAsia" w:cstheme="minorEastAsia"/>
                <w:b w:val="0"/>
                <w:bCs w:val="0"/>
                <w:sz w:val="21"/>
                <w:szCs w:val="21"/>
                <w:lang w:eastAsia="zh-CN"/>
              </w:rPr>
              <w:t>分；存在其他明显缺陷或缺漏得</w:t>
            </w: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lang w:eastAsia="zh-CN"/>
              </w:rPr>
              <w:t>分；</w:t>
            </w:r>
            <w:r>
              <w:rPr>
                <w:rFonts w:hint="eastAsia" w:asciiTheme="minorEastAsia" w:hAnsiTheme="minorEastAsia" w:eastAsiaTheme="minorEastAsia" w:cstheme="minorEastAsia"/>
                <w:b w:val="0"/>
                <w:bCs w:val="0"/>
                <w:spacing w:val="5"/>
                <w:sz w:val="21"/>
                <w:szCs w:val="21"/>
                <w:lang w:eastAsia="zh-CN"/>
              </w:rPr>
              <w:t>未提供不得分</w:t>
            </w:r>
            <w:r>
              <w:rPr>
                <w:rFonts w:hint="eastAsia" w:asciiTheme="minorEastAsia" w:hAnsiTheme="minorEastAsia" w:eastAsiaTheme="minorEastAsia" w:cstheme="minorEastAsia"/>
                <w:b w:val="0"/>
                <w:bCs w:val="0"/>
                <w:sz w:val="21"/>
                <w:szCs w:val="21"/>
                <w:lang w:eastAsia="zh-CN"/>
              </w:rPr>
              <w:t>。</w:t>
            </w:r>
          </w:p>
        </w:tc>
        <w:tc>
          <w:tcPr>
            <w:tcW w:w="705" w:type="dxa"/>
            <w:vAlign w:val="center"/>
          </w:tcPr>
          <w:p w14:paraId="294C2998">
            <w:pPr>
              <w:pStyle w:val="9"/>
              <w:spacing w:before="78"/>
              <w:jc w:val="center"/>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6</w:t>
            </w:r>
          </w:p>
        </w:tc>
      </w:tr>
      <w:tr w14:paraId="38FD8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69" w:type="dxa"/>
            <w:vMerge w:val="continue"/>
            <w:vAlign w:val="center"/>
          </w:tcPr>
          <w:p w14:paraId="493E1B3A">
            <w:pPr>
              <w:jc w:val="center"/>
              <w:rPr>
                <w:rFonts w:asciiTheme="minorEastAsia" w:hAnsiTheme="minorEastAsia" w:cstheme="minorEastAsia"/>
                <w:b w:val="0"/>
                <w:bCs w:val="0"/>
                <w:sz w:val="21"/>
                <w:szCs w:val="21"/>
              </w:rPr>
            </w:pPr>
          </w:p>
        </w:tc>
        <w:tc>
          <w:tcPr>
            <w:tcW w:w="1002" w:type="dxa"/>
            <w:vAlign w:val="center"/>
          </w:tcPr>
          <w:p w14:paraId="0D875609">
            <w:pPr>
              <w:pStyle w:val="9"/>
              <w:spacing w:before="39" w:line="219" w:lineRule="auto"/>
              <w:jc w:val="center"/>
              <w:rPr>
                <w:rFonts w:asciiTheme="minorEastAsia" w:hAnsiTheme="minorEastAsia" w:eastAsiaTheme="minorEastAsia" w:cstheme="minorEastAsia"/>
                <w:b w:val="0"/>
                <w:bCs w:val="0"/>
                <w:spacing w:val="-4"/>
                <w:sz w:val="21"/>
                <w:szCs w:val="21"/>
                <w:lang w:eastAsia="zh-CN"/>
              </w:rPr>
            </w:pPr>
            <w:r>
              <w:rPr>
                <w:rFonts w:hint="eastAsia" w:asciiTheme="minorEastAsia" w:hAnsiTheme="minorEastAsia" w:eastAsiaTheme="minorEastAsia" w:cstheme="minorEastAsia"/>
                <w:b w:val="0"/>
                <w:bCs w:val="0"/>
                <w:spacing w:val="-4"/>
                <w:sz w:val="21"/>
                <w:szCs w:val="21"/>
                <w:lang w:eastAsia="zh-CN"/>
              </w:rPr>
              <w:t>保密措施</w:t>
            </w:r>
          </w:p>
        </w:tc>
        <w:tc>
          <w:tcPr>
            <w:tcW w:w="6573" w:type="dxa"/>
          </w:tcPr>
          <w:p w14:paraId="186D81D8">
            <w:pPr>
              <w:pStyle w:val="9"/>
              <w:spacing w:before="26" w:line="223" w:lineRule="auto"/>
              <w:ind w:right="102"/>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保密措施科学合理并切实可行得</w:t>
            </w:r>
            <w:r>
              <w:rPr>
                <w:rFonts w:hint="eastAsia" w:asciiTheme="minorEastAsia" w:hAnsiTheme="minorEastAsia" w:eastAsiaTheme="minorEastAsia" w:cstheme="minorEastAsia"/>
                <w:b w:val="0"/>
                <w:bCs w:val="0"/>
                <w:sz w:val="21"/>
                <w:szCs w:val="21"/>
                <w:lang w:val="en-US" w:eastAsia="zh-CN"/>
              </w:rPr>
              <w:t>6</w:t>
            </w:r>
            <w:r>
              <w:rPr>
                <w:rFonts w:hint="eastAsia" w:asciiTheme="minorEastAsia" w:hAnsiTheme="minorEastAsia" w:eastAsiaTheme="minorEastAsia" w:cstheme="minorEastAsia"/>
                <w:b w:val="0"/>
                <w:bCs w:val="0"/>
                <w:sz w:val="21"/>
                <w:szCs w:val="21"/>
                <w:lang w:eastAsia="zh-CN"/>
              </w:rPr>
              <w:t>分；基本合理基本可行得</w:t>
            </w:r>
            <w:r>
              <w:rPr>
                <w:rFonts w:hint="eastAsia" w:asciiTheme="minorEastAsia" w:hAnsiTheme="minorEastAsia" w:eastAsiaTheme="minorEastAsia" w:cstheme="minorEastAsia"/>
                <w:b w:val="0"/>
                <w:bCs w:val="0"/>
                <w:sz w:val="21"/>
                <w:szCs w:val="21"/>
                <w:lang w:val="en-US" w:eastAsia="zh-CN"/>
              </w:rPr>
              <w:t>4</w:t>
            </w:r>
            <w:r>
              <w:rPr>
                <w:rFonts w:hint="eastAsia" w:asciiTheme="minorEastAsia" w:hAnsiTheme="minorEastAsia" w:eastAsiaTheme="minorEastAsia" w:cstheme="minorEastAsia"/>
                <w:b w:val="0"/>
                <w:bCs w:val="0"/>
                <w:sz w:val="21"/>
                <w:szCs w:val="21"/>
                <w:lang w:eastAsia="zh-CN"/>
              </w:rPr>
              <w:t>分；缺乏合理性可行性得</w:t>
            </w: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lang w:eastAsia="zh-CN"/>
              </w:rPr>
              <w:t>分；未提供不得分。</w:t>
            </w:r>
          </w:p>
        </w:tc>
        <w:tc>
          <w:tcPr>
            <w:tcW w:w="705" w:type="dxa"/>
            <w:vAlign w:val="center"/>
          </w:tcPr>
          <w:p w14:paraId="6D66D27A">
            <w:pPr>
              <w:pStyle w:val="9"/>
              <w:spacing w:before="78"/>
              <w:jc w:val="center"/>
              <w:rPr>
                <w:rFonts w:asciiTheme="minorEastAsia" w:hAnsiTheme="minorEastAsia" w:eastAsiaTheme="minorEastAsia" w:cstheme="minorEastAsia"/>
                <w:b w:val="0"/>
                <w:bCs w:val="0"/>
                <w:spacing w:val="-14"/>
                <w:sz w:val="21"/>
                <w:szCs w:val="21"/>
                <w:lang w:eastAsia="zh-CN"/>
              </w:rPr>
            </w:pPr>
            <w:r>
              <w:rPr>
                <w:rFonts w:hint="eastAsia" w:asciiTheme="minorEastAsia" w:hAnsiTheme="minorEastAsia" w:eastAsiaTheme="minorEastAsia" w:cstheme="minorEastAsia"/>
                <w:b w:val="0"/>
                <w:bCs w:val="0"/>
                <w:spacing w:val="-14"/>
                <w:sz w:val="21"/>
                <w:szCs w:val="21"/>
                <w:lang w:val="en-US" w:eastAsia="zh-CN"/>
              </w:rPr>
              <w:t>6</w:t>
            </w:r>
          </w:p>
        </w:tc>
      </w:tr>
      <w:tr w14:paraId="08DFD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969" w:type="dxa"/>
            <w:vMerge w:val="continue"/>
            <w:vAlign w:val="center"/>
          </w:tcPr>
          <w:p w14:paraId="6420F384">
            <w:pPr>
              <w:jc w:val="center"/>
              <w:rPr>
                <w:rFonts w:asciiTheme="minorEastAsia" w:hAnsiTheme="minorEastAsia" w:cstheme="minorEastAsia"/>
                <w:b w:val="0"/>
                <w:bCs w:val="0"/>
                <w:sz w:val="21"/>
                <w:szCs w:val="21"/>
              </w:rPr>
            </w:pPr>
          </w:p>
        </w:tc>
        <w:tc>
          <w:tcPr>
            <w:tcW w:w="1002" w:type="dxa"/>
            <w:vAlign w:val="center"/>
          </w:tcPr>
          <w:p w14:paraId="096591E5">
            <w:pPr>
              <w:pStyle w:val="9"/>
              <w:spacing w:before="39" w:line="219" w:lineRule="auto"/>
              <w:jc w:val="center"/>
              <w:rPr>
                <w:rFonts w:asciiTheme="minorEastAsia" w:hAnsiTheme="minorEastAsia" w:eastAsiaTheme="minorEastAsia" w:cstheme="minorEastAsia"/>
                <w:b w:val="0"/>
                <w:bCs w:val="0"/>
                <w:spacing w:val="-4"/>
                <w:sz w:val="21"/>
                <w:szCs w:val="21"/>
                <w:lang w:eastAsia="zh-CN"/>
              </w:rPr>
            </w:pPr>
            <w:r>
              <w:rPr>
                <w:rFonts w:hint="eastAsia" w:asciiTheme="minorEastAsia" w:hAnsiTheme="minorEastAsia" w:eastAsiaTheme="minorEastAsia" w:cstheme="minorEastAsia"/>
                <w:b w:val="0"/>
                <w:bCs w:val="0"/>
                <w:spacing w:val="-4"/>
                <w:sz w:val="21"/>
                <w:szCs w:val="21"/>
                <w:lang w:eastAsia="zh-CN"/>
              </w:rPr>
              <w:t>应急处理措施</w:t>
            </w:r>
          </w:p>
        </w:tc>
        <w:tc>
          <w:tcPr>
            <w:tcW w:w="6573" w:type="dxa"/>
          </w:tcPr>
          <w:p w14:paraId="25218C17">
            <w:pPr>
              <w:pStyle w:val="9"/>
              <w:spacing w:before="26" w:line="223" w:lineRule="auto"/>
              <w:ind w:right="102"/>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应急处理措施科学合理并切实可行得</w:t>
            </w:r>
            <w:r>
              <w:rPr>
                <w:rFonts w:hint="eastAsia" w:asciiTheme="minorEastAsia" w:hAnsiTheme="minorEastAsia" w:eastAsiaTheme="minorEastAsia" w:cstheme="minorEastAsia"/>
                <w:b w:val="0"/>
                <w:bCs w:val="0"/>
                <w:sz w:val="21"/>
                <w:szCs w:val="21"/>
                <w:lang w:val="en-US" w:eastAsia="zh-CN"/>
              </w:rPr>
              <w:t>6</w:t>
            </w:r>
            <w:r>
              <w:rPr>
                <w:rFonts w:hint="eastAsia" w:asciiTheme="minorEastAsia" w:hAnsiTheme="minorEastAsia" w:eastAsiaTheme="minorEastAsia" w:cstheme="minorEastAsia"/>
                <w:b w:val="0"/>
                <w:bCs w:val="0"/>
                <w:sz w:val="21"/>
                <w:szCs w:val="21"/>
                <w:lang w:eastAsia="zh-CN"/>
              </w:rPr>
              <w:t>分；基本合理基本可行得</w:t>
            </w:r>
            <w:r>
              <w:rPr>
                <w:rFonts w:hint="eastAsia" w:asciiTheme="minorEastAsia" w:hAnsiTheme="minorEastAsia" w:eastAsiaTheme="minorEastAsia" w:cstheme="minorEastAsia"/>
                <w:b w:val="0"/>
                <w:bCs w:val="0"/>
                <w:sz w:val="21"/>
                <w:szCs w:val="21"/>
                <w:lang w:val="en-US" w:eastAsia="zh-CN"/>
              </w:rPr>
              <w:t>4</w:t>
            </w:r>
            <w:r>
              <w:rPr>
                <w:rFonts w:hint="eastAsia" w:asciiTheme="minorEastAsia" w:hAnsiTheme="minorEastAsia" w:eastAsiaTheme="minorEastAsia" w:cstheme="minorEastAsia"/>
                <w:b w:val="0"/>
                <w:bCs w:val="0"/>
                <w:sz w:val="21"/>
                <w:szCs w:val="21"/>
                <w:lang w:eastAsia="zh-CN"/>
              </w:rPr>
              <w:t>分；缺乏合理性可行性得</w:t>
            </w: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lang w:eastAsia="zh-CN"/>
              </w:rPr>
              <w:t>分；未提供不得分。</w:t>
            </w:r>
          </w:p>
        </w:tc>
        <w:tc>
          <w:tcPr>
            <w:tcW w:w="705" w:type="dxa"/>
            <w:vAlign w:val="center"/>
          </w:tcPr>
          <w:p w14:paraId="577B9D42">
            <w:pPr>
              <w:pStyle w:val="9"/>
              <w:spacing w:before="78"/>
              <w:jc w:val="center"/>
              <w:rPr>
                <w:rFonts w:asciiTheme="minorEastAsia" w:hAnsiTheme="minorEastAsia" w:eastAsiaTheme="minorEastAsia" w:cstheme="minorEastAsia"/>
                <w:b w:val="0"/>
                <w:bCs w:val="0"/>
                <w:spacing w:val="-14"/>
                <w:sz w:val="21"/>
                <w:szCs w:val="21"/>
                <w:lang w:eastAsia="zh-CN"/>
              </w:rPr>
            </w:pPr>
            <w:r>
              <w:rPr>
                <w:rFonts w:hint="eastAsia" w:asciiTheme="minorEastAsia" w:hAnsiTheme="minorEastAsia" w:eastAsiaTheme="minorEastAsia" w:cstheme="minorEastAsia"/>
                <w:b w:val="0"/>
                <w:bCs w:val="0"/>
                <w:spacing w:val="-14"/>
                <w:sz w:val="21"/>
                <w:szCs w:val="21"/>
                <w:lang w:val="en-US" w:eastAsia="zh-CN"/>
              </w:rPr>
              <w:t>6</w:t>
            </w:r>
          </w:p>
        </w:tc>
      </w:tr>
      <w:tr w14:paraId="16CAF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969" w:type="dxa"/>
            <w:vMerge w:val="continue"/>
            <w:vAlign w:val="center"/>
          </w:tcPr>
          <w:p w14:paraId="480AB117">
            <w:pPr>
              <w:jc w:val="center"/>
              <w:rPr>
                <w:rFonts w:asciiTheme="minorEastAsia" w:hAnsiTheme="minorEastAsia" w:cstheme="minorEastAsia"/>
                <w:b w:val="0"/>
                <w:bCs w:val="0"/>
                <w:sz w:val="21"/>
                <w:szCs w:val="21"/>
              </w:rPr>
            </w:pPr>
          </w:p>
        </w:tc>
        <w:tc>
          <w:tcPr>
            <w:tcW w:w="1002" w:type="dxa"/>
            <w:vAlign w:val="center"/>
          </w:tcPr>
          <w:p w14:paraId="09978167">
            <w:pPr>
              <w:pStyle w:val="9"/>
              <w:spacing w:before="39" w:line="219" w:lineRule="auto"/>
              <w:jc w:val="center"/>
              <w:rPr>
                <w:rFonts w:asciiTheme="minorEastAsia" w:hAnsiTheme="minorEastAsia" w:eastAsiaTheme="minorEastAsia" w:cstheme="minorEastAsia"/>
                <w:b w:val="0"/>
                <w:bCs w:val="0"/>
                <w:spacing w:val="-4"/>
                <w:sz w:val="21"/>
                <w:szCs w:val="21"/>
                <w:lang w:eastAsia="zh-CN"/>
              </w:rPr>
            </w:pPr>
            <w:r>
              <w:rPr>
                <w:rFonts w:hint="eastAsia" w:asciiTheme="minorEastAsia" w:hAnsiTheme="minorEastAsia" w:eastAsiaTheme="minorEastAsia" w:cstheme="minorEastAsia"/>
                <w:b w:val="0"/>
                <w:bCs w:val="0"/>
                <w:spacing w:val="-4"/>
                <w:sz w:val="21"/>
                <w:szCs w:val="21"/>
                <w:lang w:eastAsia="zh-CN"/>
              </w:rPr>
              <w:t>售后服务保障</w:t>
            </w:r>
          </w:p>
        </w:tc>
        <w:tc>
          <w:tcPr>
            <w:tcW w:w="6573" w:type="dxa"/>
          </w:tcPr>
          <w:p w14:paraId="54686C05">
            <w:pPr>
              <w:pStyle w:val="9"/>
              <w:spacing w:before="26" w:line="223" w:lineRule="auto"/>
              <w:ind w:right="102"/>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根据投标人针对本项目提供的售后技术服务保障进行评分，全面、科学合理、可行性强得</w:t>
            </w:r>
            <w:r>
              <w:rPr>
                <w:rFonts w:hint="eastAsia" w:asciiTheme="minorEastAsia" w:hAnsiTheme="minorEastAsia" w:eastAsiaTheme="minorEastAsia" w:cstheme="minorEastAsia"/>
                <w:b w:val="0"/>
                <w:bCs w:val="0"/>
                <w:sz w:val="21"/>
                <w:szCs w:val="21"/>
                <w:lang w:val="en-US" w:eastAsia="zh-CN"/>
              </w:rPr>
              <w:t>6</w:t>
            </w:r>
            <w:r>
              <w:rPr>
                <w:rFonts w:hint="eastAsia" w:asciiTheme="minorEastAsia" w:hAnsiTheme="minorEastAsia" w:eastAsiaTheme="minorEastAsia" w:cstheme="minorEastAsia"/>
                <w:b w:val="0"/>
                <w:bCs w:val="0"/>
                <w:sz w:val="21"/>
                <w:szCs w:val="21"/>
                <w:lang w:eastAsia="zh-CN"/>
              </w:rPr>
              <w:t>分；不合理、方案阐述不清、可行性方面有缺陷得</w:t>
            </w:r>
            <w:r>
              <w:rPr>
                <w:rFonts w:hint="eastAsia" w:asciiTheme="minorEastAsia" w:hAnsiTheme="minorEastAsia" w:eastAsiaTheme="minorEastAsia" w:cstheme="minorEastAsia"/>
                <w:b w:val="0"/>
                <w:bCs w:val="0"/>
                <w:sz w:val="21"/>
                <w:szCs w:val="21"/>
                <w:lang w:val="en-US" w:eastAsia="zh-CN"/>
              </w:rPr>
              <w:t>4</w:t>
            </w:r>
            <w:r>
              <w:rPr>
                <w:rFonts w:hint="eastAsia" w:asciiTheme="minorEastAsia" w:hAnsiTheme="minorEastAsia" w:eastAsiaTheme="minorEastAsia" w:cstheme="minorEastAsia"/>
                <w:b w:val="0"/>
                <w:bCs w:val="0"/>
                <w:sz w:val="21"/>
                <w:szCs w:val="21"/>
                <w:lang w:eastAsia="zh-CN"/>
              </w:rPr>
              <w:t>分；存在其他明显缺陷或缺漏得</w:t>
            </w: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lang w:eastAsia="zh-CN"/>
              </w:rPr>
              <w:t>分；</w:t>
            </w:r>
            <w:r>
              <w:rPr>
                <w:rFonts w:hint="eastAsia" w:asciiTheme="minorEastAsia" w:hAnsiTheme="minorEastAsia" w:eastAsiaTheme="minorEastAsia" w:cstheme="minorEastAsia"/>
                <w:b w:val="0"/>
                <w:bCs w:val="0"/>
                <w:spacing w:val="5"/>
                <w:sz w:val="21"/>
                <w:szCs w:val="21"/>
                <w:lang w:eastAsia="zh-CN"/>
              </w:rPr>
              <w:t>未提供不得分</w:t>
            </w:r>
            <w:r>
              <w:rPr>
                <w:rFonts w:hint="eastAsia" w:asciiTheme="minorEastAsia" w:hAnsiTheme="minorEastAsia" w:eastAsiaTheme="minorEastAsia" w:cstheme="minorEastAsia"/>
                <w:b w:val="0"/>
                <w:bCs w:val="0"/>
                <w:sz w:val="21"/>
                <w:szCs w:val="21"/>
                <w:lang w:eastAsia="zh-CN"/>
              </w:rPr>
              <w:t>。</w:t>
            </w:r>
          </w:p>
        </w:tc>
        <w:tc>
          <w:tcPr>
            <w:tcW w:w="705" w:type="dxa"/>
            <w:vAlign w:val="center"/>
          </w:tcPr>
          <w:p w14:paraId="75E61B88">
            <w:pPr>
              <w:pStyle w:val="9"/>
              <w:spacing w:before="78"/>
              <w:jc w:val="center"/>
              <w:rPr>
                <w:rFonts w:asciiTheme="minorEastAsia" w:hAnsiTheme="minorEastAsia" w:eastAsiaTheme="minorEastAsia" w:cstheme="minorEastAsia"/>
                <w:b w:val="0"/>
                <w:bCs w:val="0"/>
                <w:spacing w:val="-14"/>
                <w:sz w:val="21"/>
                <w:szCs w:val="21"/>
                <w:lang w:eastAsia="zh-CN"/>
              </w:rPr>
            </w:pPr>
            <w:r>
              <w:rPr>
                <w:rFonts w:hint="eastAsia" w:asciiTheme="minorEastAsia" w:hAnsiTheme="minorEastAsia" w:eastAsiaTheme="minorEastAsia" w:cstheme="minorEastAsia"/>
                <w:b w:val="0"/>
                <w:bCs w:val="0"/>
                <w:spacing w:val="-14"/>
                <w:sz w:val="21"/>
                <w:szCs w:val="21"/>
                <w:lang w:val="en-US" w:eastAsia="zh-CN"/>
              </w:rPr>
              <w:t>6</w:t>
            </w:r>
          </w:p>
        </w:tc>
      </w:tr>
      <w:tr w14:paraId="15234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249" w:type="dxa"/>
            <w:gridSpan w:val="4"/>
          </w:tcPr>
          <w:p w14:paraId="4A2F90C7">
            <w:pPr>
              <w:pStyle w:val="9"/>
              <w:spacing w:before="26" w:line="223" w:lineRule="auto"/>
              <w:ind w:right="102"/>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说明： </w:t>
            </w:r>
          </w:p>
          <w:p w14:paraId="2A623A45">
            <w:pPr>
              <w:pStyle w:val="9"/>
              <w:spacing w:before="26" w:line="223" w:lineRule="auto"/>
              <w:ind w:right="102"/>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sz w:val="21"/>
                <w:szCs w:val="21"/>
                <w:lang w:eastAsia="zh-CN"/>
              </w:rPr>
              <w:t>上述技术打分中，全面、科学合理、可行性强是指：</w:t>
            </w:r>
          </w:p>
          <w:p w14:paraId="7197CB33">
            <w:pPr>
              <w:pStyle w:val="9"/>
              <w:spacing w:before="26" w:line="223" w:lineRule="auto"/>
              <w:ind w:right="102"/>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 xml:space="preserve">（1）方案完全响应采购需求要求； </w:t>
            </w:r>
          </w:p>
          <w:p w14:paraId="39E1CD47">
            <w:pPr>
              <w:pStyle w:val="9"/>
              <w:spacing w:before="26" w:line="223" w:lineRule="auto"/>
              <w:ind w:right="102"/>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 xml:space="preserve">（2）对达到项目目标提出了切实可行的措施，并对达不到目标有具体经济处罚承诺； </w:t>
            </w:r>
          </w:p>
          <w:p w14:paraId="361308B3">
            <w:pPr>
              <w:pStyle w:val="9"/>
              <w:spacing w:before="26" w:line="223" w:lineRule="auto"/>
              <w:ind w:right="102"/>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 xml:space="preserve">（3）对项目内容作了有针对性的全面、具体分析； </w:t>
            </w:r>
          </w:p>
          <w:p w14:paraId="1652CCAA">
            <w:pPr>
              <w:pStyle w:val="9"/>
              <w:spacing w:before="26" w:line="223" w:lineRule="auto"/>
              <w:ind w:right="102"/>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 xml:space="preserve">（4）提供的响应方案基于服务需求的全口径，提出了具有可行性的现状情况预判； </w:t>
            </w:r>
          </w:p>
          <w:p w14:paraId="71002F3A">
            <w:pPr>
              <w:pStyle w:val="9"/>
              <w:spacing w:before="26" w:line="223" w:lineRule="auto"/>
              <w:ind w:right="102"/>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 xml:space="preserve">（5）准确把握项目重难点，分析各类情况可能发生的不可预见性，并尽可能列明多种详细预案； </w:t>
            </w:r>
          </w:p>
          <w:p w14:paraId="219F08FF">
            <w:pPr>
              <w:pStyle w:val="9"/>
              <w:spacing w:before="26" w:line="223" w:lineRule="auto"/>
              <w:ind w:right="102"/>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 xml:space="preserve">（6）针对各类服务要求的不同特点及性能提供个性化的服务解决方案，也可以举例论证； </w:t>
            </w:r>
          </w:p>
          <w:p w14:paraId="794188EE">
            <w:pPr>
              <w:pStyle w:val="9"/>
              <w:spacing w:before="26" w:line="223" w:lineRule="auto"/>
              <w:ind w:right="102"/>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 xml:space="preserve">（7）对于资料、数据等响应方案的支撑材料提供细致，具体，具有一定的论证支撑性及可追溯性。 </w:t>
            </w:r>
          </w:p>
          <w:p w14:paraId="200D9CC9">
            <w:pPr>
              <w:pStyle w:val="9"/>
              <w:spacing w:before="26" w:line="223" w:lineRule="auto"/>
              <w:ind w:right="102"/>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sz w:val="21"/>
                <w:szCs w:val="21"/>
                <w:lang w:eastAsia="zh-CN"/>
              </w:rPr>
              <w:t>不合理、方案阐述不清、可行性方面有缺陷是指：</w:t>
            </w:r>
          </w:p>
          <w:p w14:paraId="5CC0E898">
            <w:pPr>
              <w:pStyle w:val="9"/>
              <w:spacing w:before="26" w:line="223" w:lineRule="auto"/>
              <w:ind w:right="102"/>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 xml:space="preserve">（1）方案响应采购需求要求有微小偏差； </w:t>
            </w:r>
          </w:p>
          <w:p w14:paraId="4D0EEDA6">
            <w:pPr>
              <w:pStyle w:val="9"/>
              <w:spacing w:before="26" w:line="223" w:lineRule="auto"/>
              <w:ind w:right="102"/>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 xml:space="preserve">（2）对达到项目目标提出的措施有欠缺或表述不够清晰，并对达不到目标欠缺具体的经济处罚承诺； </w:t>
            </w:r>
          </w:p>
          <w:p w14:paraId="0082D1D3">
            <w:pPr>
              <w:pStyle w:val="9"/>
              <w:spacing w:before="26" w:line="223" w:lineRule="auto"/>
              <w:ind w:right="102"/>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 xml:space="preserve">（3）对项目内容分析有一定的层次性，体现项目要求； </w:t>
            </w:r>
          </w:p>
          <w:p w14:paraId="27D690A7">
            <w:pPr>
              <w:pStyle w:val="9"/>
              <w:spacing w:before="26" w:line="223" w:lineRule="auto"/>
              <w:ind w:right="102"/>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 xml:space="preserve">（4）响应方案不完整，和采购需求存在明显的响应缺项； </w:t>
            </w:r>
          </w:p>
          <w:p w14:paraId="5ED740EF">
            <w:pPr>
              <w:pStyle w:val="9"/>
              <w:spacing w:before="26" w:line="223" w:lineRule="auto"/>
              <w:ind w:right="102"/>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 xml:space="preserve">（5）只对方案作出标题式的简单论证，并未展开分析或列明可行的具体解决方案； </w:t>
            </w:r>
          </w:p>
          <w:p w14:paraId="42E4C408">
            <w:pPr>
              <w:pStyle w:val="9"/>
              <w:spacing w:before="26" w:line="223" w:lineRule="auto"/>
              <w:ind w:right="102"/>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 xml:space="preserve">（6）对服务的响应进行泛化一般描述，缺少针对性； </w:t>
            </w:r>
          </w:p>
          <w:p w14:paraId="0D3952D0">
            <w:pPr>
              <w:pStyle w:val="9"/>
              <w:spacing w:before="26" w:line="223" w:lineRule="auto"/>
              <w:ind w:right="102"/>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 xml:space="preserve">（7）部分资料、数据等响应方案的支撑材料提供过于简单或未提供，难于采信。 </w:t>
            </w:r>
          </w:p>
          <w:p w14:paraId="5C52F598">
            <w:pPr>
              <w:pStyle w:val="9"/>
              <w:spacing w:before="26" w:line="223" w:lineRule="auto"/>
              <w:ind w:right="102"/>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sz w:val="21"/>
                <w:szCs w:val="21"/>
                <w:lang w:eastAsia="zh-CN"/>
              </w:rPr>
              <w:t>其他明显缺陷或缺漏是指：</w:t>
            </w:r>
          </w:p>
          <w:p w14:paraId="34BED973">
            <w:pPr>
              <w:pStyle w:val="9"/>
              <w:spacing w:before="26" w:line="223" w:lineRule="auto"/>
              <w:ind w:right="102"/>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 xml:space="preserve">（1）方案响应采购需求要求但有明显欠缺； </w:t>
            </w:r>
          </w:p>
          <w:p w14:paraId="60A606CF">
            <w:pPr>
              <w:pStyle w:val="9"/>
              <w:spacing w:before="26" w:line="223" w:lineRule="auto"/>
              <w:ind w:right="102"/>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 xml:space="preserve">（2）对达到项目目标提出的措施有缺陷或表述模糊，并对达不到目标没有经济处罚承诺； </w:t>
            </w:r>
          </w:p>
          <w:p w14:paraId="31060E2D">
            <w:pPr>
              <w:pStyle w:val="9"/>
              <w:spacing w:before="26" w:line="223" w:lineRule="auto"/>
              <w:ind w:right="102"/>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 xml:space="preserve">（3）对项目内容分析没有层次性，体现项目要求，但有明显缺陷； </w:t>
            </w:r>
          </w:p>
          <w:p w14:paraId="02394D80">
            <w:pPr>
              <w:pStyle w:val="9"/>
              <w:spacing w:before="26" w:line="223" w:lineRule="auto"/>
              <w:ind w:right="102"/>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 xml:space="preserve">（4）响应方案不完整，和采购需求存在明显的响应缺项； </w:t>
            </w:r>
          </w:p>
          <w:p w14:paraId="44A94723">
            <w:pPr>
              <w:pStyle w:val="9"/>
              <w:spacing w:before="26" w:line="223" w:lineRule="auto"/>
              <w:ind w:right="102"/>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 xml:space="preserve">（5）只对方案作出标题式的简单论证，并未展开分析或列明可行的具体解决方案； </w:t>
            </w:r>
          </w:p>
          <w:p w14:paraId="4E5350F3">
            <w:pPr>
              <w:pStyle w:val="9"/>
              <w:spacing w:before="26" w:line="223" w:lineRule="auto"/>
              <w:ind w:right="102"/>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 xml:space="preserve">（6）对服务的响应进行泛化一般描述，缺少针对性； </w:t>
            </w:r>
          </w:p>
          <w:p w14:paraId="145FA386">
            <w:pPr>
              <w:pStyle w:val="9"/>
              <w:spacing w:before="26" w:line="223" w:lineRule="auto"/>
              <w:ind w:right="102"/>
              <w:rPr>
                <w:rFonts w:asciiTheme="minorEastAsia" w:hAnsiTheme="minorEastAsia" w:eastAsiaTheme="minorEastAsia" w:cstheme="minorEastAsia"/>
                <w:b w:val="0"/>
                <w:bCs w:val="0"/>
                <w:spacing w:val="-14"/>
                <w:sz w:val="21"/>
                <w:szCs w:val="21"/>
                <w:lang w:eastAsia="zh-CN"/>
              </w:rPr>
            </w:pPr>
            <w:r>
              <w:rPr>
                <w:rFonts w:hint="eastAsia" w:asciiTheme="minorEastAsia" w:hAnsiTheme="minorEastAsia" w:eastAsiaTheme="minorEastAsia" w:cstheme="minorEastAsia"/>
                <w:b w:val="0"/>
                <w:bCs w:val="0"/>
                <w:sz w:val="21"/>
                <w:szCs w:val="21"/>
                <w:lang w:eastAsia="zh-CN"/>
              </w:rPr>
              <w:t>（7）部分资料、数据等响应方案的支撑材料提供过于简单或未提供，难于采信。</w:t>
            </w:r>
          </w:p>
        </w:tc>
      </w:tr>
    </w:tbl>
    <w:p w14:paraId="56A4156D">
      <w:pPr>
        <w:spacing w:before="183" w:line="360" w:lineRule="auto"/>
        <w:rPr>
          <w:rFonts w:ascii="宋体" w:hAnsi="宋体" w:eastAsia="宋体" w:cs="宋体"/>
          <w:spacing w:val="-1"/>
          <w:sz w:val="24"/>
          <w:szCs w:val="24"/>
        </w:rPr>
      </w:pPr>
    </w:p>
    <w:p w14:paraId="3945361E">
      <w:pPr>
        <w:rPr>
          <w:rFonts w:hint="eastAsia" w:ascii="宋体" w:hAnsi="宋体" w:eastAsia="宋体" w:cs="宋体"/>
          <w:szCs w:val="28"/>
        </w:rPr>
      </w:pPr>
      <w:r>
        <w:rPr>
          <w:rFonts w:hint="eastAsia" w:ascii="宋体" w:hAnsi="宋体" w:eastAsia="宋体" w:cs="宋体"/>
          <w:szCs w:val="28"/>
        </w:rPr>
        <w:br w:type="page"/>
      </w:r>
    </w:p>
    <w:p w14:paraId="3AF6E8BF">
      <w:pPr>
        <w:spacing w:before="183" w:line="360" w:lineRule="auto"/>
        <w:jc w:val="center"/>
        <w:rPr>
          <w:rFonts w:ascii="宋体" w:hAnsi="宋体" w:eastAsia="宋体" w:cs="宋体"/>
          <w:color w:val="000000"/>
          <w:kern w:val="0"/>
          <w:sz w:val="30"/>
          <w:szCs w:val="30"/>
        </w:rPr>
      </w:pPr>
      <w:r>
        <w:rPr>
          <w:rFonts w:hint="eastAsia" w:ascii="宋体" w:hAnsi="宋体" w:eastAsia="宋体" w:cs="宋体"/>
          <w:szCs w:val="28"/>
        </w:rPr>
        <w:t>五、合同书格式和基本条款（仅供参考）</w:t>
      </w:r>
    </w:p>
    <w:p w14:paraId="77407D5B"/>
    <w:p w14:paraId="631DD9C5">
      <w:pPr>
        <w:spacing w:line="360" w:lineRule="auto"/>
        <w:ind w:left="360" w:hanging="360"/>
        <w:jc w:val="left"/>
        <w:rPr>
          <w:rFonts w:ascii="宋体" w:hAnsi="宋体"/>
          <w:sz w:val="24"/>
          <w:szCs w:val="32"/>
        </w:rPr>
      </w:pPr>
      <w:r>
        <w:rPr>
          <w:rFonts w:hint="eastAsia" w:ascii="宋体" w:hAnsi="宋体"/>
        </w:rPr>
        <w:t>合同编号：</w:t>
      </w:r>
    </w:p>
    <w:p w14:paraId="296A1DF6">
      <w:pPr>
        <w:pStyle w:val="11"/>
        <w:ind w:firstLine="530"/>
      </w:pPr>
    </w:p>
    <w:p w14:paraId="512DAB9A">
      <w:pPr>
        <w:spacing w:line="360" w:lineRule="auto"/>
        <w:ind w:left="3406" w:hanging="3406" w:hangingChars="771"/>
        <w:jc w:val="center"/>
        <w:rPr>
          <w:rFonts w:ascii="黑体" w:eastAsia="黑体"/>
          <w:sz w:val="44"/>
        </w:rPr>
      </w:pPr>
    </w:p>
    <w:p w14:paraId="1DAD7303">
      <w:pPr>
        <w:jc w:val="center"/>
        <w:rPr>
          <w:rFonts w:ascii="黑体" w:hAnsi="黑体" w:eastAsia="黑体" w:cs="黑体"/>
          <w:sz w:val="52"/>
          <w:szCs w:val="52"/>
        </w:rPr>
      </w:pPr>
      <w:r>
        <w:rPr>
          <w:rFonts w:hint="eastAsia" w:ascii="黑体" w:hAnsi="黑体" w:eastAsia="黑体" w:cs="黑体"/>
          <w:sz w:val="52"/>
          <w:szCs w:val="52"/>
        </w:rPr>
        <w:t>技 术 服 务 合 同</w:t>
      </w:r>
    </w:p>
    <w:p w14:paraId="3567F805">
      <w:pPr>
        <w:jc w:val="center"/>
        <w:rPr>
          <w:rFonts w:ascii="黑体" w:hAnsi="黑体" w:eastAsia="黑体" w:cs="黑体"/>
          <w:sz w:val="52"/>
          <w:szCs w:val="52"/>
        </w:rPr>
      </w:pPr>
    </w:p>
    <w:p w14:paraId="33A64CBE">
      <w:pPr>
        <w:widowControl/>
        <w:jc w:val="center"/>
      </w:pPr>
      <w:r>
        <w:rPr>
          <w:rFonts w:hint="eastAsia" w:ascii="宋体" w:hAnsi="宋体" w:cs="宋体"/>
          <w:szCs w:val="28"/>
        </w:rPr>
        <w:t>项目名称：</w:t>
      </w:r>
      <w:r>
        <w:rPr>
          <w:rFonts w:hint="eastAsia" w:ascii="Times New Roman" w:hAnsi="Times New Roman" w:eastAsia="宋体" w:cs="Times New Roman"/>
          <w:sz w:val="32"/>
          <w:szCs w:val="32"/>
          <w:u w:val="single"/>
        </w:rPr>
        <w:t xml:space="preserve"> 新建铁路武汉枢纽直通线工程项目征迁退地工作评估服务</w:t>
      </w:r>
    </w:p>
    <w:p w14:paraId="0797B00E"/>
    <w:p w14:paraId="1B9DD430">
      <w:pPr>
        <w:spacing w:beforeLines="100"/>
        <w:ind w:firstLine="1606" w:firstLineChars="500"/>
        <w:rPr>
          <w:rFonts w:ascii="黑体" w:eastAsia="黑体"/>
          <w:sz w:val="32"/>
          <w:szCs w:val="32"/>
          <w:u w:val="single"/>
        </w:rPr>
      </w:pPr>
      <w:r>
        <w:rPr>
          <w:rFonts w:hint="eastAsia" w:ascii="黑体" w:eastAsia="黑体"/>
          <w:sz w:val="32"/>
          <w:szCs w:val="32"/>
        </w:rPr>
        <w:t>招标人：</w:t>
      </w:r>
      <w:r>
        <w:rPr>
          <w:rFonts w:hint="eastAsia" w:ascii="黑体" w:eastAsia="黑体"/>
          <w:sz w:val="32"/>
          <w:szCs w:val="32"/>
          <w:u w:val="single"/>
        </w:rPr>
        <w:t>武汉市东西湖区住房和城市更新局</w:t>
      </w:r>
    </w:p>
    <w:p w14:paraId="3CF99E98">
      <w:pPr>
        <w:spacing w:beforeLines="100"/>
        <w:ind w:firstLine="1606" w:firstLineChars="500"/>
        <w:rPr>
          <w:rFonts w:ascii="黑体" w:eastAsia="黑体"/>
          <w:sz w:val="32"/>
          <w:szCs w:val="32"/>
          <w:u w:val="single"/>
        </w:rPr>
      </w:pPr>
      <w:r>
        <w:rPr>
          <w:rFonts w:hint="eastAsia" w:ascii="黑体" w:eastAsia="黑体"/>
          <w:sz w:val="32"/>
          <w:szCs w:val="32"/>
        </w:rPr>
        <w:t>中标人：</w:t>
      </w:r>
    </w:p>
    <w:p w14:paraId="362281D9">
      <w:pPr>
        <w:pStyle w:val="11"/>
        <w:ind w:firstLine="707"/>
        <w:rPr>
          <w:rFonts w:ascii="黑体" w:eastAsia="黑体"/>
          <w:bCs/>
          <w:sz w:val="32"/>
          <w:szCs w:val="32"/>
          <w:u w:val="single"/>
        </w:rPr>
      </w:pPr>
    </w:p>
    <w:p w14:paraId="06E3E824">
      <w:pPr>
        <w:pStyle w:val="3"/>
        <w:ind w:left="266" w:leftChars="95" w:firstLine="1131"/>
      </w:pPr>
    </w:p>
    <w:p w14:paraId="32A28F1A">
      <w:pPr>
        <w:spacing w:beforeLines="100"/>
        <w:jc w:val="center"/>
        <w:rPr>
          <w:rFonts w:ascii="黑体" w:eastAsia="黑体"/>
          <w:szCs w:val="28"/>
        </w:rPr>
      </w:pPr>
      <w:r>
        <w:rPr>
          <w:rFonts w:hint="eastAsia" w:ascii="黑体" w:eastAsia="黑体"/>
          <w:szCs w:val="28"/>
        </w:rPr>
        <w:t>签订时间：</w:t>
      </w:r>
      <w:r>
        <w:rPr>
          <w:rFonts w:hint="eastAsia" w:ascii="黑体" w:eastAsia="黑体"/>
          <w:szCs w:val="28"/>
          <w:u w:val="single"/>
        </w:rPr>
        <w:t xml:space="preserve">     年    月    日</w:t>
      </w:r>
    </w:p>
    <w:p w14:paraId="4870853E">
      <w:pPr>
        <w:spacing w:beforeLines="100"/>
        <w:jc w:val="center"/>
        <w:rPr>
          <w:rFonts w:ascii="方正小标宋简体" w:hAnsi="方正小标宋简体" w:eastAsia="方正小标宋简体" w:cs="方正小标宋简体"/>
          <w:b w:val="0"/>
          <w:bCs w:val="0"/>
          <w:sz w:val="44"/>
        </w:rPr>
      </w:pPr>
      <w:r>
        <w:rPr>
          <w:rFonts w:hint="eastAsia" w:ascii="黑体" w:eastAsia="黑体"/>
          <w:szCs w:val="28"/>
        </w:rPr>
        <w:t>签订地点：</w:t>
      </w:r>
      <w:r>
        <w:rPr>
          <w:rFonts w:hint="eastAsia" w:ascii="黑体" w:eastAsia="黑体"/>
          <w:szCs w:val="28"/>
          <w:u w:val="single"/>
        </w:rPr>
        <w:t>湖北省武汉市东西湖区</w:t>
      </w:r>
    </w:p>
    <w:p w14:paraId="43C0FE0C">
      <w:pPr>
        <w:rPr>
          <w:rFonts w:hint="eastAsia" w:asciiTheme="minorEastAsia" w:hAnsiTheme="minorEastAsia" w:cstheme="minorEastAsia"/>
          <w:szCs w:val="28"/>
        </w:rPr>
      </w:pPr>
      <w:r>
        <w:rPr>
          <w:rFonts w:hint="eastAsia" w:asciiTheme="minorEastAsia" w:hAnsiTheme="minorEastAsia" w:cstheme="minorEastAsia"/>
          <w:szCs w:val="28"/>
        </w:rPr>
        <w:br w:type="page"/>
      </w:r>
    </w:p>
    <w:p w14:paraId="28D1B055">
      <w:pPr>
        <w:tabs>
          <w:tab w:val="left" w:pos="0"/>
        </w:tabs>
        <w:spacing w:line="600" w:lineRule="exact"/>
        <w:jc w:val="center"/>
        <w:rPr>
          <w:rFonts w:hint="eastAsia" w:asciiTheme="minorEastAsia" w:hAnsiTheme="minorEastAsia" w:cstheme="minorEastAsia"/>
          <w:szCs w:val="28"/>
        </w:rPr>
      </w:pPr>
      <w:r>
        <w:rPr>
          <w:rFonts w:hint="eastAsia" w:asciiTheme="minorEastAsia" w:hAnsiTheme="minorEastAsia" w:cstheme="minorEastAsia"/>
          <w:szCs w:val="28"/>
        </w:rPr>
        <w:t>新建铁路武汉枢纽直通线工程项目</w:t>
      </w:r>
    </w:p>
    <w:p w14:paraId="7B9F05F1">
      <w:pPr>
        <w:tabs>
          <w:tab w:val="left" w:pos="0"/>
        </w:tabs>
        <w:spacing w:line="600" w:lineRule="exact"/>
        <w:jc w:val="center"/>
        <w:rPr>
          <w:rFonts w:hint="eastAsia" w:asciiTheme="minorEastAsia" w:hAnsiTheme="minorEastAsia" w:cstheme="minorEastAsia"/>
          <w:szCs w:val="28"/>
        </w:rPr>
      </w:pPr>
      <w:r>
        <w:rPr>
          <w:rFonts w:hint="eastAsia" w:asciiTheme="minorEastAsia" w:hAnsiTheme="minorEastAsia" w:cstheme="minorEastAsia"/>
          <w:szCs w:val="28"/>
        </w:rPr>
        <w:t>征迁退地工作评估服务合同</w:t>
      </w:r>
    </w:p>
    <w:p w14:paraId="7D9AB31E">
      <w:pPr>
        <w:pStyle w:val="2"/>
      </w:pPr>
    </w:p>
    <w:p w14:paraId="672C67DF">
      <w:pPr>
        <w:snapToGrid w:val="0"/>
        <w:spacing w:line="360" w:lineRule="auto"/>
        <w:jc w:val="left"/>
        <w:rPr>
          <w:rFonts w:ascii="宋体" w:hAnsi="宋体" w:eastAsia="宋体" w:cs="宋体"/>
          <w:b w:val="0"/>
          <w:sz w:val="24"/>
          <w:szCs w:val="24"/>
          <w:u w:val="single"/>
        </w:rPr>
      </w:pPr>
      <w:r>
        <w:rPr>
          <w:rFonts w:ascii="宋体" w:hAnsi="宋体" w:eastAsia="宋体" w:cs="宋体"/>
          <w:b w:val="0"/>
          <w:sz w:val="24"/>
          <w:szCs w:val="24"/>
        </w:rPr>
        <w:t>委托方（甲方）：</w:t>
      </w:r>
      <w:r>
        <w:rPr>
          <w:rFonts w:ascii="宋体" w:hAnsi="宋体" w:eastAsia="宋体" w:cs="宋体"/>
          <w:b w:val="0"/>
          <w:sz w:val="24"/>
          <w:szCs w:val="24"/>
          <w:u w:val="single"/>
          <w:lang w:val="en-GB"/>
        </w:rPr>
        <w:t xml:space="preserve">  </w:t>
      </w:r>
      <w:r>
        <w:rPr>
          <w:rFonts w:ascii="宋体" w:hAnsi="宋体" w:eastAsia="宋体" w:cs="宋体"/>
          <w:b w:val="0"/>
          <w:sz w:val="24"/>
          <w:szCs w:val="24"/>
          <w:u w:val="single"/>
        </w:rPr>
        <w:t>武汉市东西湖区</w:t>
      </w:r>
      <w:r>
        <w:rPr>
          <w:rFonts w:hint="eastAsia" w:ascii="宋体" w:hAnsi="宋体" w:eastAsia="宋体" w:cs="宋体"/>
          <w:b w:val="0"/>
          <w:sz w:val="24"/>
          <w:szCs w:val="24"/>
          <w:u w:val="single"/>
        </w:rPr>
        <w:t>住房和城市更新局</w:t>
      </w:r>
      <w:r>
        <w:rPr>
          <w:rFonts w:ascii="宋体" w:hAnsi="宋体" w:eastAsia="宋体" w:cs="宋体"/>
          <w:b w:val="0"/>
          <w:sz w:val="24"/>
          <w:szCs w:val="24"/>
          <w:u w:val="single"/>
        </w:rPr>
        <w:t xml:space="preserve">   </w:t>
      </w:r>
    </w:p>
    <w:p w14:paraId="5EEDE56F">
      <w:pPr>
        <w:snapToGrid w:val="0"/>
        <w:spacing w:line="360" w:lineRule="auto"/>
        <w:jc w:val="left"/>
        <w:rPr>
          <w:rFonts w:ascii="宋体" w:hAnsi="宋体" w:eastAsia="宋体" w:cs="宋体"/>
          <w:b w:val="0"/>
          <w:sz w:val="24"/>
          <w:szCs w:val="24"/>
          <w:u w:val="single"/>
        </w:rPr>
      </w:pPr>
      <w:r>
        <w:rPr>
          <w:rFonts w:ascii="宋体" w:hAnsi="宋体" w:eastAsia="宋体" w:cs="宋体"/>
          <w:b w:val="0"/>
          <w:sz w:val="24"/>
          <w:szCs w:val="24"/>
        </w:rPr>
        <w:t>受托方（乙方）：</w:t>
      </w:r>
      <w:r>
        <w:rPr>
          <w:rFonts w:ascii="宋体" w:hAnsi="宋体" w:eastAsia="宋体" w:cs="宋体"/>
          <w:b w:val="0"/>
          <w:sz w:val="24"/>
          <w:szCs w:val="24"/>
          <w:u w:val="single"/>
        </w:rPr>
        <w:t xml:space="preserve"> </w:t>
      </w:r>
      <w:r>
        <w:rPr>
          <w:rFonts w:hint="eastAsia" w:ascii="宋体" w:hAnsi="宋体" w:eastAsia="宋体" w:cs="宋体"/>
          <w:b w:val="0"/>
          <w:sz w:val="24"/>
          <w:szCs w:val="24"/>
          <w:u w:val="single"/>
        </w:rPr>
        <w:t xml:space="preserve">                                 </w:t>
      </w:r>
      <w:r>
        <w:rPr>
          <w:rFonts w:ascii="宋体" w:hAnsi="宋体" w:eastAsia="宋体" w:cs="宋体"/>
          <w:b w:val="0"/>
          <w:sz w:val="24"/>
          <w:szCs w:val="24"/>
          <w:u w:val="single"/>
        </w:rPr>
        <w:t xml:space="preserve"> </w:t>
      </w:r>
    </w:p>
    <w:p w14:paraId="585BC48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eastAsia="宋体" w:cs="宋体"/>
          <w:b w:val="0"/>
          <w:bCs w:val="0"/>
          <w:sz w:val="24"/>
          <w:szCs w:val="24"/>
        </w:rPr>
      </w:pPr>
      <w:r>
        <w:rPr>
          <w:rFonts w:ascii="宋体" w:hAnsi="宋体" w:eastAsia="宋体" w:cs="宋体"/>
          <w:b w:val="0"/>
          <w:bCs w:val="0"/>
          <w:sz w:val="24"/>
          <w:szCs w:val="24"/>
        </w:rPr>
        <w:t>根据《中华人民共和国民法典》《中华人民共和国城市房地产管理法》</w:t>
      </w:r>
      <w:r>
        <w:rPr>
          <w:rFonts w:hint="eastAsia" w:ascii="宋体" w:hAnsi="宋体" w:eastAsia="宋体" w:cs="宋体"/>
          <w:b w:val="0"/>
          <w:bCs w:val="0"/>
          <w:sz w:val="24"/>
          <w:szCs w:val="24"/>
        </w:rPr>
        <w:t>等相关法律法规规定</w:t>
      </w:r>
      <w:r>
        <w:rPr>
          <w:rFonts w:ascii="宋体" w:hAnsi="宋体" w:eastAsia="宋体" w:cs="宋体"/>
          <w:b w:val="0"/>
          <w:bCs w:val="0"/>
          <w:sz w:val="24"/>
          <w:szCs w:val="24"/>
        </w:rPr>
        <w:t>，</w:t>
      </w:r>
      <w:r>
        <w:rPr>
          <w:rFonts w:hint="eastAsia" w:ascii="宋体" w:hAnsi="宋体" w:eastAsia="宋体" w:cs="宋体"/>
          <w:b w:val="0"/>
          <w:bCs w:val="0"/>
          <w:sz w:val="24"/>
          <w:szCs w:val="24"/>
        </w:rPr>
        <w:t>甲方</w:t>
      </w:r>
      <w:r>
        <w:rPr>
          <w:rFonts w:ascii="宋体" w:hAnsi="宋体" w:eastAsia="宋体" w:cs="宋体"/>
          <w:b w:val="0"/>
          <w:bCs w:val="0"/>
          <w:sz w:val="24"/>
          <w:szCs w:val="24"/>
        </w:rPr>
        <w:t>和</w:t>
      </w:r>
      <w:r>
        <w:rPr>
          <w:rFonts w:hint="eastAsia" w:ascii="宋体" w:hAnsi="宋体" w:eastAsia="宋体" w:cs="宋体"/>
          <w:b w:val="0"/>
          <w:bCs w:val="0"/>
          <w:sz w:val="24"/>
          <w:szCs w:val="24"/>
        </w:rPr>
        <w:t>乙</w:t>
      </w:r>
      <w:r>
        <w:rPr>
          <w:rFonts w:ascii="宋体" w:hAnsi="宋体" w:eastAsia="宋体" w:cs="宋体"/>
          <w:b w:val="0"/>
          <w:bCs w:val="0"/>
          <w:sz w:val="24"/>
          <w:szCs w:val="24"/>
        </w:rPr>
        <w:t>方在平等、自愿、协商一致的基础上就</w:t>
      </w:r>
      <w:r>
        <w:rPr>
          <w:rFonts w:hint="eastAsia" w:ascii="宋体" w:hAnsi="宋体" w:eastAsia="宋体" w:cs="宋体"/>
          <w:b w:val="0"/>
          <w:sz w:val="24"/>
          <w:szCs w:val="24"/>
        </w:rPr>
        <w:t>项目征迁退地</w:t>
      </w:r>
      <w:r>
        <w:rPr>
          <w:rFonts w:hint="eastAsia" w:ascii="宋体" w:hAnsi="宋体" w:eastAsia="宋体" w:cs="宋体"/>
          <w:b w:val="0"/>
          <w:bCs w:val="0"/>
          <w:sz w:val="24"/>
          <w:szCs w:val="24"/>
        </w:rPr>
        <w:t>评估服务</w:t>
      </w:r>
      <w:r>
        <w:rPr>
          <w:rFonts w:ascii="宋体" w:hAnsi="宋体" w:eastAsia="宋体" w:cs="宋体"/>
          <w:b w:val="0"/>
          <w:bCs w:val="0"/>
          <w:sz w:val="24"/>
          <w:szCs w:val="24"/>
        </w:rPr>
        <w:t>达成如下协议：</w:t>
      </w:r>
    </w:p>
    <w:p w14:paraId="244CFB9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eastAsia="宋体" w:cs="宋体"/>
          <w:bCs w:val="0"/>
          <w:sz w:val="24"/>
          <w:szCs w:val="24"/>
        </w:rPr>
      </w:pPr>
      <w:r>
        <w:rPr>
          <w:rFonts w:hint="eastAsia" w:ascii="宋体" w:hAnsi="宋体" w:eastAsia="宋体" w:cs="宋体"/>
          <w:b w:val="0"/>
          <w:sz w:val="24"/>
          <w:szCs w:val="24"/>
        </w:rPr>
        <w:t>一、评估基本事项</w:t>
      </w:r>
    </w:p>
    <w:p w14:paraId="4A60F3B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eastAsia="宋体" w:cs="宋体"/>
          <w:b w:val="0"/>
          <w:bCs w:val="0"/>
          <w:sz w:val="24"/>
          <w:szCs w:val="24"/>
        </w:rPr>
      </w:pPr>
      <w:r>
        <w:rPr>
          <w:rFonts w:hint="eastAsia" w:ascii="宋体" w:hAnsi="宋体" w:eastAsia="宋体" w:cs="宋体"/>
          <w:b w:val="0"/>
          <w:bCs w:val="0"/>
          <w:sz w:val="24"/>
          <w:szCs w:val="24"/>
        </w:rPr>
        <w:t>（一）</w:t>
      </w:r>
      <w:r>
        <w:rPr>
          <w:rFonts w:ascii="宋体" w:hAnsi="宋体" w:eastAsia="宋体" w:cs="宋体"/>
          <w:b w:val="0"/>
          <w:bCs w:val="0"/>
          <w:sz w:val="24"/>
          <w:szCs w:val="24"/>
        </w:rPr>
        <w:t>评估目的：</w:t>
      </w:r>
    </w:p>
    <w:p w14:paraId="58C2F6C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eastAsia="宋体" w:cs="宋体"/>
          <w:b w:val="0"/>
          <w:bCs w:val="0"/>
          <w:sz w:val="24"/>
          <w:szCs w:val="24"/>
        </w:rPr>
      </w:pPr>
      <w:r>
        <w:rPr>
          <w:rFonts w:ascii="宋体" w:hAnsi="宋体" w:eastAsia="宋体" w:cs="宋体"/>
          <w:b w:val="0"/>
          <w:bCs w:val="0"/>
          <w:sz w:val="24"/>
          <w:szCs w:val="24"/>
        </w:rPr>
        <w:t>本次评估目的如下：</w:t>
      </w:r>
    </w:p>
    <w:p w14:paraId="06DFBE0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1.为甲方与被征迁</w:t>
      </w:r>
      <w:r>
        <w:rPr>
          <w:rFonts w:hint="eastAsia" w:ascii="宋体" w:hAnsi="宋体" w:eastAsia="宋体" w:cs="宋体"/>
          <w:b w:val="0"/>
          <w:sz w:val="24"/>
          <w:szCs w:val="24"/>
        </w:rPr>
        <w:t>退地</w:t>
      </w:r>
      <w:r>
        <w:rPr>
          <w:rFonts w:hint="eastAsia" w:ascii="宋体" w:hAnsi="宋体" w:eastAsia="宋体" w:cs="宋体"/>
          <w:b w:val="0"/>
          <w:bCs w:val="0"/>
          <w:sz w:val="24"/>
          <w:szCs w:val="24"/>
        </w:rPr>
        <w:t>人确定拟征迁房屋、青苗、地上附着物及其他补偿价值提供依据，评估被征迁房屋、青苗、地上附着物及其他补偿价值；</w:t>
      </w:r>
    </w:p>
    <w:p w14:paraId="660F580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eastAsia="宋体" w:cs="宋体"/>
          <w:b w:val="0"/>
          <w:bCs w:val="0"/>
          <w:sz w:val="24"/>
          <w:szCs w:val="24"/>
        </w:rPr>
      </w:pPr>
      <w:r>
        <w:rPr>
          <w:rFonts w:hint="eastAsia" w:ascii="宋体" w:hAnsi="宋体" w:eastAsia="宋体" w:cs="宋体"/>
          <w:b w:val="0"/>
          <w:bCs w:val="0"/>
          <w:sz w:val="24"/>
          <w:szCs w:val="24"/>
        </w:rPr>
        <w:t>2.为甲方与被征迁</w:t>
      </w:r>
      <w:r>
        <w:rPr>
          <w:rFonts w:hint="eastAsia" w:ascii="宋体" w:hAnsi="宋体" w:eastAsia="宋体" w:cs="宋体"/>
          <w:b w:val="0"/>
          <w:sz w:val="24"/>
          <w:szCs w:val="24"/>
        </w:rPr>
        <w:t>退地</w:t>
      </w:r>
      <w:r>
        <w:rPr>
          <w:rFonts w:hint="eastAsia" w:ascii="宋体" w:hAnsi="宋体" w:eastAsia="宋体" w:cs="宋体"/>
          <w:b w:val="0"/>
          <w:bCs w:val="0"/>
          <w:sz w:val="24"/>
          <w:szCs w:val="24"/>
        </w:rPr>
        <w:t>人计算被征迁</w:t>
      </w:r>
      <w:r>
        <w:rPr>
          <w:rFonts w:hint="eastAsia" w:ascii="宋体" w:hAnsi="宋体" w:eastAsia="宋体" w:cs="宋体"/>
          <w:b w:val="0"/>
          <w:sz w:val="24"/>
          <w:szCs w:val="24"/>
        </w:rPr>
        <w:t>退地</w:t>
      </w:r>
      <w:r>
        <w:rPr>
          <w:rFonts w:hint="eastAsia" w:ascii="宋体" w:hAnsi="宋体" w:eastAsia="宋体" w:cs="宋体"/>
          <w:b w:val="0"/>
          <w:bCs w:val="0"/>
          <w:sz w:val="24"/>
          <w:szCs w:val="24"/>
        </w:rPr>
        <w:t>房屋价值与用于产权调换房屋价值的差价提供依据，评估用于产权调换房屋的价值。</w:t>
      </w:r>
    </w:p>
    <w:p w14:paraId="41CF865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eastAsia="宋体" w:cs="宋体"/>
          <w:b w:val="0"/>
          <w:bCs w:val="0"/>
          <w:sz w:val="24"/>
          <w:szCs w:val="24"/>
        </w:rPr>
      </w:pPr>
      <w:r>
        <w:rPr>
          <w:rFonts w:ascii="宋体" w:hAnsi="宋体" w:eastAsia="宋体" w:cs="宋体"/>
          <w:b w:val="0"/>
          <w:bCs w:val="0"/>
          <w:sz w:val="24"/>
          <w:szCs w:val="24"/>
        </w:rPr>
        <w:t>（二）评估对象：</w:t>
      </w:r>
    </w:p>
    <w:p w14:paraId="4B2483F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eastAsia="宋体" w:cs="宋体"/>
          <w:b w:val="0"/>
          <w:bCs w:val="0"/>
          <w:sz w:val="24"/>
          <w:szCs w:val="24"/>
        </w:rPr>
      </w:pPr>
      <w:r>
        <w:rPr>
          <w:rFonts w:ascii="宋体" w:hAnsi="宋体" w:eastAsia="宋体" w:cs="宋体"/>
          <w:b w:val="0"/>
          <w:bCs w:val="0"/>
          <w:sz w:val="24"/>
          <w:szCs w:val="24"/>
        </w:rPr>
        <w:t>1.项目名称：</w:t>
      </w:r>
      <w:r>
        <w:rPr>
          <w:rFonts w:hint="eastAsia" w:ascii="宋体" w:hAnsi="宋体" w:eastAsia="宋体" w:cs="宋体"/>
          <w:b w:val="0"/>
          <w:sz w:val="24"/>
          <w:szCs w:val="24"/>
        </w:rPr>
        <w:t>项目</w:t>
      </w:r>
      <w:r>
        <w:rPr>
          <w:rFonts w:ascii="宋体" w:hAnsi="宋体" w:eastAsia="宋体" w:cs="宋体"/>
          <w:b w:val="0"/>
          <w:bCs w:val="0"/>
          <w:sz w:val="24"/>
          <w:szCs w:val="24"/>
        </w:rPr>
        <w:t>征</w:t>
      </w:r>
      <w:r>
        <w:rPr>
          <w:rFonts w:hint="eastAsia" w:ascii="宋体" w:hAnsi="宋体" w:eastAsia="宋体" w:cs="宋体"/>
          <w:b w:val="0"/>
          <w:bCs w:val="0"/>
          <w:sz w:val="24"/>
          <w:szCs w:val="24"/>
        </w:rPr>
        <w:t>迁</w:t>
      </w:r>
      <w:r>
        <w:rPr>
          <w:rFonts w:hint="eastAsia" w:ascii="宋体" w:hAnsi="宋体" w:eastAsia="宋体" w:cs="宋体"/>
          <w:b w:val="0"/>
          <w:sz w:val="24"/>
          <w:szCs w:val="24"/>
        </w:rPr>
        <w:t>退地</w:t>
      </w:r>
      <w:r>
        <w:rPr>
          <w:rFonts w:ascii="宋体" w:hAnsi="宋体" w:eastAsia="宋体" w:cs="宋体"/>
          <w:b w:val="0"/>
          <w:bCs w:val="0"/>
          <w:sz w:val="24"/>
          <w:szCs w:val="24"/>
        </w:rPr>
        <w:t>评估服务；</w:t>
      </w:r>
    </w:p>
    <w:p w14:paraId="043D6DF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eastAsia="宋体" w:cs="宋体"/>
          <w:b w:val="0"/>
          <w:bCs w:val="0"/>
          <w:sz w:val="24"/>
          <w:szCs w:val="24"/>
        </w:rPr>
      </w:pPr>
      <w:r>
        <w:rPr>
          <w:rFonts w:ascii="宋体" w:hAnsi="宋体" w:eastAsia="宋体" w:cs="宋体"/>
          <w:b w:val="0"/>
          <w:bCs w:val="0"/>
          <w:sz w:val="24"/>
          <w:szCs w:val="24"/>
        </w:rPr>
        <w:t>2.项目范围：</w:t>
      </w:r>
      <w:r>
        <w:rPr>
          <w:rFonts w:hint="eastAsia" w:ascii="宋体" w:hAnsi="宋体" w:eastAsia="宋体" w:cs="宋体"/>
          <w:b w:val="0"/>
          <w:sz w:val="24"/>
          <w:szCs w:val="24"/>
        </w:rPr>
        <w:t>项目</w:t>
      </w:r>
      <w:r>
        <w:rPr>
          <w:rFonts w:ascii="宋体" w:hAnsi="宋体" w:eastAsia="宋体" w:cs="宋体"/>
          <w:b w:val="0"/>
          <w:bCs w:val="0"/>
          <w:sz w:val="24"/>
          <w:szCs w:val="24"/>
        </w:rPr>
        <w:t>征</w:t>
      </w:r>
      <w:r>
        <w:rPr>
          <w:rFonts w:hint="eastAsia" w:ascii="宋体" w:hAnsi="宋体" w:eastAsia="宋体" w:cs="宋体"/>
          <w:b w:val="0"/>
          <w:bCs w:val="0"/>
          <w:sz w:val="24"/>
          <w:szCs w:val="24"/>
        </w:rPr>
        <w:t>迁</w:t>
      </w:r>
      <w:r>
        <w:rPr>
          <w:rFonts w:hint="eastAsia" w:ascii="宋体" w:hAnsi="宋体" w:eastAsia="宋体" w:cs="宋体"/>
          <w:b w:val="0"/>
          <w:sz w:val="24"/>
          <w:szCs w:val="24"/>
        </w:rPr>
        <w:t>退地</w:t>
      </w:r>
      <w:r>
        <w:rPr>
          <w:rFonts w:ascii="宋体" w:hAnsi="宋体" w:eastAsia="宋体" w:cs="宋体"/>
          <w:b w:val="0"/>
          <w:bCs w:val="0"/>
          <w:sz w:val="24"/>
          <w:szCs w:val="24"/>
        </w:rPr>
        <w:t>范围及其相关联部分；</w:t>
      </w:r>
    </w:p>
    <w:p w14:paraId="67C53E9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eastAsia="宋体" w:cs="宋体"/>
          <w:b w:val="0"/>
          <w:bCs w:val="0"/>
          <w:sz w:val="24"/>
          <w:szCs w:val="24"/>
        </w:rPr>
      </w:pPr>
      <w:r>
        <w:rPr>
          <w:rFonts w:ascii="宋体" w:hAnsi="宋体" w:eastAsia="宋体" w:cs="宋体"/>
          <w:b w:val="0"/>
          <w:bCs w:val="0"/>
          <w:sz w:val="24"/>
          <w:szCs w:val="24"/>
        </w:rPr>
        <w:t>3.项目总面积：征</w:t>
      </w:r>
      <w:r>
        <w:rPr>
          <w:rFonts w:hint="eastAsia" w:ascii="宋体" w:hAnsi="宋体" w:eastAsia="宋体" w:cs="宋体"/>
          <w:b w:val="0"/>
          <w:bCs w:val="0"/>
          <w:sz w:val="24"/>
          <w:szCs w:val="24"/>
        </w:rPr>
        <w:t>迁</w:t>
      </w:r>
      <w:r>
        <w:rPr>
          <w:rFonts w:ascii="宋体" w:hAnsi="宋体" w:eastAsia="宋体" w:cs="宋体"/>
          <w:b w:val="0"/>
          <w:bCs w:val="0"/>
          <w:sz w:val="24"/>
          <w:szCs w:val="24"/>
        </w:rPr>
        <w:t>总建筑面积约</w:t>
      </w:r>
      <w:r>
        <w:rPr>
          <w:rFonts w:hint="eastAsia" w:ascii="宋体" w:hAnsi="宋体" w:eastAsia="宋体" w:cs="宋体"/>
          <w:b w:val="0"/>
          <w:sz w:val="24"/>
          <w:szCs w:val="24"/>
          <w:u w:val="single"/>
        </w:rPr>
        <w:t xml:space="preserve">    </w:t>
      </w:r>
      <w:r>
        <w:rPr>
          <w:rFonts w:ascii="宋体" w:hAnsi="宋体" w:eastAsia="宋体" w:cs="宋体"/>
          <w:b w:val="0"/>
          <w:bCs w:val="0"/>
          <w:sz w:val="24"/>
          <w:szCs w:val="24"/>
        </w:rPr>
        <w:t>平方米</w:t>
      </w:r>
      <w:r>
        <w:rPr>
          <w:rFonts w:hint="eastAsia" w:ascii="宋体" w:hAnsi="宋体" w:eastAsia="宋体" w:cs="宋体"/>
          <w:b w:val="0"/>
          <w:bCs w:val="0"/>
          <w:sz w:val="24"/>
          <w:szCs w:val="24"/>
        </w:rPr>
        <w:t>，退地约</w:t>
      </w:r>
      <w:r>
        <w:rPr>
          <w:rFonts w:hint="eastAsia" w:ascii="宋体" w:hAnsi="宋体" w:eastAsia="宋体" w:cs="宋体"/>
          <w:b w:val="0"/>
          <w:sz w:val="24"/>
          <w:szCs w:val="24"/>
          <w:u w:val="single"/>
        </w:rPr>
        <w:t xml:space="preserve">    </w:t>
      </w:r>
      <w:r>
        <w:rPr>
          <w:rFonts w:hint="eastAsia" w:ascii="宋体" w:hAnsi="宋体" w:eastAsia="宋体" w:cs="宋体"/>
          <w:b w:val="0"/>
          <w:bCs w:val="0"/>
          <w:sz w:val="24"/>
          <w:szCs w:val="24"/>
        </w:rPr>
        <w:t>亩</w:t>
      </w:r>
      <w:r>
        <w:rPr>
          <w:rFonts w:ascii="宋体" w:hAnsi="宋体" w:eastAsia="宋体" w:cs="宋体"/>
          <w:b w:val="0"/>
          <w:bCs w:val="0"/>
          <w:sz w:val="24"/>
          <w:szCs w:val="24"/>
        </w:rPr>
        <w:t>（具体数据以审计结果为准）。</w:t>
      </w:r>
    </w:p>
    <w:p w14:paraId="3E1840A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eastAsia="宋体" w:cs="宋体"/>
          <w:b w:val="0"/>
          <w:bCs w:val="0"/>
          <w:sz w:val="24"/>
          <w:szCs w:val="24"/>
        </w:rPr>
      </w:pPr>
      <w:r>
        <w:rPr>
          <w:rFonts w:ascii="宋体" w:hAnsi="宋体" w:eastAsia="宋体" w:cs="宋体"/>
          <w:b w:val="0"/>
          <w:bCs w:val="0"/>
          <w:sz w:val="24"/>
          <w:szCs w:val="24"/>
        </w:rPr>
        <w:t>（三）评估时点：</w:t>
      </w:r>
      <w:r>
        <w:rPr>
          <w:rFonts w:hint="eastAsia" w:ascii="宋体" w:hAnsi="宋体" w:eastAsia="宋体" w:cs="宋体"/>
          <w:b w:val="0"/>
          <w:bCs w:val="0"/>
          <w:sz w:val="24"/>
          <w:szCs w:val="24"/>
        </w:rPr>
        <w:t>以甲方要求时间为准</w:t>
      </w:r>
      <w:r>
        <w:rPr>
          <w:rFonts w:ascii="宋体" w:hAnsi="宋体" w:eastAsia="宋体" w:cs="宋体"/>
          <w:b w:val="0"/>
          <w:bCs w:val="0"/>
          <w:sz w:val="24"/>
          <w:szCs w:val="24"/>
        </w:rPr>
        <w:t>。</w:t>
      </w:r>
    </w:p>
    <w:p w14:paraId="1A73569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eastAsia="宋体" w:cs="宋体"/>
          <w:b w:val="0"/>
          <w:bCs w:val="0"/>
          <w:sz w:val="24"/>
          <w:szCs w:val="24"/>
        </w:rPr>
      </w:pPr>
      <w:r>
        <w:rPr>
          <w:rFonts w:ascii="宋体" w:hAnsi="宋体" w:eastAsia="宋体" w:cs="宋体"/>
          <w:b w:val="0"/>
          <w:bCs w:val="0"/>
          <w:sz w:val="24"/>
          <w:szCs w:val="24"/>
        </w:rPr>
        <w:t>（四）评估开展时间：自</w:t>
      </w:r>
      <w:r>
        <w:rPr>
          <w:rFonts w:hint="eastAsia" w:ascii="宋体" w:hAnsi="宋体" w:eastAsia="宋体" w:cs="宋体"/>
          <w:b w:val="0"/>
          <w:bCs w:val="0"/>
          <w:sz w:val="24"/>
          <w:szCs w:val="24"/>
        </w:rPr>
        <w:t>本合同签订</w:t>
      </w:r>
      <w:r>
        <w:rPr>
          <w:rFonts w:ascii="宋体" w:hAnsi="宋体" w:eastAsia="宋体" w:cs="宋体"/>
          <w:b w:val="0"/>
          <w:bCs w:val="0"/>
          <w:sz w:val="24"/>
          <w:szCs w:val="24"/>
        </w:rPr>
        <w:t>之日起。</w:t>
      </w:r>
    </w:p>
    <w:p w14:paraId="4378475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eastAsia="宋体" w:cs="宋体"/>
          <w:b w:val="0"/>
          <w:bCs w:val="0"/>
          <w:sz w:val="24"/>
          <w:szCs w:val="24"/>
        </w:rPr>
      </w:pPr>
      <w:r>
        <w:rPr>
          <w:rFonts w:hint="eastAsia" w:ascii="宋体" w:hAnsi="宋体" w:eastAsia="宋体" w:cs="宋体"/>
          <w:b w:val="0"/>
          <w:bCs w:val="0"/>
          <w:sz w:val="24"/>
          <w:szCs w:val="24"/>
        </w:rPr>
        <w:t>（五）成果文件交付期限：乙方应</w:t>
      </w:r>
      <w:r>
        <w:rPr>
          <w:rFonts w:ascii="宋体" w:hAnsi="宋体" w:eastAsia="宋体" w:cs="宋体"/>
          <w:b w:val="0"/>
          <w:bCs w:val="0"/>
          <w:sz w:val="24"/>
          <w:szCs w:val="24"/>
        </w:rPr>
        <w:t>自</w:t>
      </w:r>
      <w:r>
        <w:rPr>
          <w:rFonts w:hint="eastAsia" w:ascii="宋体" w:hAnsi="宋体" w:eastAsia="宋体" w:cs="宋体"/>
          <w:b w:val="0"/>
          <w:bCs w:val="0"/>
          <w:sz w:val="24"/>
          <w:szCs w:val="24"/>
        </w:rPr>
        <w:t>本合同签订</w:t>
      </w:r>
      <w:r>
        <w:rPr>
          <w:rFonts w:ascii="宋体" w:hAnsi="宋体" w:eastAsia="宋体" w:cs="宋体"/>
          <w:b w:val="0"/>
          <w:bCs w:val="0"/>
          <w:sz w:val="24"/>
          <w:szCs w:val="24"/>
        </w:rPr>
        <w:t>之日起</w:t>
      </w:r>
      <w:r>
        <w:rPr>
          <w:rFonts w:hint="eastAsia" w:ascii="宋体" w:hAnsi="宋体" w:eastAsia="宋体" w:cs="宋体"/>
          <w:b w:val="0"/>
          <w:bCs w:val="0"/>
          <w:sz w:val="24"/>
          <w:szCs w:val="24"/>
        </w:rPr>
        <w:t>60日内依约交付全部成果文件，具体以甲方要求为准。但因甲方原因导致乙方不能正常开展评估工作的，成果文件交付期限相应顺延。</w:t>
      </w:r>
    </w:p>
    <w:p w14:paraId="7A17076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eastAsia="宋体" w:cs="宋体"/>
          <w:b w:val="0"/>
          <w:bCs w:val="0"/>
          <w:sz w:val="24"/>
          <w:szCs w:val="24"/>
        </w:rPr>
      </w:pPr>
      <w:r>
        <w:rPr>
          <w:rFonts w:hint="eastAsia" w:ascii="宋体" w:hAnsi="宋体" w:eastAsia="宋体" w:cs="宋体"/>
          <w:b w:val="0"/>
          <w:bCs w:val="0"/>
          <w:sz w:val="24"/>
          <w:szCs w:val="24"/>
        </w:rPr>
        <w:t>（四）</w:t>
      </w:r>
      <w:r>
        <w:rPr>
          <w:rFonts w:ascii="宋体" w:hAnsi="宋体" w:eastAsia="宋体" w:cs="宋体"/>
          <w:b w:val="0"/>
          <w:bCs w:val="0"/>
          <w:sz w:val="24"/>
          <w:szCs w:val="24"/>
        </w:rPr>
        <w:t>评估价值内涵：</w:t>
      </w:r>
    </w:p>
    <w:p w14:paraId="1E84538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eastAsia="宋体" w:cs="宋体"/>
          <w:b w:val="0"/>
          <w:bCs w:val="0"/>
          <w:sz w:val="24"/>
          <w:szCs w:val="24"/>
        </w:rPr>
      </w:pPr>
      <w:r>
        <w:rPr>
          <w:rFonts w:ascii="宋体" w:hAnsi="宋体" w:eastAsia="宋体" w:cs="宋体"/>
          <w:b w:val="0"/>
          <w:bCs w:val="0"/>
          <w:sz w:val="24"/>
          <w:szCs w:val="24"/>
        </w:rPr>
        <w:t>1.拟征</w:t>
      </w:r>
      <w:r>
        <w:rPr>
          <w:rFonts w:hint="eastAsia" w:ascii="宋体" w:hAnsi="宋体" w:eastAsia="宋体" w:cs="宋体"/>
          <w:b w:val="0"/>
          <w:bCs w:val="0"/>
          <w:sz w:val="24"/>
          <w:szCs w:val="24"/>
        </w:rPr>
        <w:t>迁</w:t>
      </w:r>
      <w:r>
        <w:rPr>
          <w:rFonts w:ascii="宋体" w:hAnsi="宋体" w:eastAsia="宋体" w:cs="宋体"/>
          <w:b w:val="0"/>
          <w:bCs w:val="0"/>
          <w:sz w:val="24"/>
          <w:szCs w:val="24"/>
        </w:rPr>
        <w:t>房屋价值；</w:t>
      </w:r>
    </w:p>
    <w:p w14:paraId="724C89B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eastAsia="宋体" w:cs="宋体"/>
          <w:b w:val="0"/>
          <w:bCs w:val="0"/>
          <w:sz w:val="24"/>
          <w:szCs w:val="24"/>
        </w:rPr>
      </w:pPr>
      <w:r>
        <w:rPr>
          <w:rFonts w:ascii="宋体" w:hAnsi="宋体" w:eastAsia="宋体" w:cs="宋体"/>
          <w:b w:val="0"/>
          <w:bCs w:val="0"/>
          <w:sz w:val="24"/>
          <w:szCs w:val="24"/>
        </w:rPr>
        <w:t>2.产权调换房屋价值；</w:t>
      </w:r>
    </w:p>
    <w:p w14:paraId="4FDD185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eastAsia="宋体" w:cs="宋体"/>
          <w:b w:val="0"/>
          <w:bCs w:val="0"/>
          <w:sz w:val="24"/>
          <w:szCs w:val="24"/>
        </w:rPr>
      </w:pPr>
      <w:r>
        <w:rPr>
          <w:rFonts w:ascii="宋体" w:hAnsi="宋体" w:eastAsia="宋体" w:cs="宋体"/>
          <w:b w:val="0"/>
          <w:bCs w:val="0"/>
          <w:sz w:val="24"/>
          <w:szCs w:val="24"/>
        </w:rPr>
        <w:t xml:space="preserve">3.构筑物、附属物价值； </w:t>
      </w:r>
    </w:p>
    <w:p w14:paraId="60108E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eastAsia="宋体" w:cs="宋体"/>
          <w:b w:val="0"/>
          <w:bCs w:val="0"/>
          <w:sz w:val="24"/>
          <w:szCs w:val="24"/>
        </w:rPr>
      </w:pPr>
      <w:r>
        <w:rPr>
          <w:rFonts w:hint="eastAsia" w:ascii="宋体" w:hAnsi="宋体" w:eastAsia="宋体" w:cs="宋体"/>
          <w:b w:val="0"/>
          <w:bCs w:val="0"/>
          <w:sz w:val="24"/>
          <w:szCs w:val="24"/>
        </w:rPr>
        <w:t>4.青苗、地上附着物</w:t>
      </w:r>
      <w:r>
        <w:rPr>
          <w:rFonts w:ascii="宋体" w:hAnsi="宋体" w:eastAsia="宋体" w:cs="宋体"/>
          <w:b w:val="0"/>
          <w:bCs w:val="0"/>
          <w:sz w:val="24"/>
          <w:szCs w:val="24"/>
        </w:rPr>
        <w:t>价值；</w:t>
      </w:r>
    </w:p>
    <w:p w14:paraId="720DBD9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eastAsia="宋体" w:cs="宋体"/>
          <w:b w:val="0"/>
          <w:bCs w:val="0"/>
          <w:sz w:val="24"/>
          <w:szCs w:val="24"/>
        </w:rPr>
      </w:pPr>
      <w:r>
        <w:rPr>
          <w:rFonts w:hint="eastAsia" w:ascii="宋体" w:hAnsi="宋体" w:eastAsia="宋体" w:cs="宋体"/>
          <w:b w:val="0"/>
          <w:bCs w:val="0"/>
          <w:sz w:val="24"/>
          <w:szCs w:val="24"/>
        </w:rPr>
        <w:t>5</w:t>
      </w:r>
      <w:r>
        <w:rPr>
          <w:rFonts w:ascii="宋体" w:hAnsi="宋体" w:eastAsia="宋体" w:cs="宋体"/>
          <w:b w:val="0"/>
          <w:bCs w:val="0"/>
          <w:sz w:val="24"/>
          <w:szCs w:val="24"/>
        </w:rPr>
        <w:t>.其他补偿价值(包括房屋室内装饰装修价值、机器设备、物资等搬迁和安装费用，临时安置补偿费以及停产停业补偿费等);</w:t>
      </w:r>
    </w:p>
    <w:p w14:paraId="315821E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eastAsia="宋体" w:cs="宋体"/>
          <w:b w:val="0"/>
          <w:bCs w:val="0"/>
          <w:sz w:val="24"/>
          <w:szCs w:val="24"/>
        </w:rPr>
      </w:pPr>
      <w:r>
        <w:rPr>
          <w:rFonts w:hint="eastAsia" w:ascii="宋体" w:hAnsi="宋体" w:eastAsia="宋体" w:cs="宋体"/>
          <w:b w:val="0"/>
          <w:bCs w:val="0"/>
          <w:sz w:val="24"/>
          <w:szCs w:val="24"/>
        </w:rPr>
        <w:t>6</w:t>
      </w:r>
      <w:r>
        <w:rPr>
          <w:rFonts w:ascii="宋体" w:hAnsi="宋体" w:eastAsia="宋体" w:cs="宋体"/>
          <w:b w:val="0"/>
          <w:bCs w:val="0"/>
          <w:sz w:val="24"/>
          <w:szCs w:val="24"/>
        </w:rPr>
        <w:t>.其他与拟征</w:t>
      </w:r>
      <w:r>
        <w:rPr>
          <w:rFonts w:hint="eastAsia" w:ascii="宋体" w:hAnsi="宋体" w:eastAsia="宋体" w:cs="宋体"/>
          <w:b w:val="0"/>
          <w:bCs w:val="0"/>
          <w:sz w:val="24"/>
          <w:szCs w:val="24"/>
        </w:rPr>
        <w:t>迁退地</w:t>
      </w:r>
      <w:r>
        <w:rPr>
          <w:rFonts w:ascii="宋体" w:hAnsi="宋体" w:eastAsia="宋体" w:cs="宋体"/>
          <w:b w:val="0"/>
          <w:bCs w:val="0"/>
          <w:sz w:val="24"/>
          <w:szCs w:val="24"/>
        </w:rPr>
        <w:t>房屋及土地有关的事项。</w:t>
      </w:r>
    </w:p>
    <w:p w14:paraId="1532AD3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eastAsia="宋体" w:cs="宋体"/>
          <w:b w:val="0"/>
          <w:bCs w:val="0"/>
          <w:sz w:val="24"/>
          <w:szCs w:val="24"/>
        </w:rPr>
      </w:pPr>
      <w:r>
        <w:rPr>
          <w:rFonts w:ascii="宋体" w:hAnsi="宋体" w:eastAsia="宋体" w:cs="宋体"/>
          <w:b w:val="0"/>
          <w:bCs w:val="0"/>
          <w:sz w:val="24"/>
          <w:szCs w:val="24"/>
        </w:rPr>
        <w:t>7.若项目房屋实施方式从协议搬迁转为房屋征收，乙方向甲方提供预评估结果报告和社会稳定风险评估报告（具体以甲方要求为准）。</w:t>
      </w:r>
    </w:p>
    <w:p w14:paraId="5F8CFA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eastAsia="宋体" w:cs="宋体"/>
          <w:b w:val="0"/>
          <w:bCs w:val="0"/>
          <w:sz w:val="24"/>
          <w:szCs w:val="24"/>
        </w:rPr>
      </w:pPr>
      <w:r>
        <w:rPr>
          <w:rFonts w:hint="eastAsia" w:ascii="宋体" w:hAnsi="宋体" w:eastAsia="宋体" w:cs="宋体"/>
          <w:b w:val="0"/>
          <w:bCs w:val="0"/>
          <w:sz w:val="24"/>
          <w:szCs w:val="24"/>
        </w:rPr>
        <w:t>8.同一户征迁、退地成果分别出具报告等。</w:t>
      </w:r>
    </w:p>
    <w:p w14:paraId="7D939017">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ascii="宋体" w:hAnsi="宋体" w:eastAsia="宋体" w:cs="宋体"/>
          <w:bCs w:val="0"/>
          <w:sz w:val="24"/>
          <w:szCs w:val="24"/>
        </w:rPr>
      </w:pPr>
      <w:r>
        <w:rPr>
          <w:rFonts w:hint="eastAsia" w:ascii="宋体" w:hAnsi="宋体" w:eastAsia="宋体" w:cs="宋体"/>
          <w:b w:val="0"/>
          <w:sz w:val="24"/>
          <w:szCs w:val="24"/>
        </w:rPr>
        <w:t>二、</w:t>
      </w:r>
      <w:r>
        <w:rPr>
          <w:rFonts w:hint="eastAsia" w:ascii="宋体" w:hAnsi="宋体" w:eastAsia="宋体" w:cs="宋体"/>
          <w:b w:val="0"/>
          <w:bCs w:val="0"/>
          <w:sz w:val="24"/>
          <w:szCs w:val="24"/>
        </w:rPr>
        <w:t>评估收费标准及支付方式</w:t>
      </w:r>
    </w:p>
    <w:p w14:paraId="1815F004">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（一）</w:t>
      </w:r>
      <w:r>
        <w:rPr>
          <w:rFonts w:ascii="宋体" w:hAnsi="宋体" w:eastAsia="宋体" w:cs="宋体"/>
          <w:b w:val="0"/>
          <w:bCs w:val="0"/>
          <w:sz w:val="24"/>
          <w:szCs w:val="24"/>
        </w:rPr>
        <w:t>房地产评估费：根据</w:t>
      </w:r>
      <w:r>
        <w:rPr>
          <w:rFonts w:hint="eastAsia" w:ascii="宋体" w:hAnsi="宋体" w:eastAsia="宋体" w:cs="宋体"/>
          <w:b w:val="0"/>
          <w:bCs w:val="0"/>
          <w:sz w:val="24"/>
          <w:szCs w:val="24"/>
        </w:rPr>
        <w:t>乙方</w:t>
      </w:r>
      <w:r>
        <w:rPr>
          <w:rFonts w:ascii="宋体" w:hAnsi="宋体" w:eastAsia="宋体" w:cs="宋体"/>
          <w:b w:val="0"/>
          <w:bCs w:val="0"/>
          <w:sz w:val="24"/>
          <w:szCs w:val="24"/>
        </w:rPr>
        <w:t>中标折扣率%计取，总评估费用：大写人民币</w:t>
      </w:r>
      <w:r>
        <w:rPr>
          <w:rFonts w:hint="eastAsia" w:ascii="宋体" w:hAnsi="宋体" w:eastAsia="宋体" w:cs="宋体"/>
          <w:b w:val="0"/>
          <w:sz w:val="24"/>
          <w:szCs w:val="24"/>
          <w:u w:val="single"/>
        </w:rPr>
        <w:t xml:space="preserve">    </w:t>
      </w:r>
      <w:r>
        <w:rPr>
          <w:rFonts w:ascii="宋体" w:hAnsi="宋体" w:eastAsia="宋体" w:cs="宋体"/>
          <w:b w:val="0"/>
          <w:bCs w:val="0"/>
          <w:sz w:val="24"/>
          <w:szCs w:val="24"/>
        </w:rPr>
        <w:t>（小写：</w:t>
      </w:r>
      <w:r>
        <w:rPr>
          <w:rFonts w:hint="eastAsia" w:ascii="宋体" w:hAnsi="宋体" w:eastAsia="宋体" w:cs="宋体"/>
          <w:b w:val="0"/>
          <w:bCs w:val="0"/>
          <w:sz w:val="24"/>
          <w:szCs w:val="24"/>
        </w:rPr>
        <w:t>¥</w:t>
      </w:r>
      <w:r>
        <w:rPr>
          <w:rFonts w:hint="eastAsia" w:ascii="宋体" w:hAnsi="宋体" w:eastAsia="宋体" w:cs="宋体"/>
          <w:b w:val="0"/>
          <w:sz w:val="24"/>
          <w:szCs w:val="24"/>
          <w:u w:val="single"/>
        </w:rPr>
        <w:t xml:space="preserve">    </w:t>
      </w:r>
      <w:r>
        <w:rPr>
          <w:rFonts w:ascii="宋体" w:hAnsi="宋体" w:eastAsia="宋体" w:cs="宋体"/>
          <w:b w:val="0"/>
          <w:bCs w:val="0"/>
          <w:sz w:val="24"/>
          <w:szCs w:val="24"/>
        </w:rPr>
        <w:t>元）。最终收费按照审计确认的房屋建筑</w:t>
      </w:r>
      <w:r>
        <w:rPr>
          <w:rFonts w:hint="eastAsia" w:ascii="宋体" w:hAnsi="宋体" w:eastAsia="宋体" w:cs="宋体"/>
          <w:b w:val="0"/>
          <w:bCs w:val="0"/>
          <w:sz w:val="24"/>
          <w:szCs w:val="24"/>
        </w:rPr>
        <w:t>、退地</w:t>
      </w:r>
      <w:r>
        <w:rPr>
          <w:rFonts w:ascii="宋体" w:hAnsi="宋体" w:eastAsia="宋体" w:cs="宋体"/>
          <w:b w:val="0"/>
          <w:bCs w:val="0"/>
          <w:sz w:val="24"/>
          <w:szCs w:val="24"/>
        </w:rPr>
        <w:t>面积结算，结算金额=实际建筑面积×收费单价×中标折扣率</w:t>
      </w:r>
      <w:r>
        <w:rPr>
          <w:rFonts w:hint="eastAsia" w:ascii="宋体" w:hAnsi="宋体" w:eastAsia="宋体" w:cs="宋体"/>
          <w:b w:val="0"/>
          <w:bCs w:val="0"/>
          <w:sz w:val="24"/>
          <w:szCs w:val="24"/>
        </w:rPr>
        <w:t>+</w:t>
      </w:r>
      <w:r>
        <w:rPr>
          <w:rFonts w:ascii="宋体" w:hAnsi="宋体" w:eastAsia="宋体" w:cs="宋体"/>
          <w:b w:val="0"/>
          <w:bCs w:val="0"/>
          <w:sz w:val="24"/>
          <w:szCs w:val="24"/>
        </w:rPr>
        <w:t>实际</w:t>
      </w:r>
      <w:r>
        <w:rPr>
          <w:rFonts w:hint="eastAsia" w:ascii="宋体" w:hAnsi="宋体" w:eastAsia="宋体" w:cs="宋体"/>
          <w:b w:val="0"/>
          <w:bCs w:val="0"/>
          <w:sz w:val="24"/>
          <w:szCs w:val="24"/>
        </w:rPr>
        <w:t>退地</w:t>
      </w:r>
      <w:r>
        <w:rPr>
          <w:rFonts w:ascii="宋体" w:hAnsi="宋体" w:eastAsia="宋体" w:cs="宋体"/>
          <w:b w:val="0"/>
          <w:bCs w:val="0"/>
          <w:sz w:val="24"/>
          <w:szCs w:val="24"/>
        </w:rPr>
        <w:t>面积×收费单价×中标折扣率。</w:t>
      </w:r>
      <w:r>
        <w:rPr>
          <w:rFonts w:hint="eastAsia" w:ascii="宋体" w:hAnsi="宋体" w:eastAsia="宋体" w:cs="宋体"/>
          <w:b w:val="0"/>
          <w:bCs w:val="0"/>
          <w:sz w:val="24"/>
          <w:szCs w:val="24"/>
        </w:rPr>
        <w:t>收费单价如下：</w:t>
      </w:r>
    </w:p>
    <w:tbl>
      <w:tblPr>
        <w:tblStyle w:val="6"/>
        <w:tblW w:w="8972" w:type="dxa"/>
        <w:jc w:val="center"/>
        <w:tblLayout w:type="autofit"/>
        <w:tblCellMar>
          <w:top w:w="0" w:type="dxa"/>
          <w:left w:w="108" w:type="dxa"/>
          <w:bottom w:w="0" w:type="dxa"/>
          <w:right w:w="108" w:type="dxa"/>
        </w:tblCellMar>
      </w:tblPr>
      <w:tblGrid>
        <w:gridCol w:w="4301"/>
        <w:gridCol w:w="3120"/>
        <w:gridCol w:w="1551"/>
      </w:tblGrid>
      <w:tr w14:paraId="5782E424">
        <w:tblPrEx>
          <w:tblCellMar>
            <w:top w:w="0" w:type="dxa"/>
            <w:left w:w="108" w:type="dxa"/>
            <w:bottom w:w="0" w:type="dxa"/>
            <w:right w:w="108" w:type="dxa"/>
          </w:tblCellMar>
        </w:tblPrEx>
        <w:trPr>
          <w:trHeight w:val="405" w:hRule="atLeast"/>
          <w:jc w:val="center"/>
        </w:trPr>
        <w:tc>
          <w:tcPr>
            <w:tcW w:w="4301" w:type="dxa"/>
            <w:tcBorders>
              <w:top w:val="single" w:color="000000" w:sz="4" w:space="0"/>
              <w:left w:val="single" w:color="000000" w:sz="4" w:space="0"/>
              <w:bottom w:val="single" w:color="000000" w:sz="4" w:space="0"/>
              <w:right w:val="single" w:color="000000" w:sz="4" w:space="0"/>
            </w:tcBorders>
            <w:vAlign w:val="center"/>
          </w:tcPr>
          <w:p w14:paraId="1F80C30C">
            <w:pPr>
              <w:snapToGrid w:val="0"/>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取费方式</w:t>
            </w:r>
            <w:r>
              <w:rPr>
                <w:rFonts w:hint="eastAsia" w:ascii="MS Mincho" w:hAnsi="MS Mincho" w:eastAsia="MS Mincho" w:cs="MS Mincho"/>
                <w:b w:val="0"/>
                <w:bCs w:val="0"/>
                <w:sz w:val="24"/>
                <w:szCs w:val="24"/>
              </w:rPr>
              <w:t>↵</w:t>
            </w:r>
          </w:p>
        </w:tc>
        <w:tc>
          <w:tcPr>
            <w:tcW w:w="4671" w:type="dxa"/>
            <w:gridSpan w:val="2"/>
            <w:tcBorders>
              <w:top w:val="single" w:color="000000" w:sz="4" w:space="0"/>
              <w:left w:val="single" w:color="000000" w:sz="4" w:space="0"/>
              <w:bottom w:val="single" w:color="000000" w:sz="4" w:space="0"/>
              <w:right w:val="single" w:color="000000" w:sz="4" w:space="0"/>
            </w:tcBorders>
            <w:vAlign w:val="center"/>
          </w:tcPr>
          <w:p w14:paraId="47ACC309">
            <w:pPr>
              <w:snapToGrid w:val="0"/>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取费标准</w:t>
            </w:r>
            <w:r>
              <w:rPr>
                <w:rFonts w:hint="eastAsia" w:ascii="MS Mincho" w:hAnsi="MS Mincho" w:eastAsia="MS Mincho" w:cs="MS Mincho"/>
                <w:b w:val="0"/>
                <w:bCs w:val="0"/>
                <w:sz w:val="24"/>
                <w:szCs w:val="24"/>
              </w:rPr>
              <w:t>↵</w:t>
            </w:r>
          </w:p>
        </w:tc>
      </w:tr>
      <w:tr w14:paraId="45DCC8C8">
        <w:tblPrEx>
          <w:tblCellMar>
            <w:top w:w="0" w:type="dxa"/>
            <w:left w:w="108" w:type="dxa"/>
            <w:bottom w:w="0" w:type="dxa"/>
            <w:right w:w="108" w:type="dxa"/>
          </w:tblCellMar>
        </w:tblPrEx>
        <w:trPr>
          <w:trHeight w:val="483" w:hRule="atLeast"/>
          <w:jc w:val="center"/>
        </w:trPr>
        <w:tc>
          <w:tcPr>
            <w:tcW w:w="4301" w:type="dxa"/>
            <w:tcBorders>
              <w:top w:val="single" w:color="000000" w:sz="4" w:space="0"/>
              <w:left w:val="single" w:color="000000" w:sz="4" w:space="0"/>
              <w:bottom w:val="single" w:color="000000" w:sz="4" w:space="0"/>
              <w:right w:val="single" w:color="000000" w:sz="4" w:space="0"/>
            </w:tcBorders>
            <w:vAlign w:val="center"/>
          </w:tcPr>
          <w:p w14:paraId="39A2A23A">
            <w:pPr>
              <w:snapToGrid w:val="0"/>
              <w:spacing w:line="360" w:lineRule="auto"/>
              <w:jc w:val="left"/>
              <w:rPr>
                <w:rFonts w:hint="eastAsia" w:ascii="宋体" w:hAnsi="宋体" w:eastAsia="宋体" w:cs="宋体"/>
                <w:b w:val="0"/>
                <w:bCs w:val="0"/>
                <w:sz w:val="24"/>
                <w:szCs w:val="24"/>
              </w:rPr>
            </w:pPr>
            <w:r>
              <w:rPr>
                <w:rFonts w:ascii="宋体" w:hAnsi="宋体" w:eastAsia="宋体" w:cs="宋体"/>
                <w:b w:val="0"/>
                <w:bCs w:val="0"/>
                <w:sz w:val="24"/>
                <w:szCs w:val="24"/>
              </w:rPr>
              <w:t>征迁 （按</w:t>
            </w:r>
            <w:r>
              <w:rPr>
                <w:rFonts w:hint="eastAsia" w:ascii="宋体" w:hAnsi="宋体" w:eastAsia="宋体" w:cs="宋体"/>
                <w:b w:val="0"/>
                <w:bCs w:val="0"/>
                <w:sz w:val="24"/>
                <w:szCs w:val="24"/>
              </w:rPr>
              <w:t>实际建筑面积</w:t>
            </w:r>
            <w:r>
              <w:rPr>
                <w:rFonts w:ascii="宋体" w:hAnsi="宋体" w:eastAsia="宋体" w:cs="宋体"/>
                <w:b w:val="0"/>
                <w:bCs w:val="0"/>
                <w:sz w:val="24"/>
                <w:szCs w:val="24"/>
              </w:rPr>
              <w:t>计费）</w:t>
            </w:r>
          </w:p>
        </w:tc>
        <w:tc>
          <w:tcPr>
            <w:tcW w:w="4671" w:type="dxa"/>
            <w:gridSpan w:val="2"/>
            <w:tcBorders>
              <w:top w:val="single" w:color="000000" w:sz="4" w:space="0"/>
              <w:left w:val="single" w:color="000000" w:sz="4" w:space="0"/>
              <w:bottom w:val="single" w:color="000000" w:sz="4" w:space="0"/>
              <w:right w:val="single" w:color="000000" w:sz="4" w:space="0"/>
            </w:tcBorders>
            <w:vAlign w:val="center"/>
          </w:tcPr>
          <w:p w14:paraId="40475544">
            <w:pPr>
              <w:snapToGrid w:val="0"/>
              <w:spacing w:line="36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3元/㎡</w:t>
            </w:r>
          </w:p>
        </w:tc>
      </w:tr>
      <w:tr w14:paraId="49319294">
        <w:tblPrEx>
          <w:tblCellMar>
            <w:top w:w="0" w:type="dxa"/>
            <w:left w:w="108" w:type="dxa"/>
            <w:bottom w:w="0" w:type="dxa"/>
            <w:right w:w="108" w:type="dxa"/>
          </w:tblCellMar>
        </w:tblPrEx>
        <w:trPr>
          <w:trHeight w:val="541" w:hRule="atLeast"/>
          <w:jc w:val="center"/>
        </w:trPr>
        <w:tc>
          <w:tcPr>
            <w:tcW w:w="4301" w:type="dxa"/>
            <w:vMerge w:val="restart"/>
            <w:tcBorders>
              <w:top w:val="single" w:color="000000" w:sz="4" w:space="0"/>
              <w:left w:val="single" w:color="000000" w:sz="4" w:space="0"/>
              <w:bottom w:val="single" w:color="000000" w:sz="4" w:space="0"/>
              <w:right w:val="single" w:color="000000" w:sz="4" w:space="0"/>
            </w:tcBorders>
            <w:vAlign w:val="center"/>
          </w:tcPr>
          <w:p w14:paraId="58DB292B">
            <w:pPr>
              <w:snapToGrid w:val="0"/>
              <w:spacing w:line="360" w:lineRule="auto"/>
              <w:jc w:val="left"/>
              <w:rPr>
                <w:rFonts w:hint="eastAsia" w:ascii="宋体" w:hAnsi="宋体" w:eastAsia="宋体" w:cs="宋体"/>
                <w:b w:val="0"/>
                <w:bCs w:val="0"/>
                <w:sz w:val="24"/>
                <w:szCs w:val="24"/>
              </w:rPr>
            </w:pPr>
            <w:r>
              <w:rPr>
                <w:rFonts w:ascii="宋体" w:hAnsi="宋体" w:eastAsia="宋体" w:cs="宋体"/>
                <w:b w:val="0"/>
                <w:bCs w:val="0"/>
                <w:sz w:val="24"/>
                <w:szCs w:val="24"/>
              </w:rPr>
              <w:t>退地（依据鄂价工服规[2011]24号，按实际退地评估部分补偿金额累进制计费</w:t>
            </w:r>
            <w:r>
              <w:rPr>
                <w:rFonts w:hint="eastAsia" w:ascii="宋体" w:hAnsi="宋体" w:eastAsia="宋体" w:cs="宋体"/>
                <w:b w:val="0"/>
                <w:bCs w:val="0"/>
                <w:sz w:val="24"/>
                <w:szCs w:val="24"/>
              </w:rPr>
              <w:t>，表格未尽收费以文件为准</w:t>
            </w:r>
            <w:r>
              <w:rPr>
                <w:rFonts w:ascii="宋体" w:hAnsi="宋体" w:eastAsia="宋体" w:cs="宋体"/>
                <w:b w:val="0"/>
                <w:bCs w:val="0"/>
                <w:sz w:val="24"/>
                <w:szCs w:val="24"/>
              </w:rPr>
              <w:t>）</w:t>
            </w:r>
          </w:p>
        </w:tc>
        <w:tc>
          <w:tcPr>
            <w:tcW w:w="3120" w:type="dxa"/>
            <w:tcBorders>
              <w:top w:val="single" w:color="000000" w:sz="4" w:space="0"/>
              <w:left w:val="single" w:color="000000" w:sz="4" w:space="0"/>
              <w:bottom w:val="single" w:color="000000" w:sz="4" w:space="0"/>
              <w:right w:val="single" w:color="000000" w:sz="4" w:space="0"/>
            </w:tcBorders>
            <w:vAlign w:val="center"/>
          </w:tcPr>
          <w:p w14:paraId="1AEE114C">
            <w:pPr>
              <w:snapToGrid w:val="0"/>
              <w:spacing w:line="360" w:lineRule="auto"/>
              <w:jc w:val="left"/>
              <w:rPr>
                <w:rFonts w:hint="eastAsia" w:ascii="宋体" w:hAnsi="宋体" w:eastAsia="宋体" w:cs="宋体"/>
                <w:b w:val="0"/>
                <w:bCs w:val="0"/>
                <w:sz w:val="24"/>
                <w:szCs w:val="24"/>
              </w:rPr>
            </w:pPr>
            <w:r>
              <w:rPr>
                <w:rFonts w:ascii="宋体" w:hAnsi="宋体" w:eastAsia="宋体" w:cs="宋体"/>
                <w:b w:val="0"/>
                <w:bCs w:val="0"/>
                <w:sz w:val="24"/>
                <w:szCs w:val="24"/>
              </w:rPr>
              <w:t>100万元以内</w:t>
            </w:r>
          </w:p>
        </w:tc>
        <w:tc>
          <w:tcPr>
            <w:tcW w:w="1551" w:type="dxa"/>
            <w:tcBorders>
              <w:top w:val="single" w:color="000000" w:sz="4" w:space="0"/>
              <w:left w:val="single" w:color="000000" w:sz="4" w:space="0"/>
              <w:bottom w:val="single" w:color="000000" w:sz="4" w:space="0"/>
              <w:right w:val="single" w:color="000000" w:sz="4" w:space="0"/>
            </w:tcBorders>
            <w:vAlign w:val="center"/>
          </w:tcPr>
          <w:p w14:paraId="5AC66552">
            <w:pPr>
              <w:snapToGrid w:val="0"/>
              <w:spacing w:line="360" w:lineRule="auto"/>
              <w:jc w:val="left"/>
              <w:rPr>
                <w:rFonts w:hint="eastAsia" w:ascii="宋体" w:hAnsi="宋体" w:eastAsia="宋体" w:cs="宋体"/>
                <w:b w:val="0"/>
                <w:bCs w:val="0"/>
                <w:sz w:val="24"/>
                <w:szCs w:val="24"/>
              </w:rPr>
            </w:pPr>
            <w:r>
              <w:rPr>
                <w:rFonts w:ascii="宋体" w:hAnsi="宋体" w:eastAsia="宋体" w:cs="宋体"/>
                <w:b w:val="0"/>
                <w:bCs w:val="0"/>
                <w:sz w:val="24"/>
                <w:szCs w:val="24"/>
              </w:rPr>
              <w:t>7.5‰</w:t>
            </w:r>
          </w:p>
        </w:tc>
      </w:tr>
      <w:tr w14:paraId="5E97EDF3">
        <w:tblPrEx>
          <w:tblCellMar>
            <w:top w:w="0" w:type="dxa"/>
            <w:left w:w="108" w:type="dxa"/>
            <w:bottom w:w="0" w:type="dxa"/>
            <w:right w:w="108" w:type="dxa"/>
          </w:tblCellMar>
        </w:tblPrEx>
        <w:trPr>
          <w:trHeight w:val="524" w:hRule="atLeast"/>
          <w:jc w:val="center"/>
        </w:trPr>
        <w:tc>
          <w:tcPr>
            <w:tcW w:w="4301" w:type="dxa"/>
            <w:vMerge w:val="continue"/>
            <w:tcBorders>
              <w:top w:val="single" w:color="000000" w:sz="4" w:space="0"/>
              <w:left w:val="single" w:color="000000" w:sz="4" w:space="0"/>
              <w:bottom w:val="single" w:color="000000" w:sz="4" w:space="0"/>
              <w:right w:val="single" w:color="000000" w:sz="4" w:space="0"/>
            </w:tcBorders>
            <w:vAlign w:val="center"/>
          </w:tcPr>
          <w:p w14:paraId="11CB4FF4">
            <w:pPr>
              <w:snapToGrid w:val="0"/>
              <w:spacing w:line="360" w:lineRule="auto"/>
              <w:jc w:val="left"/>
              <w:rPr>
                <w:rFonts w:hint="eastAsia" w:ascii="宋体" w:hAnsi="宋体" w:eastAsia="宋体" w:cs="宋体"/>
                <w:b w:val="0"/>
                <w:bCs w:val="0"/>
                <w:sz w:val="24"/>
                <w:szCs w:val="24"/>
              </w:rPr>
            </w:pPr>
          </w:p>
        </w:tc>
        <w:tc>
          <w:tcPr>
            <w:tcW w:w="3120" w:type="dxa"/>
            <w:tcBorders>
              <w:top w:val="single" w:color="000000" w:sz="4" w:space="0"/>
              <w:left w:val="single" w:color="000000" w:sz="4" w:space="0"/>
              <w:bottom w:val="single" w:color="000000" w:sz="4" w:space="0"/>
              <w:right w:val="single" w:color="000000" w:sz="4" w:space="0"/>
            </w:tcBorders>
            <w:vAlign w:val="center"/>
          </w:tcPr>
          <w:p w14:paraId="69B2BA11">
            <w:pPr>
              <w:snapToGrid w:val="0"/>
              <w:spacing w:line="360" w:lineRule="auto"/>
              <w:jc w:val="left"/>
              <w:rPr>
                <w:rFonts w:hint="eastAsia" w:ascii="宋体" w:hAnsi="宋体" w:eastAsia="宋体" w:cs="宋体"/>
                <w:b w:val="0"/>
                <w:bCs w:val="0"/>
                <w:sz w:val="24"/>
                <w:szCs w:val="24"/>
              </w:rPr>
            </w:pPr>
            <w:r>
              <w:rPr>
                <w:rFonts w:ascii="宋体" w:hAnsi="宋体" w:eastAsia="宋体" w:cs="宋体"/>
                <w:b w:val="0"/>
                <w:bCs w:val="0"/>
                <w:sz w:val="24"/>
                <w:szCs w:val="24"/>
              </w:rPr>
              <w:t>100万元-1000万元以内</w:t>
            </w:r>
          </w:p>
        </w:tc>
        <w:tc>
          <w:tcPr>
            <w:tcW w:w="1551" w:type="dxa"/>
            <w:tcBorders>
              <w:top w:val="single" w:color="000000" w:sz="4" w:space="0"/>
              <w:left w:val="single" w:color="000000" w:sz="4" w:space="0"/>
              <w:bottom w:val="single" w:color="000000" w:sz="4" w:space="0"/>
              <w:right w:val="single" w:color="000000" w:sz="4" w:space="0"/>
            </w:tcBorders>
            <w:vAlign w:val="center"/>
          </w:tcPr>
          <w:p w14:paraId="2C562445">
            <w:pPr>
              <w:snapToGrid w:val="0"/>
              <w:spacing w:line="360" w:lineRule="auto"/>
              <w:jc w:val="left"/>
              <w:rPr>
                <w:rFonts w:hint="eastAsia" w:ascii="宋体" w:hAnsi="宋体" w:eastAsia="宋体" w:cs="宋体"/>
                <w:b w:val="0"/>
                <w:bCs w:val="0"/>
                <w:sz w:val="24"/>
                <w:szCs w:val="24"/>
              </w:rPr>
            </w:pPr>
            <w:r>
              <w:rPr>
                <w:rFonts w:ascii="宋体" w:hAnsi="宋体" w:eastAsia="宋体" w:cs="宋体"/>
                <w:b w:val="0"/>
                <w:bCs w:val="0"/>
                <w:sz w:val="24"/>
                <w:szCs w:val="24"/>
              </w:rPr>
              <w:t>4‰</w:t>
            </w:r>
          </w:p>
        </w:tc>
      </w:tr>
      <w:tr w14:paraId="22DA9A97">
        <w:tblPrEx>
          <w:tblCellMar>
            <w:top w:w="0" w:type="dxa"/>
            <w:left w:w="108" w:type="dxa"/>
            <w:bottom w:w="0" w:type="dxa"/>
            <w:right w:w="108" w:type="dxa"/>
          </w:tblCellMar>
        </w:tblPrEx>
        <w:trPr>
          <w:trHeight w:val="506" w:hRule="atLeast"/>
          <w:jc w:val="center"/>
        </w:trPr>
        <w:tc>
          <w:tcPr>
            <w:tcW w:w="4301" w:type="dxa"/>
            <w:vMerge w:val="continue"/>
            <w:tcBorders>
              <w:top w:val="single" w:color="000000" w:sz="4" w:space="0"/>
              <w:left w:val="single" w:color="000000" w:sz="4" w:space="0"/>
              <w:bottom w:val="single" w:color="000000" w:sz="4" w:space="0"/>
              <w:right w:val="single" w:color="000000" w:sz="4" w:space="0"/>
            </w:tcBorders>
            <w:vAlign w:val="center"/>
          </w:tcPr>
          <w:p w14:paraId="5FFFCA8B">
            <w:pPr>
              <w:snapToGrid w:val="0"/>
              <w:spacing w:line="360" w:lineRule="auto"/>
              <w:jc w:val="left"/>
              <w:rPr>
                <w:rFonts w:hint="eastAsia" w:ascii="宋体" w:hAnsi="宋体" w:eastAsia="宋体" w:cs="宋体"/>
                <w:b w:val="0"/>
                <w:bCs w:val="0"/>
                <w:sz w:val="24"/>
                <w:szCs w:val="24"/>
              </w:rPr>
            </w:pPr>
          </w:p>
        </w:tc>
        <w:tc>
          <w:tcPr>
            <w:tcW w:w="3120" w:type="dxa"/>
            <w:tcBorders>
              <w:top w:val="single" w:color="000000" w:sz="4" w:space="0"/>
              <w:left w:val="single" w:color="000000" w:sz="4" w:space="0"/>
              <w:bottom w:val="single" w:color="000000" w:sz="4" w:space="0"/>
              <w:right w:val="single" w:color="000000" w:sz="4" w:space="0"/>
            </w:tcBorders>
            <w:vAlign w:val="center"/>
          </w:tcPr>
          <w:p w14:paraId="27D40E80">
            <w:pPr>
              <w:snapToGrid w:val="0"/>
              <w:spacing w:line="360" w:lineRule="auto"/>
              <w:jc w:val="left"/>
              <w:rPr>
                <w:rFonts w:hint="eastAsia" w:ascii="宋体" w:hAnsi="宋体" w:eastAsia="宋体" w:cs="宋体"/>
                <w:b w:val="0"/>
                <w:bCs w:val="0"/>
                <w:sz w:val="24"/>
                <w:szCs w:val="24"/>
              </w:rPr>
            </w:pPr>
            <w:r>
              <w:rPr>
                <w:rFonts w:ascii="宋体" w:hAnsi="宋体" w:eastAsia="宋体" w:cs="宋体"/>
                <w:b w:val="0"/>
                <w:bCs w:val="0"/>
                <w:sz w:val="24"/>
                <w:szCs w:val="24"/>
              </w:rPr>
              <w:t>1000万元-5000万元以内</w:t>
            </w:r>
          </w:p>
        </w:tc>
        <w:tc>
          <w:tcPr>
            <w:tcW w:w="1551" w:type="dxa"/>
            <w:tcBorders>
              <w:top w:val="single" w:color="000000" w:sz="4" w:space="0"/>
              <w:left w:val="single" w:color="000000" w:sz="4" w:space="0"/>
              <w:bottom w:val="single" w:color="000000" w:sz="4" w:space="0"/>
              <w:right w:val="single" w:color="000000" w:sz="4" w:space="0"/>
            </w:tcBorders>
            <w:vAlign w:val="center"/>
          </w:tcPr>
          <w:p w14:paraId="1D5116A3">
            <w:pPr>
              <w:snapToGrid w:val="0"/>
              <w:spacing w:line="360" w:lineRule="auto"/>
              <w:jc w:val="left"/>
              <w:rPr>
                <w:rFonts w:hint="eastAsia" w:ascii="宋体" w:hAnsi="宋体" w:eastAsia="宋体" w:cs="宋体"/>
                <w:b w:val="0"/>
                <w:bCs w:val="0"/>
                <w:sz w:val="24"/>
                <w:szCs w:val="24"/>
              </w:rPr>
            </w:pPr>
            <w:r>
              <w:rPr>
                <w:rFonts w:ascii="宋体" w:hAnsi="宋体" w:eastAsia="宋体" w:cs="宋体"/>
                <w:b w:val="0"/>
                <w:bCs w:val="0"/>
                <w:sz w:val="24"/>
                <w:szCs w:val="24"/>
              </w:rPr>
              <w:t>1.2‰</w:t>
            </w:r>
          </w:p>
        </w:tc>
      </w:tr>
    </w:tbl>
    <w:p w14:paraId="6E9455FA">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lang w:val="en-US" w:eastAsia="zh-CN"/>
        </w:rPr>
        <w:t>（二）</w:t>
      </w:r>
      <w:r>
        <w:rPr>
          <w:rFonts w:hint="eastAsia" w:ascii="宋体" w:hAnsi="宋体" w:eastAsia="宋体" w:cs="宋体"/>
          <w:b w:val="0"/>
          <w:sz w:val="24"/>
          <w:szCs w:val="24"/>
        </w:rPr>
        <w:t>支付方式：乙方完成提交全部成果，并提供相应金额的合法税务凭证，经审计、甲方验收合格后，甲方按项目应结算总价的70%（不超过合同总价70%），向乙方支付第一笔费用；征迁退地项目完毕，经审计、甲方确认合格后，甲方向乙方支付项目应结算总价剩余的30%。</w:t>
      </w:r>
    </w:p>
    <w:p w14:paraId="5C8A4053">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若项目因区以上人民政府作出重大决策或其他不可抗力，甲方调整项目征迁退地范围或中途停止项目。经甲方验收合格后，甲方按乙方完成的实际工作量据实结算或采取协商的方式进行解决。</w:t>
      </w:r>
    </w:p>
    <w:p w14:paraId="47C631B2">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三、评估所需资料</w:t>
      </w:r>
    </w:p>
    <w:p w14:paraId="5228440E">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出具评估报告之前，甲方统筹协调项目实施单位及第三方房屋情况调查、测绘等单位将涉及评估的相关资料提交乙方。具体如下：</w:t>
      </w:r>
    </w:p>
    <w:p w14:paraId="520DC1D4">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（一）评估对象房屋清单</w:t>
      </w:r>
    </w:p>
    <w:p w14:paraId="0FF1DB2C">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（二）房屋权属证件、未经登记房屋认定证明及面积认定证明</w:t>
      </w:r>
    </w:p>
    <w:p w14:paraId="6292F7AD">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（三）征迁范围红线图、退地范围红线图</w:t>
      </w:r>
    </w:p>
    <w:p w14:paraId="5BF81D2E">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（四）乙方评估所需的其他必备资料</w:t>
      </w:r>
    </w:p>
    <w:p w14:paraId="211B1DB7">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四、甲乙双方的权利和义务</w:t>
      </w:r>
    </w:p>
    <w:p w14:paraId="0D4CBAAA">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（一）甲方的权利和义务</w:t>
      </w:r>
    </w:p>
    <w:p w14:paraId="033933E5">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1.甲方统筹协调项目实施单位及第三方房屋情况调查、测绘等单位提供乙方需要的评估对象基础资料，提供的评估对象资料应当全面、真实、客观，且资料提供单位对真实性、合法性负责。</w:t>
      </w:r>
    </w:p>
    <w:p w14:paraId="2BCD9401">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2.甲方指定熟悉情况的人员配合乙方进行实地查勘，并协助收集评估所必须的情况和资料；</w:t>
      </w:r>
    </w:p>
    <w:p w14:paraId="5E8EB285">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3.甲方按第二条约定，及时支付评估费用给乙方；</w:t>
      </w:r>
    </w:p>
    <w:p w14:paraId="6CC4E7D6">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4.甲方不干预乙方的评估工作；</w:t>
      </w:r>
    </w:p>
    <w:p w14:paraId="1168ED94">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5.被征迁人拒绝在实地查勘记录上签字或者盖章的，乙方应及时向甲方提出申请，由甲方协调相关单位组织无利害关系的第三人见证及签字或者盖章。</w:t>
      </w:r>
    </w:p>
    <w:p w14:paraId="170F81FC">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6.甲方对评估报告有疑问的，可以向乙方提出，乙方需在24小时内（复杂事项48小时内）作出书面解释及说明。</w:t>
      </w:r>
    </w:p>
    <w:p w14:paraId="4961973A">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（二）乙方的权利和义务</w:t>
      </w:r>
    </w:p>
    <w:p w14:paraId="17AF05E5">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1.乙方参照国家有关房屋征收评估、房地产估价及青苗地上附着物估价等法律法规、规范，履行必要估价程序，独立、客观、公正地进行估价工作。根据评估对象和当地房地产市场状况，对市场法、收益法、成本法、假设开发法等评估方法进行适用性分析后，选用其中一种或者多种方法对被征收房屋价值进行评估,可以同时选用两种以上评估方法评估的，应当选用两种以上评估方法评估，并对各种评估方法的测算结果进行校核和比较分析后，合理确定评估结果。并依照约定向甲方交付评估工作成果，包括但不限于评估报告；</w:t>
      </w:r>
    </w:p>
    <w:p w14:paraId="4FDB4210">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2.乙方对估价结果的准确性、公正性、合理性负责；</w:t>
      </w:r>
    </w:p>
    <w:p w14:paraId="74F256FC">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3.乙方保证选派熟练、充足的评估人员开展本次工作，未经甲方同意，不得随意更换项目负责人和评估人员。本项目现场负责人   ，联系电话    。乙方需到现场进行查勘，核对被征迁房屋、被腾退土地的面积及利用状况、拍摄房屋内外状况、土地现状的照片（包括室内外设施、装饰装修、搭建的建构筑物、地下设备设施、青苗及地上附着物等），做好实地查勘记录，并制作档案妥善保管。若评估工作确有开挖取样等必要，经被征迁人同意后，由乙方组织人员、设备开展相关工作，相关费用由乙方承担。被征迁人不予配合入户查勘的，应当及时向甲方出具不予配合查勘的情况说明；</w:t>
      </w:r>
    </w:p>
    <w:p w14:paraId="772E0A6A">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4.乙方对于甲方提出的疑问，认真、审慎地作出书面解释和说明；</w:t>
      </w:r>
    </w:p>
    <w:p w14:paraId="44C3E68B">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5.乙方对本项目估价结果等全部信息资料，尽保密责任，未经甲方同意不得擅自公开或泄漏给他人；</w:t>
      </w:r>
    </w:p>
    <w:p w14:paraId="5918E8B7">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6.乙方与征迁退地当事人有利害关系的，应当回避；</w:t>
      </w:r>
    </w:p>
    <w:p w14:paraId="1000321B">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7.乙方不得转让或者变相转让受托的征迁退地评估业务，如有违反，甲方有权解除合同；</w:t>
      </w:r>
    </w:p>
    <w:p w14:paraId="1B5D430A">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8.乙方应当做好项目管理工作，因乙方原因造成的包括但不限于：劳动纠纷、工伤事故以及其他纠纷等由乙方自行处理，不得因此造成对项目的不利影响；</w:t>
      </w:r>
    </w:p>
    <w:p w14:paraId="48884A37">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9.乙方应当做好安全管理工作，履行安全生产义务并自行承担工作过程中的安全责任，因乙方原因造成的安全生产事故由乙方自行处理，如因乙方原因给甲方造成损失的，乙方应当予以赔偿包括但不限于：律师费、诉讼费、经济损失费等；</w:t>
      </w:r>
    </w:p>
    <w:p w14:paraId="4AB64CAB">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10.乙方应甲方要求及项目实际需要，在日常工作中安排足量人员在项目现场设立办公地点进行办公，随时提供相关服务；</w:t>
      </w:r>
    </w:p>
    <w:p w14:paraId="5BE6D4E6">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11.应甲方要求，乙方对项目所在地征迁退地工作人员进行征迁退地评估等方面相关知识的专项培训。</w:t>
      </w:r>
    </w:p>
    <w:p w14:paraId="5952DB7E">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七、解决评估结论争议的方法</w:t>
      </w:r>
    </w:p>
    <w:p w14:paraId="4A45FA6B">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（一）甲方对评估报告有疑问的，乙方应当在24小时内（复杂事项48小时内）向其作出书面解释和说明；</w:t>
      </w:r>
    </w:p>
    <w:p w14:paraId="0EB407C3">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（二）甲方对评估报告结果有异议的，可向乙方指出评估报告存在的问题，或提出书面复核评估申请；</w:t>
      </w:r>
    </w:p>
    <w:p w14:paraId="097A37C0">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三）甲方提出书面复核评估申请的，乙方自收到书面复核评估申请之日起10日内对评估结果进行复核。复核后，改变原评估结果的，重新出具评估报告。乙方未重新出具评估报告的，甲方有权解除合同；评估结果没有改变的，书面告知复核评估申请人；</w:t>
      </w:r>
    </w:p>
    <w:p w14:paraId="068E954A">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（四）甲方对乙方的复核结果有异议的，可向被征迁房屋、被腾退土地所在地房地产估价师协会申请鉴定；</w:t>
      </w:r>
    </w:p>
    <w:p w14:paraId="7BA1AE35">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五）经房地产估价师协会鉴定，评估报告不存在技术问题的，应当维持评估报告，5次以内（含5次）相关费用由乙方承担，5次以上相关费用由甲方承担；评估报告存在技术问题的，乙方应当进行修改，重新出具评估报告，相关费用由乙方承担。</w:t>
      </w:r>
    </w:p>
    <w:p w14:paraId="06097EA7">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八、违约责任</w:t>
      </w:r>
    </w:p>
    <w:p w14:paraId="28B5C666">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一）乙方如无特殊原因和正当理由，应在双方约定的期限内交付评估报告，且交付的评估报告符合行业标准。由于乙方原因，延误了评估报告交付时间，则每逾期一日按照合同金额3‰支付违约金；逾期超过30日的，甲方有权解除合同且无需支付任何费用，同时乙方应向甲方支付合同金额20%的违约金。乙方逾期提交成果造成甲方其他损失的，乙方应当另行赔偿。</w:t>
      </w:r>
    </w:p>
    <w:p w14:paraId="61282C44">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二）若乙方出具的评估报告不符合行业标准，经甲方提醒后须于3日内修改完善；特殊情况需提交书面说明，且最迟不超过5日内修改完善。乙方拒不修改或累计3次出具不合格报告的，甲方有权单方解除合同且无需支付费用，乙方还应支付合同总金额20%的违约金。</w:t>
      </w:r>
    </w:p>
    <w:p w14:paraId="372FE362">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（三）若甲方或被征迁退地人申请房地产估价师协会鉴定，经鉴定评估报告存在技术问题的份数达3份及以上的，每满5份按项目总服务费的1%扣除违约金，不足5份的按5份计算；存在技术问题的户数占项目总户数10% 的，甲方有权单方解除合同且无需支付任何费用并追究相关违约责任。</w:t>
      </w:r>
    </w:p>
    <w:p w14:paraId="0E3B39E2">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（四）乙方未经甲方同意随意更换项目负责人和评估人员，未经甲方同意随意减少评估人员，导致因人员变动对评估工作的衔接、连贯和时限造成影响的，甲方有权扣减合同金额1%作为处罚。</w:t>
      </w:r>
    </w:p>
    <w:p w14:paraId="6047086B">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（五）项目实施单位及第三方房屋情况调查、测绘等单位如不按本协议规定的时间向乙方提交前述有关资料，乙方可按耽误时间顺延评估报告书的交付时间。</w:t>
      </w:r>
    </w:p>
    <w:p w14:paraId="5A600F90">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（六）未经甲方同意，乙方不得将评估报告擅自公开或泄漏给他人，造成不良影响的乙方应承担责任，甲方有权解除合同。</w:t>
      </w:r>
    </w:p>
    <w:p w14:paraId="5DBA2BB4">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 xml:space="preserve">（七）若乙方被列入失信被执行人、重大税收违法失信主体，被列入政府采购严重违法失信行为记录名单的，甲方有权立即解除合同，由此产生相关责任及损失由乙方承担。   </w:t>
      </w:r>
    </w:p>
    <w:p w14:paraId="4763D357">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九、双方约定的其他事项</w:t>
      </w:r>
    </w:p>
    <w:p w14:paraId="65842B67">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本合同未尽事或在履行过程中有重大事情变更事宜的，由甲乙双方另行协商订立补充协议。补充协议与本合同不一致时，以补充协议为准。</w:t>
      </w:r>
    </w:p>
    <w:p w14:paraId="2F027D84">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十、合同生效及争议解决方式</w:t>
      </w:r>
    </w:p>
    <w:p w14:paraId="2F294D17">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（一）本合同自甲乙双方签章之日起生效，任何一方不得单方更改。如有异议，由双方协商解决，协商不成，可向被征迁项目所在地武汉市东西湖区人民法院提起诉讼；</w:t>
      </w:r>
    </w:p>
    <w:p w14:paraId="18C94658">
      <w:pPr>
        <w:keepNext w:val="0"/>
        <w:keepLines w:val="0"/>
        <w:pageBreakBefore w:val="0"/>
        <w:widowControl w:val="0"/>
        <w:kinsoku/>
        <w:wordWrap/>
        <w:overflowPunct w:val="0"/>
        <w:topLinePunct/>
        <w:autoSpaceDE w:val="0"/>
        <w:autoSpaceDN w:val="0"/>
        <w:bidi w:val="0"/>
        <w:adjustRightInd/>
        <w:snapToGrid w:val="0"/>
        <w:spacing w:line="360" w:lineRule="auto"/>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（二）本合同壹式肆份，甲方贰份、乙方贰份，具有同等法律效力。</w:t>
      </w:r>
    </w:p>
    <w:p w14:paraId="64754A90">
      <w:pPr>
        <w:snapToGrid w:val="0"/>
        <w:spacing w:line="360" w:lineRule="auto"/>
        <w:jc w:val="left"/>
        <w:rPr>
          <w:rFonts w:ascii="宋体" w:hAnsi="宋体" w:eastAsia="宋体" w:cs="宋体"/>
          <w:b w:val="0"/>
          <w:bCs w:val="0"/>
          <w:sz w:val="24"/>
          <w:szCs w:val="24"/>
        </w:rPr>
      </w:pPr>
      <w:r>
        <w:rPr>
          <w:rFonts w:ascii="宋体" w:hAnsi="宋体" w:eastAsia="宋体" w:cs="宋体"/>
          <w:b w:val="0"/>
          <w:bCs w:val="0"/>
          <w:sz w:val="24"/>
          <w:szCs w:val="24"/>
        </w:rPr>
        <w:t xml:space="preserve">甲方（签章）：                   </w:t>
      </w:r>
      <w:r>
        <w:rPr>
          <w:rFonts w:hint="eastAsia" w:ascii="宋体" w:hAnsi="宋体" w:eastAsia="宋体" w:cs="宋体"/>
          <w:b w:val="0"/>
          <w:bCs w:val="0"/>
          <w:sz w:val="24"/>
          <w:szCs w:val="24"/>
        </w:rPr>
        <w:t xml:space="preserve"> </w:t>
      </w:r>
      <w:r>
        <w:rPr>
          <w:rFonts w:ascii="宋体" w:hAnsi="宋体" w:eastAsia="宋体" w:cs="宋体"/>
          <w:b w:val="0"/>
          <w:bCs w:val="0"/>
          <w:sz w:val="24"/>
          <w:szCs w:val="24"/>
        </w:rPr>
        <w:t>乙方 （签章）：</w:t>
      </w:r>
    </w:p>
    <w:p w14:paraId="1E1A2FBD">
      <w:pPr>
        <w:snapToGrid w:val="0"/>
        <w:spacing w:line="360" w:lineRule="auto"/>
        <w:jc w:val="left"/>
        <w:rPr>
          <w:rFonts w:ascii="宋体" w:hAnsi="宋体" w:eastAsia="宋体" w:cs="宋体"/>
          <w:b w:val="0"/>
          <w:bCs w:val="0"/>
          <w:sz w:val="24"/>
          <w:szCs w:val="24"/>
        </w:rPr>
      </w:pPr>
      <w:r>
        <w:rPr>
          <w:rFonts w:ascii="宋体" w:hAnsi="宋体" w:eastAsia="宋体" w:cs="宋体"/>
          <w:b w:val="0"/>
          <w:bCs w:val="0"/>
          <w:sz w:val="24"/>
          <w:szCs w:val="24"/>
        </w:rPr>
        <w:t>法定代表人                       法定代表人                                                                       或委托代理人：                   或委托代理人：</w:t>
      </w:r>
    </w:p>
    <w:p w14:paraId="0C5B6DE1">
      <w:r>
        <w:rPr>
          <w:rFonts w:ascii="宋体" w:hAnsi="宋体" w:eastAsia="宋体" w:cs="宋体"/>
          <w:b w:val="0"/>
          <w:bCs w:val="0"/>
          <w:sz w:val="24"/>
          <w:szCs w:val="24"/>
        </w:rPr>
        <w:t>年   月   日                     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0000000000000000000"/>
    <w:charset w:val="86"/>
    <w:family w:val="auto"/>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AA394F"/>
    <w:rsid w:val="08AA3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b/>
      <w:bCs/>
      <w:kern w:val="2"/>
      <w:sz w:val="28"/>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rFonts w:ascii="Calibri" w:hAnsi="Calibri"/>
      <w:sz w:val="24"/>
      <w:szCs w:val="22"/>
      <w:lang w:val="zh-CN"/>
    </w:rPr>
  </w:style>
  <w:style w:type="paragraph" w:styleId="3">
    <w:name w:val="Body Text Indent"/>
    <w:basedOn w:val="1"/>
    <w:qFormat/>
    <w:uiPriority w:val="0"/>
    <w:pPr>
      <w:ind w:firstLine="830" w:firstLineChars="352"/>
    </w:pPr>
    <w:rPr>
      <w:rFonts w:ascii="仿宋_GB2312" w:eastAsia="仿宋_GB2312"/>
      <w:sz w:val="32"/>
    </w:rPr>
  </w:style>
  <w:style w:type="paragraph" w:styleId="4">
    <w:name w:val="Plain Text"/>
    <w:basedOn w:val="1"/>
    <w:qFormat/>
    <w:uiPriority w:val="0"/>
    <w:rPr>
      <w:rFonts w:ascii="宋体" w:hAnsi="Courier New"/>
      <w:szCs w:val="21"/>
    </w:rPr>
  </w:style>
  <w:style w:type="paragraph" w:styleId="5">
    <w:name w:val="Body Text Indent 2"/>
    <w:basedOn w:val="1"/>
    <w:qFormat/>
    <w:uiPriority w:val="0"/>
    <w:pPr>
      <w:spacing w:line="480" w:lineRule="auto"/>
      <w:ind w:left="420" w:leftChars="200"/>
    </w:pPr>
  </w:style>
  <w:style w:type="paragraph" w:customStyle="1" w:styleId="8">
    <w:name w:val="正文文本首行缩进1"/>
    <w:basedOn w:val="1"/>
    <w:qFormat/>
    <w:uiPriority w:val="0"/>
    <w:pPr>
      <w:ind w:firstLine="420" w:firstLineChars="100"/>
    </w:pPr>
    <w:rPr>
      <w:rFonts w:ascii="Calibri" w:hAnsi="Calibri" w:eastAsia="宋体" w:cs="Times New Roman"/>
    </w:rPr>
  </w:style>
  <w:style w:type="paragraph" w:customStyle="1" w:styleId="9">
    <w:name w:val="Table Text"/>
    <w:basedOn w:val="1"/>
    <w:semiHidden/>
    <w:qFormat/>
    <w:uiPriority w:val="0"/>
    <w:rPr>
      <w:rFonts w:ascii="宋体" w:hAnsi="宋体" w:eastAsia="宋体" w:cs="宋体"/>
      <w:sz w:val="24"/>
      <w:szCs w:val="24"/>
      <w:lang w:eastAsia="en-US"/>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Default"/>
    <w:next w:val="3"/>
    <w:qFormat/>
    <w:uiPriority w:val="0"/>
    <w:pPr>
      <w:widowControl w:val="0"/>
      <w:autoSpaceDE w:val="0"/>
      <w:autoSpaceDN w:val="0"/>
      <w:adjustRightInd w:val="0"/>
      <w:spacing w:line="360" w:lineRule="auto"/>
      <w:ind w:firstLine="221" w:firstLineChars="221"/>
      <w:jc w:val="both"/>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2026-01-04T11:33:00Z</dcterms:created>
  <dc:creator>秦禹.</dc:creator>
  <cp:lastModifiedBy>秦禹.</cp:lastModifiedBy>
  <dcterms:modified xsi:type="dcterms:W3CDTF">2026-01-04T11:34:09Z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438634FB7AC14206B5BD41A85DBB130C_11</vt:lpwstr>
  </property>
  <property fmtid="{D5CDD505-2E9C-101B-9397-08002B2CF9AE}" pid="4" name="KSOTemplateDocerSaveRecord">
    <vt:lpwstr>eyJoZGlkIjoiYTY4MzhmZGJhNzFhOTMyMDY0MDM4MGIzODYwMWE2Y2QiLCJ1c2VySWQiOiIxNTMyODgyMzU0In0=</vt:lpwstr>
  </property>
</Properties>
</file>