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0C81C">
      <w:pPr>
        <w:jc w:val="center"/>
        <w:rPr>
          <w:b/>
          <w:bCs/>
          <w:sz w:val="32"/>
          <w:szCs w:val="32"/>
        </w:rPr>
      </w:pPr>
      <w:r>
        <w:rPr>
          <w:rFonts w:hint="eastAsia"/>
          <w:b/>
          <w:bCs/>
          <w:sz w:val="32"/>
          <w:szCs w:val="32"/>
        </w:rPr>
        <w:t>东西湖区社会治理中心食堂管理服务项目</w:t>
      </w:r>
    </w:p>
    <w:p w14:paraId="6144C681">
      <w:pPr>
        <w:jc w:val="center"/>
      </w:pPr>
      <w:r>
        <w:rPr>
          <w:rFonts w:hint="eastAsia"/>
          <w:b/>
          <w:bCs/>
          <w:sz w:val="32"/>
          <w:szCs w:val="32"/>
        </w:rPr>
        <w:t>需求公示意见公告</w:t>
      </w:r>
    </w:p>
    <w:p w14:paraId="5224F035">
      <w:pPr>
        <w:pStyle w:val="9"/>
        <w:widowControl/>
        <w:shd w:val="clear" w:color="auto" w:fill="FFFFFF"/>
        <w:snapToGrid w:val="0"/>
        <w:spacing w:beforeAutospacing="0" w:afterAutospacing="0" w:line="360" w:lineRule="auto"/>
        <w:rPr>
          <w:rFonts w:ascii="宋体" w:hAnsi="宋体" w:eastAsia="宋体" w:cs="宋体"/>
          <w:b/>
          <w:bCs/>
          <w:color w:val="333333"/>
          <w:sz w:val="28"/>
          <w:szCs w:val="28"/>
          <w:shd w:val="clear" w:color="auto" w:fill="FFFFFF"/>
        </w:rPr>
      </w:pPr>
    </w:p>
    <w:p w14:paraId="173656C0">
      <w:pPr>
        <w:pStyle w:val="9"/>
        <w:widowControl/>
        <w:shd w:val="clear" w:color="auto" w:fill="FFFFFF"/>
        <w:snapToGrid w:val="0"/>
        <w:spacing w:beforeAutospacing="0" w:afterAutospacing="0" w:line="360" w:lineRule="auto"/>
        <w:rPr>
          <w:rFonts w:ascii="宋体" w:hAnsi="宋体" w:eastAsia="宋体" w:cs="宋体"/>
          <w:b/>
          <w:bCs/>
          <w:color w:val="333333"/>
          <w:sz w:val="28"/>
          <w:szCs w:val="28"/>
        </w:rPr>
      </w:pPr>
      <w:r>
        <w:rPr>
          <w:rFonts w:hint="eastAsia" w:ascii="宋体" w:hAnsi="宋体" w:eastAsia="宋体" w:cs="宋体"/>
          <w:b/>
          <w:bCs/>
          <w:color w:val="333333"/>
          <w:sz w:val="28"/>
          <w:szCs w:val="28"/>
          <w:shd w:val="clear" w:color="auto" w:fill="FFFFFF"/>
        </w:rPr>
        <w:t>一、项目名称及采购编号、政府采购计划备案号</w:t>
      </w:r>
    </w:p>
    <w:p w14:paraId="62AFC0A0">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rPr>
      </w:pPr>
      <w:r>
        <w:rPr>
          <w:rFonts w:hint="eastAsia" w:ascii="宋体" w:hAnsi="宋体" w:eastAsia="宋体" w:cs="宋体"/>
          <w:color w:val="333333"/>
          <w:sz w:val="28"/>
          <w:szCs w:val="28"/>
          <w:shd w:val="clear" w:color="auto" w:fill="FFFFFF"/>
        </w:rPr>
        <w:t>（一）采购编号：   WHJS-2025-FW-017</w:t>
      </w:r>
    </w:p>
    <w:p w14:paraId="58EC9AAF">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rPr>
      </w:pPr>
      <w:r>
        <w:rPr>
          <w:rFonts w:hint="eastAsia" w:ascii="宋体" w:hAnsi="宋体" w:eastAsia="宋体" w:cs="宋体"/>
          <w:color w:val="333333"/>
          <w:sz w:val="28"/>
          <w:szCs w:val="28"/>
          <w:shd w:val="clear" w:color="auto" w:fill="FFFFFF"/>
        </w:rPr>
        <w:t xml:space="preserve">（二）项目名称： 东西湖区社会治理中心食堂管理服务项目 </w:t>
      </w:r>
    </w:p>
    <w:p w14:paraId="03F2A9A5">
      <w:pPr>
        <w:pStyle w:val="9"/>
        <w:widowControl/>
        <w:shd w:val="clear" w:color="auto" w:fill="FFFFFF"/>
        <w:snapToGrid w:val="0"/>
        <w:spacing w:beforeAutospacing="0" w:afterAutospacing="0" w:line="360" w:lineRule="auto"/>
        <w:jc w:val="both"/>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 xml:space="preserve">（三）政府采购计划备案号：420112-2025-01048 </w:t>
      </w:r>
    </w:p>
    <w:p w14:paraId="10F58D8A">
      <w:pPr>
        <w:pStyle w:val="9"/>
        <w:widowControl/>
        <w:shd w:val="clear" w:color="auto" w:fill="FFFFFF"/>
        <w:snapToGrid w:val="0"/>
        <w:spacing w:beforeAutospacing="0" w:afterAutospacing="0" w:line="360" w:lineRule="auto"/>
        <w:rPr>
          <w:rFonts w:ascii="宋体" w:hAnsi="宋体" w:eastAsia="宋体" w:cs="宋体"/>
          <w:b/>
          <w:bCs/>
          <w:color w:val="333333"/>
          <w:sz w:val="28"/>
          <w:szCs w:val="28"/>
        </w:rPr>
      </w:pPr>
      <w:r>
        <w:rPr>
          <w:rFonts w:hint="eastAsia" w:ascii="宋体" w:hAnsi="宋体" w:eastAsia="宋体" w:cs="宋体"/>
          <w:b/>
          <w:bCs/>
          <w:color w:val="333333"/>
          <w:sz w:val="28"/>
          <w:szCs w:val="28"/>
          <w:shd w:val="clear" w:color="auto" w:fill="FFFFFF"/>
        </w:rPr>
        <w:t>二、项目内容</w:t>
      </w:r>
    </w:p>
    <w:p w14:paraId="3967D821">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rPr>
      </w:pPr>
      <w:r>
        <w:rPr>
          <w:rFonts w:hint="eastAsia" w:ascii="宋体" w:hAnsi="宋体" w:eastAsia="宋体" w:cs="宋体"/>
          <w:color w:val="333333"/>
          <w:sz w:val="28"/>
          <w:szCs w:val="28"/>
          <w:shd w:val="clear" w:color="auto" w:fill="FFFFFF"/>
        </w:rPr>
        <w:t>（一）项目基本情况：</w:t>
      </w:r>
    </w:p>
    <w:p w14:paraId="1EE6531E">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详见需求公示材料</w:t>
      </w:r>
    </w:p>
    <w:p w14:paraId="50582C2C">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rPr>
      </w:pPr>
      <w:r>
        <w:rPr>
          <w:rFonts w:hint="eastAsia" w:ascii="宋体" w:hAnsi="宋体" w:eastAsia="宋体" w:cs="宋体"/>
          <w:color w:val="333333"/>
          <w:sz w:val="28"/>
          <w:szCs w:val="28"/>
          <w:shd w:val="clear" w:color="auto" w:fill="FFFFFF"/>
        </w:rPr>
        <w:t>（二）采购内容及要求：</w:t>
      </w:r>
    </w:p>
    <w:p w14:paraId="44FA4D67">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详见需求公示材料</w:t>
      </w:r>
    </w:p>
    <w:p w14:paraId="0315F4F2">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rPr>
      </w:pPr>
      <w:r>
        <w:rPr>
          <w:rFonts w:hint="eastAsia" w:ascii="宋体" w:hAnsi="宋体" w:eastAsia="宋体" w:cs="宋体"/>
          <w:color w:val="333333"/>
          <w:sz w:val="28"/>
          <w:szCs w:val="28"/>
          <w:shd w:val="clear" w:color="auto" w:fill="FFFFFF"/>
        </w:rPr>
        <w:t>（三）项目预算：56万元，预算控制最高价：56万元。</w:t>
      </w:r>
    </w:p>
    <w:p w14:paraId="055170F3">
      <w:pPr>
        <w:pStyle w:val="9"/>
        <w:widowControl/>
        <w:shd w:val="clear" w:color="auto" w:fill="FFFFFF"/>
        <w:snapToGrid w:val="0"/>
        <w:spacing w:beforeAutospacing="0" w:afterAutospacing="0" w:line="360" w:lineRule="auto"/>
        <w:rPr>
          <w:rFonts w:ascii="宋体" w:hAnsi="宋体" w:eastAsia="宋体" w:cs="宋体"/>
          <w:b/>
          <w:bCs/>
          <w:color w:val="333333"/>
          <w:sz w:val="28"/>
          <w:szCs w:val="28"/>
        </w:rPr>
      </w:pPr>
      <w:r>
        <w:rPr>
          <w:rFonts w:hint="eastAsia" w:ascii="宋体" w:hAnsi="宋体" w:eastAsia="宋体" w:cs="宋体"/>
          <w:b/>
          <w:bCs/>
          <w:color w:val="333333"/>
          <w:sz w:val="28"/>
          <w:szCs w:val="28"/>
          <w:shd w:val="clear" w:color="auto" w:fill="FFFFFF"/>
        </w:rPr>
        <w:t>三、征求意见截止日期</w:t>
      </w:r>
    </w:p>
    <w:p w14:paraId="7CB0E49A">
      <w:pPr>
        <w:pStyle w:val="9"/>
        <w:widowControl/>
        <w:shd w:val="clear" w:color="auto" w:fill="FFFFFF"/>
        <w:snapToGrid w:val="0"/>
        <w:spacing w:beforeAutospacing="0" w:afterAutospacing="0" w:line="360" w:lineRule="auto"/>
        <w:jc w:val="both"/>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从2025年05月10日至2025年05月12日</w:t>
      </w:r>
    </w:p>
    <w:p w14:paraId="662A9E38">
      <w:pPr>
        <w:pStyle w:val="9"/>
        <w:widowControl/>
        <w:shd w:val="clear" w:color="auto" w:fill="FFFFFF"/>
        <w:snapToGrid w:val="0"/>
        <w:spacing w:beforeAutospacing="0" w:afterAutospacing="0" w:line="360" w:lineRule="auto"/>
        <w:rPr>
          <w:rFonts w:ascii="宋体" w:hAnsi="宋体" w:eastAsia="宋体" w:cs="宋体"/>
          <w:b/>
          <w:bCs/>
          <w:color w:val="333333"/>
          <w:sz w:val="28"/>
          <w:szCs w:val="28"/>
        </w:rPr>
      </w:pPr>
      <w:r>
        <w:rPr>
          <w:rFonts w:hint="eastAsia" w:ascii="宋体" w:hAnsi="宋体" w:eastAsia="宋体" w:cs="宋体"/>
          <w:b/>
          <w:bCs/>
          <w:color w:val="333333"/>
          <w:sz w:val="28"/>
          <w:szCs w:val="28"/>
          <w:shd w:val="clear" w:color="auto" w:fill="FFFFFF"/>
        </w:rPr>
        <w:t>四、征求意见的提交方式</w:t>
      </w:r>
    </w:p>
    <w:p w14:paraId="41E13C8E">
      <w:pPr>
        <w:pStyle w:val="9"/>
        <w:widowControl/>
        <w:shd w:val="clear" w:color="auto" w:fill="FFFFFF"/>
        <w:snapToGrid w:val="0"/>
        <w:spacing w:beforeAutospacing="0" w:afterAutospacing="0" w:line="360" w:lineRule="auto"/>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对采购需求提出相关意见（应说明理由）应客观公正、实事求是，并在公示期内将相关意见以书面形式（加盖公章）提交至武汉景盛工程咨询有限公司，同时还须将反馈意见的电子文档（word版本）发送至公告指定的电子邮箱(1420482976@qq.com)，邮件主题注明“（公司名称）关于（项目名称）采购需求反馈意见”，邮件内容应包括供应商名称、供应商联系人姓名、联系方式等内容。</w:t>
      </w:r>
    </w:p>
    <w:p w14:paraId="53E7DD68">
      <w:pPr>
        <w:pStyle w:val="9"/>
        <w:widowControl/>
        <w:shd w:val="clear" w:color="auto" w:fill="FFFFFF"/>
        <w:snapToGrid w:val="0"/>
        <w:spacing w:beforeAutospacing="0" w:afterAutospacing="0" w:line="360" w:lineRule="auto"/>
        <w:rPr>
          <w:rFonts w:ascii="宋体" w:hAnsi="宋体" w:eastAsia="宋体" w:cs="宋体"/>
          <w:b/>
          <w:bCs/>
          <w:color w:val="333333"/>
          <w:sz w:val="28"/>
          <w:szCs w:val="28"/>
        </w:rPr>
      </w:pPr>
      <w:r>
        <w:rPr>
          <w:rFonts w:hint="eastAsia" w:ascii="宋体" w:hAnsi="宋体" w:eastAsia="宋体" w:cs="宋体"/>
          <w:b/>
          <w:bCs/>
          <w:color w:val="333333"/>
          <w:sz w:val="28"/>
          <w:szCs w:val="28"/>
          <w:shd w:val="clear" w:color="auto" w:fill="FFFFFF"/>
        </w:rPr>
        <w:t>五、采购文件或采购需求</w:t>
      </w:r>
    </w:p>
    <w:p w14:paraId="0FFAB190">
      <w:pPr>
        <w:pStyle w:val="9"/>
        <w:widowControl/>
        <w:shd w:val="clear" w:color="auto" w:fill="FFFFFF"/>
        <w:snapToGrid w:val="0"/>
        <w:spacing w:beforeAutospacing="0" w:afterAutospacing="0" w:line="360" w:lineRule="auto"/>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详见需求公示材料</w:t>
      </w:r>
    </w:p>
    <w:p w14:paraId="00664BD5">
      <w:pPr>
        <w:pStyle w:val="9"/>
        <w:widowControl/>
        <w:shd w:val="clear" w:color="auto" w:fill="FFFFFF"/>
        <w:snapToGrid w:val="0"/>
        <w:spacing w:beforeAutospacing="0" w:afterAutospacing="0" w:line="360" w:lineRule="auto"/>
        <w:rPr>
          <w:rFonts w:ascii="宋体" w:hAnsi="宋体" w:eastAsia="宋体" w:cs="宋体"/>
          <w:b/>
          <w:bCs/>
          <w:color w:val="333333"/>
          <w:sz w:val="28"/>
          <w:szCs w:val="28"/>
        </w:rPr>
      </w:pPr>
      <w:r>
        <w:rPr>
          <w:rFonts w:hint="eastAsia" w:ascii="宋体" w:hAnsi="宋体" w:eastAsia="宋体" w:cs="宋体"/>
          <w:b/>
          <w:bCs/>
          <w:color w:val="333333"/>
          <w:sz w:val="28"/>
          <w:szCs w:val="28"/>
          <w:shd w:val="clear" w:color="auto" w:fill="FFFFFF"/>
        </w:rPr>
        <w:t>六、本项目采购人或采购代理机构的情况</w:t>
      </w:r>
    </w:p>
    <w:p w14:paraId="5772B42E">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rPr>
      </w:pPr>
      <w:r>
        <w:rPr>
          <w:rFonts w:hint="eastAsia" w:ascii="宋体" w:hAnsi="宋体" w:eastAsia="宋体" w:cs="宋体"/>
          <w:color w:val="333333"/>
          <w:sz w:val="28"/>
          <w:szCs w:val="28"/>
          <w:shd w:val="clear" w:color="auto" w:fill="FFFFFF"/>
        </w:rPr>
        <w:t>采购人：武汉市东西湖区机关事务服务中心</w:t>
      </w:r>
    </w:p>
    <w:p w14:paraId="28801A17">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rPr>
      </w:pPr>
      <w:r>
        <w:rPr>
          <w:rFonts w:hint="eastAsia" w:ascii="宋体" w:hAnsi="宋体" w:eastAsia="宋体" w:cs="宋体"/>
          <w:color w:val="333333"/>
          <w:sz w:val="28"/>
          <w:szCs w:val="28"/>
          <w:shd w:val="clear" w:color="auto" w:fill="FFFFFF"/>
        </w:rPr>
        <w:t>地  址：武汉市东西湖区径河街啤砖路51号台商大厦</w:t>
      </w:r>
    </w:p>
    <w:p w14:paraId="685E49AB">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rPr>
      </w:pPr>
      <w:r>
        <w:rPr>
          <w:rFonts w:hint="eastAsia" w:ascii="宋体" w:hAnsi="宋体" w:eastAsia="宋体" w:cs="宋体"/>
          <w:color w:val="333333"/>
          <w:sz w:val="28"/>
          <w:szCs w:val="28"/>
          <w:shd w:val="clear" w:color="auto" w:fill="FFFFFF"/>
        </w:rPr>
        <w:t>联系人姓名：潘号</w:t>
      </w:r>
    </w:p>
    <w:p w14:paraId="403B8B44">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联系电话：027-83267218</w:t>
      </w:r>
    </w:p>
    <w:p w14:paraId="75B85C58">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采购代理机构：武汉景盛工程咨询有限公司</w:t>
      </w:r>
    </w:p>
    <w:p w14:paraId="77E428A7">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地址：武汉市东西湖区慈凯工业园丽枫酒店5楼</w:t>
      </w:r>
    </w:p>
    <w:p w14:paraId="61288DF2">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rPr>
      </w:pPr>
      <w:r>
        <w:rPr>
          <w:rFonts w:hint="eastAsia" w:ascii="宋体" w:hAnsi="宋体" w:eastAsia="宋体" w:cs="宋体"/>
          <w:color w:val="333333"/>
          <w:sz w:val="28"/>
          <w:szCs w:val="28"/>
          <w:shd w:val="clear" w:color="auto" w:fill="FFFFFF"/>
        </w:rPr>
        <w:t>项目联系人：江边舟</w:t>
      </w:r>
    </w:p>
    <w:p w14:paraId="26843810">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联系电话：15007113352</w:t>
      </w:r>
    </w:p>
    <w:p w14:paraId="1BF90061">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shd w:val="clear" w:color="auto" w:fill="FFFFFF"/>
        </w:rPr>
      </w:pPr>
    </w:p>
    <w:p w14:paraId="7E43DDC7">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shd w:val="clear" w:color="auto" w:fill="FFFFFF"/>
        </w:rPr>
      </w:pPr>
    </w:p>
    <w:p w14:paraId="5FA7ACF8">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shd w:val="clear" w:color="auto" w:fill="FFFFFF"/>
        </w:rPr>
      </w:pPr>
    </w:p>
    <w:p w14:paraId="3A9C0284">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shd w:val="clear" w:color="auto" w:fill="FFFFFF"/>
        </w:rPr>
      </w:pPr>
    </w:p>
    <w:p w14:paraId="7EF3F77E">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shd w:val="clear" w:color="auto" w:fill="FFFFFF"/>
        </w:rPr>
      </w:pPr>
    </w:p>
    <w:p w14:paraId="5F9977EB">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shd w:val="clear" w:color="auto" w:fill="FFFFFF"/>
        </w:rPr>
      </w:pPr>
    </w:p>
    <w:p w14:paraId="56D8D67E">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shd w:val="clear" w:color="auto" w:fill="FFFFFF"/>
        </w:rPr>
      </w:pPr>
    </w:p>
    <w:p w14:paraId="5D78B223">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shd w:val="clear" w:color="auto" w:fill="FFFFFF"/>
        </w:rPr>
      </w:pPr>
    </w:p>
    <w:p w14:paraId="56D2AC30">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shd w:val="clear" w:color="auto" w:fill="FFFFFF"/>
        </w:rPr>
      </w:pPr>
    </w:p>
    <w:p w14:paraId="6BA4BBAD">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shd w:val="clear" w:color="auto" w:fill="FFFFFF"/>
        </w:rPr>
      </w:pPr>
    </w:p>
    <w:p w14:paraId="525074B8">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shd w:val="clear" w:color="auto" w:fill="FFFFFF"/>
        </w:rPr>
      </w:pPr>
    </w:p>
    <w:p w14:paraId="553C5FFF">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shd w:val="clear" w:color="auto" w:fill="FFFFFF"/>
        </w:rPr>
      </w:pPr>
    </w:p>
    <w:p w14:paraId="57BE6684">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shd w:val="clear" w:color="auto" w:fill="FFFFFF"/>
        </w:rPr>
      </w:pPr>
    </w:p>
    <w:p w14:paraId="049E0198">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shd w:val="clear" w:color="auto" w:fill="FFFFFF"/>
        </w:rPr>
      </w:pPr>
    </w:p>
    <w:p w14:paraId="66C5C314">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shd w:val="clear" w:color="auto" w:fill="FFFFFF"/>
        </w:rPr>
      </w:pPr>
    </w:p>
    <w:p w14:paraId="4AFD409E">
      <w:pPr>
        <w:pStyle w:val="9"/>
        <w:widowControl/>
        <w:shd w:val="clear" w:color="auto" w:fill="FFFFFF"/>
        <w:snapToGrid w:val="0"/>
        <w:spacing w:beforeAutospacing="0" w:afterAutospacing="0" w:line="360" w:lineRule="auto"/>
        <w:jc w:val="both"/>
        <w:rPr>
          <w:rFonts w:ascii="宋体" w:hAnsi="宋体" w:eastAsia="宋体" w:cs="宋体"/>
          <w:color w:val="333333"/>
          <w:sz w:val="28"/>
          <w:szCs w:val="28"/>
          <w:shd w:val="clear" w:color="auto" w:fill="FFFFFF"/>
        </w:rPr>
      </w:pPr>
    </w:p>
    <w:p w14:paraId="53F6D7A4">
      <w:pPr>
        <w:jc w:val="center"/>
      </w:pPr>
    </w:p>
    <w:p w14:paraId="395EF025"/>
    <w:p w14:paraId="01676037">
      <w:pPr>
        <w:jc w:val="center"/>
        <w:rPr>
          <w:rFonts w:ascii="黑体" w:hAnsi="黑体" w:eastAsia="黑体"/>
          <w:b/>
          <w:sz w:val="96"/>
          <w:szCs w:val="96"/>
        </w:rPr>
      </w:pPr>
      <w:bookmarkStart w:id="0" w:name="_Toc505847466"/>
      <w:r>
        <w:rPr>
          <w:rFonts w:hint="eastAsia" w:ascii="黑体" w:hAnsi="黑体" w:eastAsia="黑体"/>
          <w:b/>
          <w:sz w:val="96"/>
          <w:szCs w:val="96"/>
        </w:rPr>
        <w:t>武汉市东西湖区</w:t>
      </w:r>
    </w:p>
    <w:p w14:paraId="1367B497">
      <w:pPr>
        <w:jc w:val="center"/>
        <w:rPr>
          <w:rFonts w:ascii="黑体" w:hAnsi="黑体" w:eastAsia="黑体"/>
          <w:b/>
          <w:sz w:val="96"/>
          <w:szCs w:val="96"/>
        </w:rPr>
      </w:pPr>
      <w:r>
        <w:rPr>
          <w:rFonts w:hint="eastAsia" w:ascii="黑体" w:hAnsi="黑体" w:eastAsia="黑体"/>
          <w:b/>
          <w:sz w:val="96"/>
          <w:szCs w:val="96"/>
        </w:rPr>
        <w:t>区级政府采购</w:t>
      </w:r>
    </w:p>
    <w:p w14:paraId="003B88BD">
      <w:pPr>
        <w:ind w:firstLine="1920"/>
        <w:jc w:val="right"/>
        <w:rPr>
          <w:rFonts w:ascii="黑体" w:hAnsi="黑体" w:eastAsia="黑体"/>
          <w:sz w:val="96"/>
          <w:szCs w:val="96"/>
        </w:rPr>
      </w:pPr>
    </w:p>
    <w:p w14:paraId="473B2E17">
      <w:pPr>
        <w:ind w:firstLine="1928"/>
        <w:rPr>
          <w:rFonts w:ascii="黑体" w:hAnsi="黑体" w:eastAsia="黑体"/>
          <w:b/>
          <w:sz w:val="96"/>
          <w:szCs w:val="96"/>
        </w:rPr>
      </w:pPr>
      <w:r>
        <w:rPr>
          <w:rFonts w:hint="eastAsia" w:ascii="黑体" w:hAnsi="黑体" w:eastAsia="黑体"/>
          <w:b/>
          <w:sz w:val="96"/>
          <w:szCs w:val="96"/>
        </w:rPr>
        <w:t>采购需求文件</w:t>
      </w:r>
    </w:p>
    <w:p w14:paraId="705E6EA8">
      <w:pPr>
        <w:ind w:firstLine="1440"/>
        <w:jc w:val="right"/>
        <w:rPr>
          <w:rFonts w:ascii="黑体" w:hAnsi="黑体" w:eastAsia="黑体"/>
          <w:sz w:val="72"/>
          <w:szCs w:val="72"/>
        </w:rPr>
      </w:pPr>
    </w:p>
    <w:p w14:paraId="750857E7">
      <w:pPr>
        <w:ind w:right="1306" w:rightChars="622" w:firstLine="720" w:firstLineChars="200"/>
        <w:rPr>
          <w:rFonts w:ascii="宋体" w:hAnsi="宋体" w:eastAsia="宋体"/>
          <w:sz w:val="36"/>
          <w:szCs w:val="36"/>
        </w:rPr>
      </w:pPr>
      <w:r>
        <w:rPr>
          <w:rFonts w:hint="eastAsia" w:ascii="宋体" w:hAnsi="宋体"/>
          <w:sz w:val="36"/>
          <w:szCs w:val="36"/>
        </w:rPr>
        <w:t xml:space="preserve">     </w:t>
      </w:r>
    </w:p>
    <w:p w14:paraId="75E19EEF">
      <w:pPr>
        <w:ind w:right="735" w:rightChars="350" w:firstLine="723" w:firstLineChars="200"/>
        <w:rPr>
          <w:rFonts w:ascii="宋体" w:hAnsi="宋体" w:eastAsia="宋体" w:cs="Times New Roman"/>
          <w:bCs/>
          <w:sz w:val="36"/>
          <w:szCs w:val="36"/>
        </w:rPr>
      </w:pPr>
      <w:r>
        <w:rPr>
          <w:rFonts w:hint="eastAsia" w:ascii="宋体" w:hAnsi="宋体"/>
          <w:b/>
          <w:sz w:val="36"/>
          <w:szCs w:val="36"/>
        </w:rPr>
        <w:t>项目名称：</w:t>
      </w:r>
      <w:r>
        <w:rPr>
          <w:rFonts w:hint="eastAsia" w:ascii="宋体" w:hAnsi="宋体" w:eastAsia="宋体" w:cs="Times New Roman"/>
          <w:bCs/>
          <w:sz w:val="36"/>
          <w:szCs w:val="36"/>
        </w:rPr>
        <w:t>东西湖区社会治理中心食堂管理服务项目</w:t>
      </w:r>
    </w:p>
    <w:p w14:paraId="4B125139">
      <w:pPr>
        <w:ind w:right="735" w:rightChars="350"/>
        <w:rPr>
          <w:rFonts w:ascii="宋体" w:hAnsi="宋体" w:eastAsia="宋体" w:cs="Times New Roman"/>
          <w:bCs/>
          <w:sz w:val="36"/>
          <w:szCs w:val="36"/>
        </w:rPr>
      </w:pPr>
    </w:p>
    <w:p w14:paraId="0C9CB7E3">
      <w:pPr>
        <w:ind w:right="735" w:rightChars="350" w:firstLine="723" w:firstLineChars="200"/>
        <w:rPr>
          <w:rFonts w:ascii="宋体" w:hAnsi="宋体" w:eastAsia="宋体"/>
          <w:sz w:val="36"/>
          <w:szCs w:val="36"/>
        </w:rPr>
      </w:pPr>
      <w:r>
        <w:rPr>
          <w:rFonts w:hint="eastAsia" w:ascii="宋体" w:hAnsi="宋体"/>
          <w:b/>
          <w:sz w:val="36"/>
          <w:szCs w:val="36"/>
        </w:rPr>
        <w:t>招标内容：</w:t>
      </w:r>
      <w:r>
        <w:rPr>
          <w:rFonts w:hint="eastAsia" w:ascii="宋体" w:hAnsi="宋体" w:eastAsia="宋体" w:cs="Times New Roman"/>
          <w:bCs/>
          <w:sz w:val="36"/>
          <w:szCs w:val="36"/>
        </w:rPr>
        <w:t>食堂管理服务</w:t>
      </w:r>
    </w:p>
    <w:p w14:paraId="53A6DC27">
      <w:pPr>
        <w:rPr>
          <w:rFonts w:ascii="黑体" w:hAnsi="黑体" w:eastAsia="黑体"/>
          <w:sz w:val="72"/>
          <w:szCs w:val="72"/>
        </w:rPr>
      </w:pPr>
    </w:p>
    <w:p w14:paraId="69F06CA0">
      <w:pPr>
        <w:ind w:left="2892" w:leftChars="345" w:right="735" w:rightChars="350" w:hanging="2168" w:hangingChars="600"/>
        <w:rPr>
          <w:rFonts w:ascii="宋体" w:hAnsi="宋体" w:eastAsia="宋体" w:cs="Times New Roman"/>
          <w:sz w:val="36"/>
          <w:szCs w:val="36"/>
        </w:rPr>
      </w:pPr>
      <w:r>
        <w:rPr>
          <w:rFonts w:ascii="宋体" w:hAnsi="宋体"/>
          <w:b/>
          <w:sz w:val="36"/>
          <w:szCs w:val="36"/>
        </w:rPr>
        <w:t>采购人名称：</w:t>
      </w:r>
      <w:r>
        <w:rPr>
          <w:rFonts w:hint="eastAsia" w:ascii="宋体" w:hAnsi="宋体" w:eastAsia="宋体" w:cs="Times New Roman"/>
          <w:bCs/>
          <w:sz w:val="36"/>
          <w:szCs w:val="36"/>
        </w:rPr>
        <w:t>武汉市东西湖区机关事务服务中心</w:t>
      </w:r>
    </w:p>
    <w:p w14:paraId="0DD04FC0">
      <w:pPr>
        <w:rPr>
          <w:rFonts w:ascii="宋体" w:hAnsi="宋体"/>
          <w:b/>
          <w:sz w:val="36"/>
          <w:szCs w:val="36"/>
        </w:rPr>
      </w:pPr>
    </w:p>
    <w:p w14:paraId="15E04CE1">
      <w:pPr>
        <w:ind w:firstLine="723" w:firstLineChars="200"/>
        <w:rPr>
          <w:rFonts w:ascii="宋体" w:hAnsi="宋体"/>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133" w:bottom="1440" w:left="1418" w:header="964" w:footer="992" w:gutter="0"/>
          <w:pgNumType w:start="1"/>
          <w:cols w:space="720" w:num="1"/>
          <w:docGrid w:type="lines" w:linePitch="312" w:charSpace="0"/>
        </w:sectPr>
      </w:pPr>
      <w:r>
        <w:rPr>
          <w:rFonts w:hint="eastAsia" w:ascii="宋体" w:hAnsi="宋体"/>
          <w:b/>
          <w:sz w:val="36"/>
          <w:szCs w:val="36"/>
        </w:rPr>
        <w:t>提交时间：</w:t>
      </w:r>
      <w:r>
        <w:rPr>
          <w:rFonts w:hint="eastAsia" w:ascii="宋体" w:hAnsi="宋体"/>
          <w:sz w:val="36"/>
          <w:szCs w:val="36"/>
        </w:rPr>
        <w:t>2025年5月</w:t>
      </w:r>
    </w:p>
    <w:p w14:paraId="4AA1B14C">
      <w:pPr>
        <w:widowControl/>
        <w:spacing w:line="360" w:lineRule="auto"/>
        <w:jc w:val="center"/>
        <w:rPr>
          <w:rFonts w:ascii="黑体" w:hAnsi="宋体" w:eastAsia="黑体" w:cs="黑体"/>
          <w:b/>
          <w:sz w:val="40"/>
          <w:szCs w:val="40"/>
          <w:lang w:bidi="ar"/>
        </w:rPr>
      </w:pPr>
      <w:r>
        <w:rPr>
          <w:rFonts w:hint="eastAsia" w:ascii="黑体" w:hAnsi="宋体" w:eastAsia="黑体" w:cs="黑体"/>
          <w:b/>
          <w:sz w:val="40"/>
          <w:szCs w:val="40"/>
          <w:lang w:bidi="ar"/>
        </w:rPr>
        <w:t>采购需求</w:t>
      </w:r>
    </w:p>
    <w:p w14:paraId="38EBEC26">
      <w:pPr>
        <w:widowControl/>
        <w:spacing w:line="360" w:lineRule="auto"/>
        <w:ind w:firstLine="803" w:firstLineChars="200"/>
        <w:jc w:val="center"/>
        <w:rPr>
          <w:rFonts w:ascii="黑体" w:hAnsi="宋体" w:eastAsia="黑体" w:cs="黑体"/>
          <w:b/>
          <w:sz w:val="40"/>
          <w:szCs w:val="40"/>
          <w:lang w:bidi="ar"/>
        </w:rPr>
      </w:pPr>
    </w:p>
    <w:p w14:paraId="7EA0143A">
      <w:pPr>
        <w:widowControl/>
        <w:shd w:val="clear" w:color="auto" w:fill="FFFFFF"/>
        <w:snapToGrid w:val="0"/>
        <w:spacing w:line="360" w:lineRule="auto"/>
        <w:ind w:firstLine="482"/>
        <w:jc w:val="left"/>
        <w:rPr>
          <w:rFonts w:ascii="宋体" w:hAnsi="宋体" w:eastAsia="宋体" w:cs="宋体"/>
          <w:sz w:val="24"/>
        </w:rPr>
      </w:pPr>
      <w:r>
        <w:rPr>
          <w:rFonts w:hint="eastAsia" w:ascii="宋体" w:hAnsi="宋体" w:eastAsia="宋体" w:cs="宋体"/>
          <w:sz w:val="24"/>
          <w:lang w:bidi="ar"/>
        </w:rPr>
        <w:t>依据</w:t>
      </w:r>
      <w:r>
        <w:rPr>
          <w:rFonts w:hint="eastAsia" w:ascii="宋体" w:hAnsi="宋体" w:eastAsia="宋体" w:cs="宋体"/>
          <w:color w:val="333333"/>
          <w:kern w:val="0"/>
          <w:sz w:val="24"/>
          <w:shd w:val="clear" w:color="auto" w:fill="FFFFFF"/>
          <w:lang w:bidi="ar"/>
        </w:rPr>
        <w:t>武汉市东西湖区财政局计划函号</w:t>
      </w:r>
      <w:r>
        <w:rPr>
          <w:rFonts w:hint="eastAsia" w:ascii="宋体" w:hAnsi="宋体" w:eastAsia="宋体" w:cs="宋体"/>
          <w:color w:val="333333"/>
          <w:kern w:val="0"/>
          <w:sz w:val="24"/>
          <w:u w:val="single"/>
          <w:shd w:val="clear" w:color="auto" w:fill="FFFFFF"/>
          <w:lang w:bidi="ar"/>
        </w:rPr>
        <w:t xml:space="preserve">  </w:t>
      </w:r>
      <w:bookmarkStart w:id="1" w:name="OLE_LINK7"/>
      <w:r>
        <w:rPr>
          <w:rFonts w:hint="eastAsia" w:ascii="宋体" w:hAnsi="宋体" w:cs="宋体"/>
          <w:color w:val="333333"/>
          <w:kern w:val="0"/>
          <w:sz w:val="24"/>
          <w:u w:val="single"/>
          <w:shd w:val="clear" w:color="auto" w:fill="FFFFFF"/>
          <w:lang w:bidi="ar"/>
        </w:rPr>
        <w:t>420112-2025-01048</w:t>
      </w:r>
      <w:bookmarkEnd w:id="1"/>
      <w:r>
        <w:rPr>
          <w:rFonts w:hint="eastAsia" w:ascii="宋体" w:hAnsi="宋体" w:eastAsia="宋体" w:cs="宋体"/>
          <w:color w:val="333333"/>
          <w:kern w:val="0"/>
          <w:sz w:val="24"/>
          <w:u w:val="single"/>
          <w:shd w:val="clear" w:color="auto" w:fill="FFFFFF"/>
          <w:lang w:bidi="ar"/>
        </w:rPr>
        <w:t xml:space="preserve">  </w:t>
      </w:r>
      <w:r>
        <w:rPr>
          <w:rFonts w:hint="eastAsia" w:ascii="宋体" w:hAnsi="宋体" w:eastAsia="宋体" w:cs="宋体"/>
          <w:color w:val="333333"/>
          <w:kern w:val="0"/>
          <w:sz w:val="24"/>
          <w:shd w:val="clear" w:color="auto" w:fill="FFFFFF"/>
          <w:lang w:bidi="ar"/>
        </w:rPr>
        <w:t>备案单的要求</w:t>
      </w:r>
      <w:r>
        <w:rPr>
          <w:rFonts w:hint="eastAsia" w:ascii="宋体" w:hAnsi="宋体" w:eastAsia="宋体" w:cs="宋体"/>
          <w:sz w:val="24"/>
          <w:lang w:bidi="ar"/>
        </w:rPr>
        <w:t>，现委托</w:t>
      </w:r>
      <w:r>
        <w:rPr>
          <w:rFonts w:hint="eastAsia" w:ascii="宋体" w:hAnsi="宋体" w:eastAsia="宋体" w:cs="宋体"/>
          <w:sz w:val="24"/>
          <w:u w:val="single"/>
          <w:lang w:bidi="ar"/>
        </w:rPr>
        <w:t xml:space="preserve"> </w:t>
      </w:r>
      <w:r>
        <w:rPr>
          <w:rFonts w:hint="eastAsia" w:ascii="宋体" w:hAnsi="宋体" w:cs="宋体"/>
          <w:sz w:val="24"/>
          <w:u w:val="single"/>
          <w:lang w:bidi="ar"/>
        </w:rPr>
        <w:t>武汉景盛工程咨询有限公司</w:t>
      </w:r>
      <w:r>
        <w:rPr>
          <w:rFonts w:hint="eastAsia" w:ascii="宋体" w:hAnsi="宋体" w:eastAsia="宋体" w:cs="宋体"/>
          <w:sz w:val="24"/>
          <w:u w:val="single"/>
          <w:lang w:bidi="ar"/>
        </w:rPr>
        <w:t xml:space="preserve">    </w:t>
      </w:r>
      <w:r>
        <w:rPr>
          <w:rFonts w:hint="eastAsia" w:ascii="宋体" w:hAnsi="宋体" w:eastAsia="宋体" w:cs="宋体"/>
          <w:sz w:val="24"/>
          <w:lang w:bidi="ar"/>
        </w:rPr>
        <w:t>就</w:t>
      </w:r>
      <w:r>
        <w:rPr>
          <w:rFonts w:ascii="Segoe UI" w:hAnsi="Segoe UI" w:eastAsia="Segoe UI" w:cs="Segoe UI"/>
          <w:color w:val="333333"/>
          <w:kern w:val="0"/>
          <w:sz w:val="24"/>
          <w:u w:val="single"/>
          <w:shd w:val="clear" w:color="auto" w:fill="FFFFFF"/>
          <w:lang w:bidi="ar"/>
        </w:rPr>
        <w:t>东西湖</w:t>
      </w:r>
      <w:bookmarkStart w:id="2" w:name="OLE_LINK4"/>
      <w:r>
        <w:rPr>
          <w:rFonts w:ascii="Segoe UI" w:hAnsi="Segoe UI" w:eastAsia="Segoe UI" w:cs="Segoe UI"/>
          <w:color w:val="333333"/>
          <w:kern w:val="0"/>
          <w:sz w:val="24"/>
          <w:u w:val="single"/>
          <w:shd w:val="clear" w:color="auto" w:fill="FFFFFF"/>
          <w:lang w:bidi="ar"/>
        </w:rPr>
        <w:t>区</w:t>
      </w:r>
      <w:r>
        <w:rPr>
          <w:rFonts w:hint="eastAsia" w:ascii="Segoe UI" w:hAnsi="Segoe UI" w:eastAsia="Segoe UI" w:cs="Segoe UI"/>
          <w:color w:val="333333"/>
          <w:kern w:val="0"/>
          <w:sz w:val="24"/>
          <w:u w:val="single"/>
          <w:shd w:val="clear" w:color="auto" w:fill="FFFFFF"/>
          <w:lang w:bidi="ar"/>
        </w:rPr>
        <w:t>社会治理中心食堂</w:t>
      </w:r>
      <w:bookmarkStart w:id="3" w:name="OLE_LINK3"/>
      <w:r>
        <w:rPr>
          <w:rFonts w:hint="eastAsia" w:ascii="Segoe UI" w:hAnsi="Segoe UI" w:eastAsia="Segoe UI" w:cs="Segoe UI"/>
          <w:color w:val="333333"/>
          <w:kern w:val="0"/>
          <w:sz w:val="24"/>
          <w:u w:val="single"/>
          <w:shd w:val="clear" w:color="auto" w:fill="FFFFFF"/>
          <w:lang w:bidi="ar"/>
        </w:rPr>
        <w:t>管理</w:t>
      </w:r>
      <w:r>
        <w:rPr>
          <w:rFonts w:ascii="Segoe UI" w:hAnsi="Segoe UI" w:eastAsia="Segoe UI" w:cs="Segoe UI"/>
          <w:color w:val="333333"/>
          <w:kern w:val="0"/>
          <w:sz w:val="24"/>
          <w:u w:val="single"/>
          <w:shd w:val="clear" w:color="auto" w:fill="FFFFFF"/>
          <w:lang w:bidi="ar"/>
        </w:rPr>
        <w:t>服务</w:t>
      </w:r>
      <w:bookmarkEnd w:id="2"/>
      <w:r>
        <w:rPr>
          <w:rFonts w:hint="eastAsia" w:ascii="Segoe UI" w:hAnsi="Segoe UI" w:eastAsia="Segoe UI" w:cs="Segoe UI"/>
          <w:color w:val="333333"/>
          <w:kern w:val="0"/>
          <w:sz w:val="24"/>
          <w:u w:val="single"/>
          <w:shd w:val="clear" w:color="auto" w:fill="FFFFFF"/>
          <w:lang w:bidi="ar"/>
        </w:rPr>
        <w:t>项目</w:t>
      </w:r>
      <w:bookmarkEnd w:id="3"/>
      <w:r>
        <w:rPr>
          <w:rFonts w:hint="eastAsia" w:ascii="宋体" w:hAnsi="宋体" w:eastAsia="宋体" w:cs="宋体"/>
          <w:sz w:val="24"/>
          <w:lang w:bidi="ar"/>
        </w:rPr>
        <w:t>进行公开招标采购。</w:t>
      </w:r>
    </w:p>
    <w:p w14:paraId="7ED1DBE0">
      <w:pPr>
        <w:widowControl/>
        <w:spacing w:line="480" w:lineRule="auto"/>
        <w:ind w:firstLine="480" w:firstLineChars="200"/>
        <w:jc w:val="left"/>
        <w:rPr>
          <w:rFonts w:ascii="宋体" w:hAnsi="宋体" w:eastAsia="宋体" w:cs="宋体"/>
          <w:sz w:val="24"/>
          <w:lang w:bidi="ar"/>
        </w:rPr>
      </w:pPr>
      <w:r>
        <w:rPr>
          <w:rFonts w:hint="eastAsia" w:ascii="宋体" w:hAnsi="宋体" w:eastAsia="宋体" w:cs="宋体"/>
          <w:sz w:val="24"/>
          <w:lang w:bidi="ar"/>
        </w:rPr>
        <w:t>本项目采购预算：人民币56万元。</w:t>
      </w:r>
    </w:p>
    <w:p w14:paraId="00D98BD9">
      <w:pPr>
        <w:widowControl/>
        <w:shd w:val="clear" w:color="auto" w:fill="FFFFFF"/>
        <w:snapToGrid w:val="0"/>
        <w:spacing w:line="360" w:lineRule="auto"/>
        <w:ind w:firstLine="482"/>
        <w:jc w:val="left"/>
        <w:rPr>
          <w:rFonts w:ascii="Segoe UI" w:hAnsi="Segoe UI" w:eastAsia="Segoe UI" w:cs="Segoe UI"/>
          <w:color w:val="333333"/>
          <w:sz w:val="24"/>
        </w:rPr>
      </w:pPr>
      <w:r>
        <w:rPr>
          <w:rFonts w:hint="eastAsia" w:ascii="Segoe UI" w:hAnsi="Segoe UI" w:eastAsia="Segoe UI" w:cs="Segoe UI"/>
          <w:b/>
          <w:color w:val="333333"/>
          <w:kern w:val="0"/>
          <w:sz w:val="24"/>
          <w:shd w:val="clear" w:color="auto" w:fill="FFFFFF"/>
          <w:lang w:bidi="ar"/>
        </w:rPr>
        <w:t xml:space="preserve"> </w:t>
      </w:r>
      <w:r>
        <w:rPr>
          <w:rFonts w:ascii="Segoe UI" w:hAnsi="Segoe UI" w:eastAsia="Segoe UI" w:cs="Segoe UI"/>
          <w:color w:val="333333"/>
          <w:kern w:val="0"/>
          <w:sz w:val="24"/>
          <w:shd w:val="clear" w:color="auto" w:fill="FFFFFF"/>
          <w:lang w:bidi="ar"/>
        </w:rPr>
        <w:t>1</w:t>
      </w:r>
      <w:r>
        <w:rPr>
          <w:rFonts w:hint="eastAsia" w:ascii="Segoe UI" w:hAnsi="Segoe UI" w:eastAsia="Segoe UI" w:cs="Segoe UI"/>
          <w:color w:val="333333"/>
          <w:kern w:val="0"/>
          <w:sz w:val="24"/>
          <w:shd w:val="clear" w:color="auto" w:fill="FFFFFF"/>
          <w:lang w:bidi="ar"/>
        </w:rPr>
        <w:t>、</w:t>
      </w:r>
      <w:r>
        <w:rPr>
          <w:rFonts w:ascii="Segoe UI" w:hAnsi="Segoe UI" w:eastAsia="Segoe UI" w:cs="Segoe UI"/>
          <w:color w:val="333333"/>
          <w:kern w:val="0"/>
          <w:sz w:val="24"/>
          <w:shd w:val="clear" w:color="auto" w:fill="FFFFFF"/>
          <w:lang w:bidi="ar"/>
        </w:rPr>
        <w:t>本次公开招标共分</w:t>
      </w:r>
      <w:r>
        <w:rPr>
          <w:rFonts w:hint="eastAsia" w:ascii="Segoe UI" w:hAnsi="Segoe UI" w:eastAsia="Segoe UI" w:cs="Segoe UI"/>
          <w:color w:val="333333"/>
          <w:kern w:val="0"/>
          <w:sz w:val="24"/>
          <w:u w:val="single"/>
          <w:shd w:val="clear" w:color="auto" w:fill="FFFFFF"/>
          <w:lang w:bidi="ar"/>
        </w:rPr>
        <w:t xml:space="preserve"> 1</w:t>
      </w:r>
      <w:r>
        <w:rPr>
          <w:rFonts w:ascii="Segoe UI" w:hAnsi="Segoe UI" w:eastAsia="Segoe UI" w:cs="Segoe UI"/>
          <w:color w:val="333333"/>
          <w:kern w:val="0"/>
          <w:sz w:val="24"/>
          <w:shd w:val="clear" w:color="auto" w:fill="FFFFFF"/>
          <w:lang w:bidi="ar"/>
        </w:rPr>
        <w:t>个项目包，具体需求如下。详细技术规格、参数及要求见本项目招标文件第</w:t>
      </w:r>
      <w:r>
        <w:rPr>
          <w:rFonts w:hint="eastAsia" w:ascii="Segoe UI" w:hAnsi="Segoe UI" w:eastAsia="Segoe UI" w:cs="Segoe UI"/>
          <w:color w:val="333333"/>
          <w:kern w:val="0"/>
          <w:sz w:val="24"/>
          <w:shd w:val="clear" w:color="auto" w:fill="FFFFFF"/>
          <w:lang w:bidi="ar"/>
        </w:rPr>
        <w:t>二</w:t>
      </w:r>
      <w:r>
        <w:rPr>
          <w:rFonts w:ascii="Segoe UI" w:hAnsi="Segoe UI" w:eastAsia="Segoe UI" w:cs="Segoe UI"/>
          <w:color w:val="333333"/>
          <w:kern w:val="0"/>
          <w:sz w:val="24"/>
          <w:shd w:val="clear" w:color="auto" w:fill="FFFFFF"/>
          <w:lang w:bidi="ar"/>
        </w:rPr>
        <w:t>章内容。</w:t>
      </w:r>
    </w:p>
    <w:p w14:paraId="293D3AB5">
      <w:pPr>
        <w:widowControl/>
        <w:shd w:val="clear" w:color="auto" w:fill="FFFFFF"/>
        <w:snapToGrid w:val="0"/>
        <w:spacing w:line="360" w:lineRule="auto"/>
        <w:ind w:firstLine="482"/>
        <w:jc w:val="left"/>
        <w:rPr>
          <w:rFonts w:ascii="Segoe UI" w:hAnsi="Segoe UI" w:eastAsia="Segoe UI" w:cs="Segoe UI"/>
          <w:color w:val="333333"/>
          <w:sz w:val="24"/>
        </w:rPr>
      </w:pPr>
      <w:r>
        <w:rPr>
          <w:rFonts w:ascii="Segoe UI" w:hAnsi="Segoe UI" w:eastAsia="Segoe UI" w:cs="Segoe UI"/>
          <w:color w:val="333333"/>
          <w:kern w:val="0"/>
          <w:sz w:val="24"/>
          <w:shd w:val="clear" w:color="auto" w:fill="FFFFFF"/>
          <w:lang w:bidi="ar"/>
        </w:rPr>
        <w:t>第一包：</w:t>
      </w:r>
    </w:p>
    <w:p w14:paraId="7930063B">
      <w:pPr>
        <w:widowControl/>
        <w:shd w:val="clear" w:color="auto" w:fill="FFFFFF"/>
        <w:snapToGrid w:val="0"/>
        <w:spacing w:line="360" w:lineRule="auto"/>
        <w:ind w:firstLine="482"/>
        <w:jc w:val="left"/>
        <w:rPr>
          <w:rFonts w:ascii="Segoe UI" w:hAnsi="Segoe UI" w:eastAsia="Segoe UI" w:cs="Segoe UI"/>
          <w:color w:val="333333"/>
          <w:sz w:val="24"/>
        </w:rPr>
      </w:pPr>
      <w:r>
        <w:rPr>
          <w:rFonts w:ascii="Segoe UI" w:hAnsi="Segoe UI" w:eastAsia="Segoe UI" w:cs="Segoe UI"/>
          <w:color w:val="333333"/>
          <w:kern w:val="0"/>
          <w:sz w:val="24"/>
          <w:shd w:val="clear" w:color="auto" w:fill="FFFFFF"/>
          <w:lang w:bidi="ar"/>
        </w:rPr>
        <w:t>（1）  项目包编号：</w:t>
      </w:r>
      <w:r>
        <w:rPr>
          <w:rFonts w:hint="eastAsia" w:ascii="Segoe UI" w:hAnsi="Segoe UI" w:eastAsia="Segoe UI" w:cs="Segoe UI"/>
          <w:color w:val="333333"/>
          <w:kern w:val="0"/>
          <w:sz w:val="24"/>
          <w:shd w:val="clear" w:color="auto" w:fill="FFFFFF"/>
          <w:lang w:bidi="ar"/>
        </w:rPr>
        <w:t>1</w:t>
      </w:r>
    </w:p>
    <w:p w14:paraId="7B31A406">
      <w:pPr>
        <w:widowControl/>
        <w:shd w:val="clear" w:color="auto" w:fill="FFFFFF"/>
        <w:snapToGrid w:val="0"/>
        <w:spacing w:line="360" w:lineRule="auto"/>
        <w:ind w:firstLine="482"/>
        <w:jc w:val="left"/>
        <w:rPr>
          <w:rFonts w:ascii="Segoe UI" w:hAnsi="Segoe UI" w:eastAsia="Segoe UI" w:cs="Segoe UI"/>
          <w:color w:val="333333"/>
          <w:kern w:val="0"/>
          <w:sz w:val="24"/>
          <w:shd w:val="clear" w:color="auto" w:fill="FFFFFF"/>
          <w:lang w:bidi="ar"/>
        </w:rPr>
      </w:pPr>
      <w:r>
        <w:rPr>
          <w:rFonts w:ascii="Segoe UI" w:hAnsi="Segoe UI" w:eastAsia="Segoe UI" w:cs="Segoe UI"/>
          <w:color w:val="333333"/>
          <w:kern w:val="0"/>
          <w:sz w:val="24"/>
          <w:shd w:val="clear" w:color="auto" w:fill="FFFFFF"/>
          <w:lang w:bidi="ar"/>
        </w:rPr>
        <w:t>（2）  项目包名称：</w:t>
      </w:r>
      <w:bookmarkStart w:id="4" w:name="OLE_LINK2"/>
      <w:bookmarkStart w:id="5" w:name="OLE_LINK1"/>
      <w:r>
        <w:rPr>
          <w:rFonts w:ascii="Segoe UI" w:hAnsi="Segoe UI" w:eastAsia="Segoe UI" w:cs="Segoe UI"/>
          <w:color w:val="333333"/>
          <w:kern w:val="0"/>
          <w:sz w:val="24"/>
          <w:shd w:val="clear" w:color="auto" w:fill="FFFFFF"/>
          <w:lang w:bidi="ar"/>
        </w:rPr>
        <w:t>东西湖区</w:t>
      </w:r>
      <w:r>
        <w:rPr>
          <w:rFonts w:hint="eastAsia" w:ascii="Segoe UI" w:hAnsi="Segoe UI" w:eastAsia="Segoe UI" w:cs="Segoe UI"/>
          <w:color w:val="333333"/>
          <w:kern w:val="0"/>
          <w:sz w:val="24"/>
          <w:shd w:val="clear" w:color="auto" w:fill="FFFFFF"/>
          <w:lang w:bidi="ar"/>
        </w:rPr>
        <w:t>社会治理中心食堂管理</w:t>
      </w:r>
      <w:r>
        <w:rPr>
          <w:rFonts w:ascii="Segoe UI" w:hAnsi="Segoe UI" w:eastAsia="Segoe UI" w:cs="Segoe UI"/>
          <w:color w:val="333333"/>
          <w:kern w:val="0"/>
          <w:sz w:val="24"/>
          <w:shd w:val="clear" w:color="auto" w:fill="FFFFFF"/>
          <w:lang w:bidi="ar"/>
        </w:rPr>
        <w:t>服务</w:t>
      </w:r>
      <w:r>
        <w:rPr>
          <w:rFonts w:hint="eastAsia" w:ascii="Segoe UI" w:hAnsi="Segoe UI" w:eastAsia="Segoe UI" w:cs="Segoe UI"/>
          <w:color w:val="333333"/>
          <w:kern w:val="0"/>
          <w:sz w:val="24"/>
          <w:shd w:val="clear" w:color="auto" w:fill="FFFFFF"/>
          <w:lang w:bidi="ar"/>
        </w:rPr>
        <w:t>项目</w:t>
      </w:r>
      <w:bookmarkEnd w:id="4"/>
    </w:p>
    <w:bookmarkEnd w:id="5"/>
    <w:p w14:paraId="254B4734">
      <w:pPr>
        <w:widowControl/>
        <w:shd w:val="clear" w:color="auto" w:fill="FFFFFF"/>
        <w:snapToGrid w:val="0"/>
        <w:spacing w:line="360" w:lineRule="auto"/>
        <w:ind w:firstLine="482"/>
        <w:jc w:val="left"/>
        <w:rPr>
          <w:rFonts w:ascii="Segoe UI" w:hAnsi="Segoe UI" w:eastAsia="Segoe UI" w:cs="Segoe UI"/>
          <w:color w:val="333333"/>
          <w:sz w:val="24"/>
        </w:rPr>
      </w:pPr>
      <w:r>
        <w:rPr>
          <w:rFonts w:ascii="Segoe UI" w:hAnsi="Segoe UI" w:eastAsia="Segoe UI" w:cs="Segoe UI"/>
          <w:color w:val="333333"/>
          <w:kern w:val="0"/>
          <w:sz w:val="24"/>
          <w:shd w:val="clear" w:color="auto" w:fill="FFFFFF"/>
          <w:lang w:bidi="ar"/>
        </w:rPr>
        <w:t>（3）  类别：服务</w:t>
      </w:r>
    </w:p>
    <w:p w14:paraId="6A1EF576">
      <w:pPr>
        <w:widowControl/>
        <w:shd w:val="clear" w:color="auto" w:fill="FFFFFF"/>
        <w:snapToGrid w:val="0"/>
        <w:spacing w:line="360" w:lineRule="auto"/>
        <w:ind w:firstLine="482"/>
        <w:jc w:val="left"/>
        <w:rPr>
          <w:rFonts w:ascii="Segoe UI" w:hAnsi="Segoe UI" w:eastAsia="Segoe UI" w:cs="Segoe UI"/>
          <w:color w:val="333333"/>
          <w:sz w:val="24"/>
        </w:rPr>
      </w:pPr>
      <w:r>
        <w:rPr>
          <w:rFonts w:ascii="Segoe UI" w:hAnsi="Segoe UI" w:eastAsia="Segoe UI" w:cs="Segoe UI"/>
          <w:color w:val="333333"/>
          <w:kern w:val="0"/>
          <w:sz w:val="24"/>
          <w:shd w:val="clear" w:color="auto" w:fill="FFFFFF"/>
          <w:lang w:bidi="ar"/>
        </w:rPr>
        <w:t>（4）  用途：托管管理</w:t>
      </w:r>
    </w:p>
    <w:p w14:paraId="1242D144">
      <w:pPr>
        <w:widowControl/>
        <w:shd w:val="clear" w:color="auto" w:fill="FFFFFF"/>
        <w:snapToGrid w:val="0"/>
        <w:spacing w:line="360" w:lineRule="auto"/>
        <w:ind w:firstLine="482"/>
        <w:jc w:val="left"/>
        <w:rPr>
          <w:rFonts w:ascii="Segoe UI" w:hAnsi="Segoe UI" w:eastAsia="Segoe UI" w:cs="Segoe UI"/>
          <w:color w:val="333333"/>
          <w:sz w:val="24"/>
        </w:rPr>
      </w:pPr>
      <w:r>
        <w:rPr>
          <w:rFonts w:ascii="Segoe UI" w:hAnsi="Segoe UI" w:eastAsia="Segoe UI" w:cs="Segoe UI"/>
          <w:color w:val="333333"/>
          <w:kern w:val="0"/>
          <w:sz w:val="24"/>
          <w:shd w:val="clear" w:color="auto" w:fill="FFFFFF"/>
          <w:lang w:bidi="ar"/>
        </w:rPr>
        <w:t>（5）  数量：1</w:t>
      </w:r>
    </w:p>
    <w:p w14:paraId="45A1A0F7">
      <w:pPr>
        <w:widowControl/>
        <w:shd w:val="clear" w:color="auto" w:fill="FFFFFF"/>
        <w:snapToGrid w:val="0"/>
        <w:spacing w:line="360" w:lineRule="auto"/>
        <w:ind w:firstLine="482"/>
        <w:jc w:val="left"/>
        <w:rPr>
          <w:rFonts w:ascii="Segoe UI" w:hAnsi="Segoe UI" w:eastAsia="Segoe UI" w:cs="Segoe UI"/>
          <w:color w:val="333333"/>
          <w:sz w:val="24"/>
        </w:rPr>
      </w:pPr>
      <w:r>
        <w:rPr>
          <w:rFonts w:ascii="Segoe UI" w:hAnsi="Segoe UI" w:eastAsia="Segoe UI" w:cs="Segoe UI"/>
          <w:color w:val="333333"/>
          <w:kern w:val="0"/>
          <w:sz w:val="24"/>
          <w:shd w:val="clear" w:color="auto" w:fill="FFFFFF"/>
          <w:lang w:bidi="ar"/>
        </w:rPr>
        <w:t>（6）  主要技术要求：详见技术参数</w:t>
      </w:r>
    </w:p>
    <w:p w14:paraId="14984661">
      <w:pPr>
        <w:widowControl/>
        <w:shd w:val="clear" w:color="auto" w:fill="FFFFFF"/>
        <w:snapToGrid w:val="0"/>
        <w:spacing w:line="360" w:lineRule="auto"/>
        <w:ind w:firstLine="482"/>
        <w:jc w:val="left"/>
        <w:rPr>
          <w:rFonts w:ascii="Segoe UI" w:hAnsi="Segoe UI" w:eastAsia="Segoe UI" w:cs="Segoe UI"/>
          <w:color w:val="333333"/>
          <w:sz w:val="24"/>
        </w:rPr>
      </w:pPr>
      <w:r>
        <w:rPr>
          <w:rFonts w:ascii="Segoe UI" w:hAnsi="Segoe UI" w:eastAsia="Segoe UI" w:cs="Segoe UI"/>
          <w:color w:val="333333"/>
          <w:kern w:val="0"/>
          <w:sz w:val="24"/>
          <w:shd w:val="clear" w:color="auto" w:fill="FFFFFF"/>
          <w:lang w:bidi="ar"/>
        </w:rPr>
        <w:t>（7）  采购预算：</w:t>
      </w:r>
      <w:r>
        <w:rPr>
          <w:rFonts w:hint="eastAsia" w:ascii="Segoe UI" w:hAnsi="Segoe UI" w:eastAsia="Segoe UI" w:cs="Segoe UI"/>
          <w:color w:val="333333"/>
          <w:kern w:val="0"/>
          <w:sz w:val="24"/>
          <w:shd w:val="clear" w:color="auto" w:fill="FFFFFF"/>
          <w:lang w:bidi="ar"/>
        </w:rPr>
        <w:t>56</w:t>
      </w:r>
      <w:r>
        <w:rPr>
          <w:rFonts w:ascii="Segoe UI" w:hAnsi="Segoe UI" w:eastAsia="Segoe UI" w:cs="Segoe UI"/>
          <w:color w:val="333333"/>
          <w:kern w:val="0"/>
          <w:sz w:val="24"/>
          <w:shd w:val="clear" w:color="auto" w:fill="FFFFFF"/>
          <w:lang w:bidi="ar"/>
        </w:rPr>
        <w:t>万元/年</w:t>
      </w:r>
    </w:p>
    <w:p w14:paraId="776EB834">
      <w:pPr>
        <w:widowControl/>
        <w:shd w:val="clear" w:color="auto" w:fill="FFFFFF"/>
        <w:snapToGrid w:val="0"/>
        <w:spacing w:line="360" w:lineRule="auto"/>
        <w:ind w:firstLine="482"/>
        <w:jc w:val="left"/>
        <w:rPr>
          <w:rFonts w:ascii="Segoe UI" w:hAnsi="Segoe UI" w:eastAsia="Segoe UI" w:cs="Segoe UI"/>
          <w:color w:val="333333"/>
          <w:kern w:val="0"/>
          <w:sz w:val="24"/>
          <w:shd w:val="clear" w:color="auto" w:fill="FFFFFF"/>
          <w:lang w:bidi="ar"/>
        </w:rPr>
      </w:pPr>
      <w:r>
        <w:rPr>
          <w:rFonts w:ascii="Segoe UI" w:hAnsi="Segoe UI" w:eastAsia="Segoe UI" w:cs="Segoe UI"/>
          <w:color w:val="333333"/>
          <w:kern w:val="0"/>
          <w:sz w:val="24"/>
          <w:shd w:val="clear" w:color="auto" w:fill="FFFFFF"/>
          <w:lang w:bidi="ar"/>
        </w:rPr>
        <w:t>（8）  服务期：一年</w:t>
      </w:r>
    </w:p>
    <w:p w14:paraId="62E95ABB">
      <w:pPr>
        <w:widowControl/>
        <w:shd w:val="clear" w:color="auto" w:fill="FFFFFF"/>
        <w:snapToGrid w:val="0"/>
        <w:spacing w:line="360" w:lineRule="auto"/>
        <w:ind w:firstLine="482"/>
        <w:jc w:val="left"/>
        <w:rPr>
          <w:rFonts w:ascii="Segoe UI" w:hAnsi="Segoe UI" w:eastAsia="Segoe UI" w:cs="Segoe UI"/>
          <w:color w:val="333333"/>
          <w:sz w:val="24"/>
        </w:rPr>
      </w:pPr>
      <w:r>
        <w:rPr>
          <w:rFonts w:ascii="Segoe UI" w:hAnsi="Segoe UI" w:eastAsia="Segoe UI" w:cs="Segoe UI"/>
          <w:color w:val="333333"/>
          <w:kern w:val="0"/>
          <w:sz w:val="24"/>
          <w:shd w:val="clear" w:color="auto" w:fill="FFFFFF"/>
          <w:lang w:bidi="ar"/>
        </w:rPr>
        <w:t>2</w:t>
      </w:r>
      <w:r>
        <w:rPr>
          <w:rFonts w:hint="eastAsia" w:ascii="Segoe UI" w:hAnsi="Segoe UI" w:eastAsia="Segoe UI" w:cs="Segoe UI"/>
          <w:color w:val="333333"/>
          <w:kern w:val="0"/>
          <w:sz w:val="24"/>
          <w:shd w:val="clear" w:color="auto" w:fill="FFFFFF"/>
          <w:lang w:bidi="ar"/>
        </w:rPr>
        <w:t>、</w:t>
      </w:r>
      <w:r>
        <w:rPr>
          <w:rFonts w:ascii="Segoe UI" w:hAnsi="Segoe UI" w:eastAsia="Segoe UI" w:cs="Segoe UI"/>
          <w:color w:val="333333"/>
          <w:kern w:val="0"/>
          <w:sz w:val="24"/>
          <w:shd w:val="clear" w:color="auto" w:fill="FFFFFF"/>
          <w:lang w:bidi="ar"/>
        </w:rPr>
        <w:t>供应商参加投标的报价超过该包采购预算金额的，其该包投标无效。</w:t>
      </w:r>
    </w:p>
    <w:p w14:paraId="2B2BA36D">
      <w:pPr>
        <w:widowControl/>
        <w:shd w:val="clear" w:color="auto" w:fill="FFFFFF"/>
        <w:snapToGrid w:val="0"/>
        <w:spacing w:after="150" w:line="360" w:lineRule="auto"/>
        <w:ind w:firstLine="480"/>
        <w:jc w:val="left"/>
        <w:rPr>
          <w:rFonts w:ascii="Segoe UI" w:hAnsi="Segoe UI" w:eastAsia="Segoe UI" w:cs="Segoe UI"/>
          <w:color w:val="333333"/>
          <w:kern w:val="0"/>
          <w:sz w:val="24"/>
          <w:shd w:val="clear" w:color="auto" w:fill="FFFFFF"/>
          <w:lang w:bidi="ar"/>
        </w:rPr>
      </w:pPr>
      <w:r>
        <w:rPr>
          <w:rFonts w:hint="eastAsia" w:ascii="Segoe UI" w:hAnsi="Segoe UI" w:eastAsia="Segoe UI" w:cs="Segoe UI"/>
          <w:color w:val="333333"/>
          <w:kern w:val="0"/>
          <w:sz w:val="24"/>
          <w:shd w:val="clear" w:color="auto" w:fill="FFFFFF"/>
          <w:lang w:bidi="ar"/>
        </w:rPr>
        <w:t xml:space="preserve"> </w:t>
      </w:r>
    </w:p>
    <w:p w14:paraId="23B0F0B1"/>
    <w:p w14:paraId="4E3AC731">
      <w:pPr>
        <w:widowControl/>
        <w:shd w:val="clear" w:color="auto" w:fill="FFFFFF"/>
        <w:snapToGrid w:val="0"/>
        <w:spacing w:line="360" w:lineRule="auto"/>
        <w:ind w:firstLine="482"/>
        <w:jc w:val="left"/>
        <w:rPr>
          <w:rFonts w:ascii="宋体" w:hAnsi="宋体" w:eastAsia="宋体" w:cs="宋体"/>
          <w:sz w:val="24"/>
        </w:rPr>
      </w:pPr>
    </w:p>
    <w:p w14:paraId="29F80B3C">
      <w:pPr>
        <w:pStyle w:val="5"/>
      </w:pPr>
    </w:p>
    <w:p w14:paraId="7068B2D7">
      <w:pPr>
        <w:widowControl/>
        <w:rPr>
          <w:rFonts w:ascii="黑体" w:hAnsi="黑体" w:eastAsia="黑体" w:cs="黑体"/>
        </w:rPr>
      </w:pPr>
      <w:bookmarkStart w:id="6" w:name="_Toc1458930"/>
      <w:bookmarkStart w:id="7" w:name="_Toc22284833"/>
    </w:p>
    <w:p w14:paraId="3FAC8DE9">
      <w:pPr>
        <w:widowControl/>
        <w:rPr>
          <w:rFonts w:ascii="黑体" w:hAnsi="黑体" w:eastAsia="黑体" w:cs="黑体"/>
        </w:rPr>
      </w:pPr>
    </w:p>
    <w:p w14:paraId="6EC7BC7A">
      <w:pPr>
        <w:widowControl/>
        <w:rPr>
          <w:rFonts w:ascii="黑体" w:hAnsi="黑体" w:eastAsia="黑体" w:cs="黑体"/>
        </w:rPr>
      </w:pPr>
    </w:p>
    <w:p w14:paraId="26A96799">
      <w:pPr>
        <w:widowControl/>
        <w:rPr>
          <w:rFonts w:ascii="黑体" w:hAnsi="黑体" w:eastAsia="黑体" w:cs="黑体"/>
        </w:rPr>
      </w:pPr>
    </w:p>
    <w:p w14:paraId="7FF75073">
      <w:pPr>
        <w:widowControl/>
        <w:rPr>
          <w:rFonts w:ascii="黑体" w:hAnsi="黑体" w:eastAsia="黑体" w:cs="黑体"/>
        </w:rPr>
      </w:pPr>
    </w:p>
    <w:p w14:paraId="3E362C5E">
      <w:pPr>
        <w:widowControl/>
        <w:rPr>
          <w:rFonts w:ascii="黑体" w:hAnsi="黑体" w:eastAsia="黑体" w:cs="黑体"/>
        </w:rPr>
      </w:pPr>
    </w:p>
    <w:p w14:paraId="6248A90B">
      <w:pPr>
        <w:widowControl/>
        <w:rPr>
          <w:rFonts w:ascii="黑体" w:hAnsi="黑体" w:eastAsia="黑体" w:cs="黑体"/>
        </w:rPr>
      </w:pPr>
    </w:p>
    <w:p w14:paraId="2DCB53B1">
      <w:pPr>
        <w:widowControl/>
        <w:rPr>
          <w:rFonts w:ascii="黑体" w:hAnsi="黑体" w:eastAsia="黑体" w:cs="黑体"/>
        </w:rPr>
      </w:pPr>
    </w:p>
    <w:p w14:paraId="52322D4B">
      <w:pPr>
        <w:widowControl/>
        <w:rPr>
          <w:rFonts w:ascii="黑体" w:hAnsi="黑体" w:eastAsia="黑体" w:cs="黑体"/>
        </w:rPr>
      </w:pPr>
    </w:p>
    <w:p w14:paraId="6EC10D68"/>
    <w:p w14:paraId="7F32F1AA">
      <w:pPr>
        <w:pStyle w:val="2"/>
        <w:widowControl/>
        <w:ind w:firstLine="643"/>
        <w:rPr>
          <w:rFonts w:ascii="黑体" w:hAnsi="黑体" w:eastAsia="黑体" w:cs="黑体"/>
        </w:rPr>
      </w:pPr>
      <w:r>
        <w:rPr>
          <w:rFonts w:hint="eastAsia" w:ascii="黑体" w:hAnsi="黑体" w:eastAsia="黑体" w:cs="黑体"/>
        </w:rPr>
        <w:t>第一部分  供应商资格要求</w:t>
      </w:r>
      <w:bookmarkEnd w:id="6"/>
      <w:bookmarkEnd w:id="7"/>
    </w:p>
    <w:p w14:paraId="5BF01E37">
      <w:pPr>
        <w:pStyle w:val="14"/>
        <w:ind w:firstLine="482"/>
        <w:rPr>
          <w:rFonts w:ascii="宋体" w:hAnsi="宋体" w:cs="宋体"/>
          <w:b/>
          <w:bCs/>
          <w:sz w:val="24"/>
          <w:szCs w:val="24"/>
        </w:rPr>
      </w:pPr>
      <w:r>
        <w:rPr>
          <w:rFonts w:hint="eastAsia" w:ascii="宋体" w:hAnsi="宋体" w:cs="宋体"/>
          <w:b/>
          <w:bCs/>
          <w:sz w:val="24"/>
          <w:szCs w:val="24"/>
        </w:rPr>
        <w:t xml:space="preserve"> 一 、基本资格要求：</w:t>
      </w:r>
    </w:p>
    <w:p w14:paraId="2EABF610">
      <w:pPr>
        <w:pStyle w:val="14"/>
        <w:ind w:firstLine="480"/>
        <w:rPr>
          <w:rFonts w:ascii="宋体" w:hAnsi="宋体" w:cs="宋体"/>
          <w:sz w:val="24"/>
          <w:szCs w:val="24"/>
        </w:rPr>
      </w:pPr>
      <w:r>
        <w:rPr>
          <w:rFonts w:hint="eastAsia" w:ascii="宋体" w:hAnsi="宋体" w:cs="宋体"/>
          <w:sz w:val="24"/>
          <w:szCs w:val="24"/>
        </w:rPr>
        <w:t>满足《中华人民共和国政府采购法》第二十二条规定，即：</w:t>
      </w:r>
    </w:p>
    <w:p w14:paraId="5528FEBE">
      <w:pPr>
        <w:pStyle w:val="14"/>
        <w:ind w:firstLine="480"/>
        <w:rPr>
          <w:rFonts w:ascii="宋体" w:hAnsi="宋体" w:cs="宋体"/>
          <w:sz w:val="24"/>
          <w:szCs w:val="24"/>
        </w:rPr>
      </w:pPr>
      <w:r>
        <w:rPr>
          <w:rFonts w:hint="eastAsia" w:ascii="宋体" w:hAnsi="宋体" w:cs="宋体"/>
          <w:sz w:val="24"/>
          <w:szCs w:val="24"/>
        </w:rPr>
        <w:t>（1）具有独立承担民事责任的能力；</w:t>
      </w:r>
    </w:p>
    <w:p w14:paraId="670097B4">
      <w:pPr>
        <w:pStyle w:val="14"/>
        <w:ind w:firstLine="480"/>
        <w:rPr>
          <w:rFonts w:ascii="宋体" w:hAnsi="宋体" w:cs="宋体"/>
          <w:sz w:val="24"/>
          <w:szCs w:val="24"/>
        </w:rPr>
      </w:pPr>
      <w:r>
        <w:rPr>
          <w:rFonts w:hint="eastAsia" w:ascii="宋体" w:hAnsi="宋体" w:cs="宋体"/>
          <w:sz w:val="24"/>
          <w:szCs w:val="24"/>
        </w:rPr>
        <w:t>（2）具有良好的商业信誉和健全的财务会计制度；</w:t>
      </w:r>
    </w:p>
    <w:p w14:paraId="38069AD8">
      <w:pPr>
        <w:pStyle w:val="14"/>
        <w:ind w:firstLine="480"/>
        <w:rPr>
          <w:rFonts w:ascii="宋体" w:hAnsi="宋体" w:cs="宋体"/>
          <w:sz w:val="24"/>
          <w:szCs w:val="24"/>
        </w:rPr>
      </w:pPr>
      <w:r>
        <w:rPr>
          <w:rFonts w:hint="eastAsia" w:ascii="宋体" w:hAnsi="宋体" w:cs="宋体"/>
          <w:sz w:val="24"/>
          <w:szCs w:val="24"/>
        </w:rPr>
        <w:t>（3）具有履行合同所必需的设备和专业技术能力；</w:t>
      </w:r>
    </w:p>
    <w:p w14:paraId="04E2069B">
      <w:pPr>
        <w:pStyle w:val="14"/>
        <w:ind w:firstLine="480"/>
        <w:rPr>
          <w:rFonts w:ascii="宋体" w:hAnsi="宋体" w:cs="宋体"/>
          <w:sz w:val="24"/>
          <w:szCs w:val="24"/>
        </w:rPr>
      </w:pPr>
      <w:r>
        <w:rPr>
          <w:rFonts w:hint="eastAsia" w:ascii="宋体" w:hAnsi="宋体" w:cs="宋体"/>
          <w:sz w:val="24"/>
          <w:szCs w:val="24"/>
        </w:rPr>
        <w:t>（4）有依法缴纳税收和社会保障资金的良好记录；</w:t>
      </w:r>
    </w:p>
    <w:p w14:paraId="63F51195">
      <w:pPr>
        <w:pStyle w:val="14"/>
        <w:ind w:firstLine="48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60AD7E3E">
      <w:pPr>
        <w:pStyle w:val="14"/>
        <w:ind w:firstLine="480"/>
        <w:rPr>
          <w:rFonts w:ascii="宋体" w:hAnsi="宋体" w:cs="宋体"/>
          <w:sz w:val="24"/>
          <w:szCs w:val="24"/>
        </w:rPr>
      </w:pPr>
      <w:r>
        <w:rPr>
          <w:rFonts w:hint="eastAsia" w:ascii="宋体" w:hAnsi="宋体" w:cs="宋体"/>
          <w:sz w:val="24"/>
          <w:szCs w:val="24"/>
        </w:rPr>
        <w:t>（6）法律、行政法规规定的其他条件。</w:t>
      </w:r>
    </w:p>
    <w:p w14:paraId="0502188D">
      <w:pPr>
        <w:pStyle w:val="14"/>
        <w:ind w:firstLine="480"/>
        <w:rPr>
          <w:rFonts w:ascii="宋体" w:hAnsi="宋体" w:cs="宋体"/>
          <w:sz w:val="24"/>
          <w:szCs w:val="24"/>
        </w:rPr>
      </w:pPr>
      <w:r>
        <w:rPr>
          <w:rFonts w:hint="eastAsia" w:ascii="宋体" w:hAnsi="宋体" w:cs="宋体"/>
          <w:sz w:val="24"/>
          <w:szCs w:val="24"/>
        </w:rPr>
        <w:t>2.单位负责人为同一人或者存在直接控股、管理关系的不同投标人，不得参加本项目同一合同项下的政府采购活动。</w:t>
      </w:r>
    </w:p>
    <w:p w14:paraId="7826DE56">
      <w:pPr>
        <w:pStyle w:val="14"/>
        <w:ind w:firstLine="480"/>
        <w:rPr>
          <w:rFonts w:ascii="宋体" w:hAnsi="宋体" w:cs="宋体"/>
          <w:sz w:val="24"/>
          <w:szCs w:val="24"/>
        </w:rPr>
      </w:pPr>
      <w:r>
        <w:rPr>
          <w:rFonts w:hint="eastAsia" w:ascii="宋体" w:hAnsi="宋体" w:cs="宋体"/>
          <w:sz w:val="24"/>
          <w:szCs w:val="24"/>
        </w:rPr>
        <w:t>3.为本采购项目提供整体设计、规范编制或者项目管理、监理、检测等服务的，不得再参加本项目的其他招标采购活动。</w:t>
      </w:r>
    </w:p>
    <w:p w14:paraId="67433D5F">
      <w:pPr>
        <w:pStyle w:val="14"/>
        <w:ind w:firstLine="480"/>
        <w:rPr>
          <w:rFonts w:ascii="宋体" w:hAnsi="宋体" w:cs="宋体"/>
          <w:sz w:val="24"/>
          <w:szCs w:val="24"/>
        </w:rPr>
      </w:pPr>
      <w:r>
        <w:rPr>
          <w:rFonts w:hint="eastAsia" w:ascii="宋体" w:hAnsi="宋体" w:cs="宋体"/>
          <w:sz w:val="24"/>
          <w:szCs w:val="24"/>
        </w:rPr>
        <w:t>4.未被列入失信被执行人、重大税收违法案件当事人名单，未被列入政府采购严重违法失信行为记录名单。</w:t>
      </w:r>
    </w:p>
    <w:p w14:paraId="3AA91F21">
      <w:pPr>
        <w:pStyle w:val="14"/>
        <w:ind w:firstLine="480"/>
        <w:rPr>
          <w:rFonts w:ascii="宋体" w:hAnsi="宋体" w:cs="宋体"/>
          <w:sz w:val="24"/>
          <w:szCs w:val="24"/>
        </w:rPr>
      </w:pPr>
      <w:r>
        <w:rPr>
          <w:rFonts w:hint="eastAsia" w:ascii="宋体" w:hAnsi="宋体" w:cs="宋体"/>
          <w:sz w:val="24"/>
          <w:szCs w:val="24"/>
        </w:rPr>
        <w:t>5.</w:t>
      </w:r>
      <w:r>
        <w:rPr>
          <w:rFonts w:hint="eastAsia" w:ascii="宋体" w:hAnsi="宋体" w:cs="宋体"/>
          <w:sz w:val="24"/>
        </w:rPr>
        <w:t>本项目不接受联合体投标，执行过程中不允许转包、分包。</w:t>
      </w:r>
    </w:p>
    <w:p w14:paraId="5672C2DB">
      <w:pPr>
        <w:pStyle w:val="14"/>
        <w:ind w:firstLine="482"/>
        <w:rPr>
          <w:rFonts w:ascii="宋体" w:hAnsi="宋体" w:cs="宋体"/>
          <w:sz w:val="24"/>
          <w:szCs w:val="24"/>
        </w:rPr>
      </w:pPr>
      <w:r>
        <w:rPr>
          <w:rFonts w:hint="eastAsia" w:ascii="宋体" w:hAnsi="宋体" w:cs="宋体"/>
          <w:b/>
          <w:bCs/>
          <w:sz w:val="24"/>
          <w:szCs w:val="24"/>
        </w:rPr>
        <w:t>二、落实政府采购政策需满足的资格要求：</w:t>
      </w:r>
      <w:r>
        <w:rPr>
          <w:rFonts w:hint="eastAsia" w:ascii="宋体" w:hAnsi="宋体" w:cs="宋体"/>
          <w:sz w:val="24"/>
          <w:szCs w:val="24"/>
        </w:rPr>
        <w:t>本项目专门面向中小企业采购，投标人应为符 合《政府采购促进中小企业发展管理办法》（财库〔2020〕46 号）规定的中小企业（监狱企 业、残疾人福利性单位均视同小型、微型企业）需提供中小企业申明函。本项目所属行业为餐饮业。</w:t>
      </w:r>
    </w:p>
    <w:p w14:paraId="3EA036B7">
      <w:pPr>
        <w:pStyle w:val="14"/>
        <w:ind w:firstLine="482"/>
        <w:rPr>
          <w:rFonts w:ascii="宋体" w:hAnsi="宋体" w:cs="宋体"/>
          <w:b/>
          <w:bCs/>
          <w:sz w:val="24"/>
          <w:szCs w:val="24"/>
        </w:rPr>
      </w:pPr>
      <w:r>
        <w:rPr>
          <w:rFonts w:hint="eastAsia" w:ascii="宋体" w:hAnsi="宋体" w:cs="宋体"/>
          <w:b/>
          <w:bCs/>
          <w:sz w:val="24"/>
          <w:szCs w:val="24"/>
        </w:rPr>
        <w:t>三、本项目的特定资格要求：</w:t>
      </w:r>
    </w:p>
    <w:p w14:paraId="79C997A4">
      <w:pPr>
        <w:widowControl/>
        <w:spacing w:line="360" w:lineRule="auto"/>
        <w:ind w:firstLine="480" w:firstLineChars="200"/>
        <w:jc w:val="left"/>
        <w:rPr>
          <w:rFonts w:ascii="宋体" w:hAnsi="宋体" w:eastAsia="宋体" w:cs="宋体"/>
          <w:sz w:val="24"/>
          <w:lang w:bidi="ar"/>
        </w:rPr>
      </w:pPr>
      <w:r>
        <w:rPr>
          <w:rFonts w:hint="eastAsia" w:ascii="宋体" w:hAnsi="宋体" w:eastAsia="宋体" w:cs="宋体"/>
          <w:sz w:val="24"/>
          <w:lang w:bidi="ar"/>
        </w:rPr>
        <w:t xml:space="preserve">1、投标人须具备有效的食品经营许可证； </w:t>
      </w:r>
      <w:bookmarkStart w:id="8" w:name="_Toc22284834"/>
      <w:bookmarkStart w:id="9" w:name="_Toc1458931"/>
    </w:p>
    <w:p w14:paraId="7D84758B">
      <w:pPr>
        <w:pStyle w:val="14"/>
        <w:ind w:firstLine="480"/>
        <w:rPr>
          <w:rFonts w:ascii="宋体" w:hAnsi="宋体" w:cs="宋体"/>
          <w:sz w:val="24"/>
          <w:szCs w:val="24"/>
        </w:rPr>
      </w:pPr>
    </w:p>
    <w:p w14:paraId="7F2807C8">
      <w:pPr>
        <w:pStyle w:val="14"/>
        <w:ind w:firstLine="0" w:firstLineChars="0"/>
        <w:rPr>
          <w:rFonts w:ascii="宋体" w:hAnsi="宋体" w:cs="宋体"/>
          <w:sz w:val="24"/>
          <w:szCs w:val="24"/>
        </w:rPr>
      </w:pPr>
    </w:p>
    <w:p w14:paraId="2C82002B">
      <w:pPr>
        <w:pStyle w:val="14"/>
        <w:ind w:firstLine="0" w:firstLineChars="0"/>
        <w:rPr>
          <w:rFonts w:ascii="宋体" w:hAnsi="宋体" w:cs="宋体"/>
          <w:sz w:val="24"/>
          <w:szCs w:val="24"/>
        </w:rPr>
      </w:pPr>
    </w:p>
    <w:p w14:paraId="66B50DA9">
      <w:pPr>
        <w:pStyle w:val="14"/>
        <w:ind w:firstLine="0" w:firstLineChars="0"/>
        <w:rPr>
          <w:rFonts w:ascii="宋体" w:hAnsi="宋体" w:cs="宋体"/>
          <w:sz w:val="24"/>
          <w:szCs w:val="24"/>
        </w:rPr>
      </w:pPr>
    </w:p>
    <w:p w14:paraId="3F0DB671">
      <w:pPr>
        <w:pStyle w:val="14"/>
        <w:ind w:firstLine="0" w:firstLineChars="0"/>
        <w:rPr>
          <w:rFonts w:ascii="宋体" w:hAnsi="宋体" w:cs="宋体"/>
          <w:sz w:val="24"/>
          <w:szCs w:val="24"/>
        </w:rPr>
      </w:pPr>
    </w:p>
    <w:p w14:paraId="7834DC89">
      <w:pPr>
        <w:pStyle w:val="14"/>
        <w:ind w:firstLine="0" w:firstLineChars="0"/>
        <w:rPr>
          <w:rFonts w:ascii="宋体" w:hAnsi="宋体" w:cs="宋体"/>
          <w:sz w:val="24"/>
          <w:szCs w:val="24"/>
        </w:rPr>
      </w:pPr>
    </w:p>
    <w:p w14:paraId="69E35677">
      <w:pPr>
        <w:pStyle w:val="14"/>
        <w:ind w:firstLine="0" w:firstLineChars="0"/>
        <w:rPr>
          <w:rFonts w:ascii="宋体" w:hAnsi="宋体" w:cs="宋体"/>
          <w:sz w:val="24"/>
          <w:szCs w:val="24"/>
        </w:rPr>
      </w:pPr>
    </w:p>
    <w:p w14:paraId="56B0DD85">
      <w:pPr>
        <w:pStyle w:val="14"/>
        <w:ind w:firstLine="0" w:firstLineChars="0"/>
        <w:rPr>
          <w:rFonts w:ascii="宋体" w:hAnsi="宋体" w:cs="宋体"/>
          <w:sz w:val="24"/>
          <w:szCs w:val="24"/>
        </w:rPr>
      </w:pPr>
    </w:p>
    <w:p w14:paraId="1EACEDAF">
      <w:pPr>
        <w:pStyle w:val="2"/>
        <w:widowControl/>
        <w:rPr>
          <w:rFonts w:ascii="黑体" w:hAnsi="黑体" w:eastAsia="黑体" w:cs="黑体"/>
          <w:sz w:val="24"/>
        </w:rPr>
      </w:pPr>
      <w:r>
        <w:rPr>
          <w:rFonts w:hint="eastAsia" w:ascii="黑体" w:hAnsi="黑体" w:eastAsia="黑体" w:cs="黑体"/>
        </w:rPr>
        <w:t xml:space="preserve">第二部分  </w:t>
      </w:r>
      <w:bookmarkStart w:id="10" w:name="_Toc509997285"/>
      <w:bookmarkStart w:id="11" w:name="_Toc1421483"/>
      <w:r>
        <w:rPr>
          <w:rFonts w:hint="eastAsia" w:ascii="黑体" w:hAnsi="黑体" w:eastAsia="黑体" w:cs="黑体"/>
        </w:rPr>
        <w:t>技术、服务及商务要求</w:t>
      </w:r>
      <w:bookmarkEnd w:id="8"/>
      <w:bookmarkEnd w:id="9"/>
      <w:bookmarkEnd w:id="10"/>
      <w:bookmarkEnd w:id="11"/>
    </w:p>
    <w:bookmarkEnd w:id="0"/>
    <w:p w14:paraId="37499330">
      <w:pPr>
        <w:pStyle w:val="3"/>
        <w:widowControl/>
        <w:spacing w:before="100" w:after="100" w:line="240" w:lineRule="auto"/>
        <w:ind w:firstLine="602" w:firstLineChars="200"/>
        <w:rPr>
          <w:rFonts w:cs="Times New Roman"/>
          <w:sz w:val="30"/>
          <w:szCs w:val="30"/>
          <w:lang w:val="zh-CN"/>
        </w:rPr>
      </w:pPr>
      <w:bookmarkStart w:id="12" w:name="_Hlt7022019"/>
      <w:bookmarkEnd w:id="12"/>
      <w:bookmarkStart w:id="13" w:name="_Hlt27493081"/>
      <w:bookmarkEnd w:id="13"/>
      <w:bookmarkStart w:id="14" w:name="_Toc388450142"/>
      <w:bookmarkStart w:id="15" w:name="_Toc354565944"/>
      <w:r>
        <w:rPr>
          <w:rFonts w:hint="eastAsia" w:cs="Times New Roman"/>
          <w:sz w:val="30"/>
          <w:szCs w:val="30"/>
        </w:rPr>
        <w:t>一、</w:t>
      </w:r>
      <w:r>
        <w:rPr>
          <w:rFonts w:hint="eastAsia" w:cs="Times New Roman"/>
          <w:sz w:val="30"/>
          <w:szCs w:val="30"/>
          <w:lang w:val="zh-CN"/>
        </w:rPr>
        <w:t>项目概况</w:t>
      </w:r>
      <w:bookmarkEnd w:id="14"/>
      <w:r>
        <w:rPr>
          <w:rFonts w:hint="eastAsia" w:cs="Times New Roman"/>
          <w:sz w:val="30"/>
          <w:szCs w:val="30"/>
        </w:rPr>
        <w:t>及简介</w:t>
      </w:r>
    </w:p>
    <w:bookmarkEnd w:id="15"/>
    <w:p w14:paraId="3771D645">
      <w:pPr>
        <w:spacing w:line="360" w:lineRule="auto"/>
        <w:ind w:firstLine="480" w:firstLineChars="200"/>
        <w:rPr>
          <w:rFonts w:ascii="宋体" w:hAnsi="宋体" w:eastAsia="宋体" w:cs="仿宋"/>
          <w:sz w:val="24"/>
        </w:rPr>
      </w:pPr>
      <w:r>
        <w:rPr>
          <w:rFonts w:ascii="Segoe UI" w:hAnsi="Segoe UI" w:eastAsia="Segoe UI" w:cs="Segoe UI"/>
          <w:color w:val="333333"/>
          <w:kern w:val="0"/>
          <w:sz w:val="24"/>
          <w:shd w:val="clear" w:color="auto" w:fill="FFFFFF"/>
          <w:lang w:bidi="ar"/>
        </w:rPr>
        <w:t>东西湖区</w:t>
      </w:r>
      <w:r>
        <w:rPr>
          <w:rFonts w:hint="eastAsia" w:ascii="Segoe UI" w:hAnsi="Segoe UI" w:eastAsia="Segoe UI" w:cs="Segoe UI"/>
          <w:color w:val="333333"/>
          <w:kern w:val="0"/>
          <w:sz w:val="24"/>
          <w:shd w:val="clear" w:color="auto" w:fill="FFFFFF"/>
          <w:lang w:bidi="ar"/>
        </w:rPr>
        <w:t>社会治理中心食堂管理</w:t>
      </w:r>
      <w:r>
        <w:rPr>
          <w:rFonts w:ascii="Segoe UI" w:hAnsi="Segoe UI" w:eastAsia="Segoe UI" w:cs="Segoe UI"/>
          <w:color w:val="333333"/>
          <w:kern w:val="0"/>
          <w:sz w:val="24"/>
          <w:shd w:val="clear" w:color="auto" w:fill="FFFFFF"/>
          <w:lang w:bidi="ar"/>
        </w:rPr>
        <w:t>服务</w:t>
      </w:r>
      <w:r>
        <w:rPr>
          <w:rFonts w:hint="eastAsia" w:ascii="Segoe UI" w:hAnsi="Segoe UI" w:eastAsia="Segoe UI" w:cs="Segoe UI"/>
          <w:color w:val="333333"/>
          <w:kern w:val="0"/>
          <w:sz w:val="24"/>
          <w:shd w:val="clear" w:color="auto" w:fill="FFFFFF"/>
          <w:lang w:bidi="ar"/>
        </w:rPr>
        <w:t>项目</w:t>
      </w:r>
      <w:r>
        <w:rPr>
          <w:rFonts w:hint="eastAsia" w:ascii="宋体" w:hAnsi="宋体" w:cs="仿宋"/>
          <w:kern w:val="0"/>
          <w:sz w:val="24"/>
        </w:rPr>
        <w:t>。中标人负责委派管理团队和服务人员，对采购人的食堂进行全面管理，包含</w:t>
      </w:r>
      <w:r>
        <w:rPr>
          <w:rFonts w:hint="eastAsia" w:ascii="宋体" w:hAnsi="宋体"/>
          <w:sz w:val="24"/>
        </w:rPr>
        <w:t>餐饮制作、食谱内容规划、菜肴质量管理、食品卫生管理、食材组织管理、餐厅维护、节能降耗等食堂委托经营服务。</w:t>
      </w:r>
      <w:r>
        <w:rPr>
          <w:rFonts w:hint="eastAsia" w:ascii="宋体" w:hAnsi="宋体" w:cs="仿宋"/>
          <w:sz w:val="24"/>
        </w:rPr>
        <w:t xml:space="preserve"> </w:t>
      </w:r>
    </w:p>
    <w:p w14:paraId="7D526974">
      <w:pPr>
        <w:spacing w:line="360" w:lineRule="auto"/>
        <w:ind w:firstLine="482" w:firstLineChars="200"/>
        <w:rPr>
          <w:rFonts w:ascii="宋体" w:hAnsi="宋体" w:cs="仿宋"/>
          <w:b/>
          <w:bCs/>
          <w:sz w:val="24"/>
        </w:rPr>
      </w:pPr>
      <w:r>
        <w:rPr>
          <w:rFonts w:hint="eastAsia" w:ascii="宋体" w:hAnsi="宋体" w:cs="仿宋"/>
          <w:b/>
          <w:bCs/>
          <w:sz w:val="24"/>
        </w:rPr>
        <w:t>（一）</w:t>
      </w:r>
      <w:r>
        <w:rPr>
          <w:rFonts w:ascii="Segoe UI" w:hAnsi="Segoe UI" w:eastAsia="Segoe UI" w:cs="Segoe UI"/>
          <w:b/>
          <w:bCs/>
          <w:color w:val="333333"/>
          <w:kern w:val="0"/>
          <w:sz w:val="24"/>
          <w:shd w:val="clear" w:color="auto" w:fill="FFFFFF"/>
          <w:lang w:bidi="ar"/>
        </w:rPr>
        <w:t>东西湖区</w:t>
      </w:r>
      <w:r>
        <w:rPr>
          <w:rFonts w:hint="eastAsia" w:ascii="Segoe UI" w:hAnsi="Segoe UI" w:eastAsia="Segoe UI" w:cs="Segoe UI"/>
          <w:b/>
          <w:bCs/>
          <w:color w:val="333333"/>
          <w:kern w:val="0"/>
          <w:sz w:val="24"/>
          <w:shd w:val="clear" w:color="auto" w:fill="FFFFFF"/>
          <w:lang w:bidi="ar"/>
        </w:rPr>
        <w:t>社会治理中心食堂管理</w:t>
      </w:r>
      <w:r>
        <w:rPr>
          <w:rFonts w:ascii="Segoe UI" w:hAnsi="Segoe UI" w:eastAsia="Segoe UI" w:cs="Segoe UI"/>
          <w:b/>
          <w:bCs/>
          <w:color w:val="333333"/>
          <w:kern w:val="0"/>
          <w:sz w:val="24"/>
          <w:shd w:val="clear" w:color="auto" w:fill="FFFFFF"/>
          <w:lang w:bidi="ar"/>
        </w:rPr>
        <w:t>服务</w:t>
      </w:r>
      <w:r>
        <w:rPr>
          <w:rFonts w:hint="eastAsia" w:ascii="Segoe UI" w:hAnsi="Segoe UI" w:eastAsia="Segoe UI" w:cs="Segoe UI"/>
          <w:b/>
          <w:bCs/>
          <w:color w:val="333333"/>
          <w:kern w:val="0"/>
          <w:sz w:val="24"/>
          <w:shd w:val="clear" w:color="auto" w:fill="FFFFFF"/>
          <w:lang w:bidi="ar"/>
        </w:rPr>
        <w:t>项目</w:t>
      </w:r>
    </w:p>
    <w:p w14:paraId="5B1F82D6">
      <w:pPr>
        <w:spacing w:line="360" w:lineRule="auto"/>
        <w:ind w:firstLine="480" w:firstLineChars="200"/>
        <w:rPr>
          <w:rFonts w:ascii="宋体" w:hAnsi="宋体" w:cs="仿宋"/>
          <w:kern w:val="0"/>
          <w:sz w:val="24"/>
        </w:rPr>
      </w:pPr>
      <w:r>
        <w:rPr>
          <w:rFonts w:hint="eastAsia" w:ascii="宋体" w:hAnsi="宋体" w:cs="仿宋"/>
          <w:kern w:val="0"/>
          <w:sz w:val="24"/>
        </w:rPr>
        <w:t>1、就餐人数：早餐约100人，中餐约 100 人。</w:t>
      </w:r>
    </w:p>
    <w:p w14:paraId="73B0E4EB">
      <w:pPr>
        <w:widowControl/>
        <w:spacing w:line="360" w:lineRule="auto"/>
        <w:ind w:firstLine="480" w:firstLineChars="200"/>
        <w:jc w:val="left"/>
        <w:rPr>
          <w:rFonts w:ascii="宋体" w:hAnsi="宋体" w:cs="仿宋"/>
          <w:kern w:val="0"/>
          <w:sz w:val="24"/>
        </w:rPr>
      </w:pPr>
      <w:r>
        <w:rPr>
          <w:rFonts w:hint="eastAsia" w:ascii="宋体" w:hAnsi="宋体" w:cs="仿宋"/>
          <w:kern w:val="0"/>
          <w:sz w:val="24"/>
        </w:rPr>
        <w:t>2、供餐模式：</w:t>
      </w:r>
    </w:p>
    <w:p w14:paraId="7272B0EA">
      <w:pPr>
        <w:widowControl/>
        <w:spacing w:line="360" w:lineRule="auto"/>
        <w:ind w:firstLine="480" w:firstLineChars="200"/>
        <w:rPr>
          <w:rFonts w:ascii="宋体" w:hAnsi="宋体" w:cs="仿宋"/>
          <w:kern w:val="0"/>
          <w:sz w:val="24"/>
        </w:rPr>
      </w:pPr>
      <w:r>
        <w:rPr>
          <w:rFonts w:hint="eastAsia" w:ascii="宋体" w:hAnsi="宋体" w:cs="仿宋"/>
          <w:kern w:val="0"/>
          <w:sz w:val="24"/>
        </w:rPr>
        <w:t>（1）自选工作餐。每工作日提供早、中两餐，周一至周五根据实际需要进行调整食谱。</w:t>
      </w:r>
    </w:p>
    <w:p w14:paraId="495C26BE">
      <w:pPr>
        <w:spacing w:line="360" w:lineRule="auto"/>
        <w:ind w:firstLine="480" w:firstLineChars="200"/>
        <w:rPr>
          <w:rFonts w:ascii="宋体" w:hAnsi="宋体"/>
          <w:b/>
          <w:bCs/>
          <w:sz w:val="24"/>
          <w:szCs w:val="32"/>
        </w:rPr>
      </w:pPr>
      <w:r>
        <w:rPr>
          <w:rFonts w:hint="eastAsia" w:ascii="宋体" w:hAnsi="宋体" w:cs="仿宋"/>
          <w:kern w:val="0"/>
          <w:sz w:val="24"/>
        </w:rPr>
        <w:t xml:space="preserve">(2)供餐品种：早餐需提供蒸、煎、炸、炒、煮、烤等多个品种；午餐供应不少于10个品种。 </w:t>
      </w:r>
    </w:p>
    <w:p w14:paraId="78FF4F58">
      <w:pPr>
        <w:pStyle w:val="15"/>
        <w:widowControl/>
        <w:spacing w:line="360" w:lineRule="auto"/>
        <w:ind w:left="284" w:firstLine="0" w:firstLineChars="0"/>
        <w:jc w:val="left"/>
        <w:rPr>
          <w:sz w:val="30"/>
          <w:szCs w:val="30"/>
          <w:lang w:val="zh-CN"/>
        </w:rPr>
      </w:pPr>
      <w:r>
        <w:rPr>
          <w:rFonts w:ascii="宋体" w:hAnsi="宋体"/>
          <w:b/>
          <w:bCs/>
          <w:sz w:val="24"/>
          <w:szCs w:val="32"/>
        </w:rPr>
        <w:t>注：以上为</w:t>
      </w:r>
      <w:r>
        <w:rPr>
          <w:rFonts w:ascii="Segoe UI" w:hAnsi="Segoe UI" w:eastAsia="Segoe UI" w:cs="Segoe UI"/>
          <w:b/>
          <w:bCs/>
          <w:color w:val="333333"/>
          <w:kern w:val="0"/>
          <w:sz w:val="24"/>
          <w:szCs w:val="24"/>
          <w:shd w:val="clear" w:color="auto" w:fill="FFFFFF"/>
          <w:lang w:bidi="ar"/>
        </w:rPr>
        <w:t>东西湖区</w:t>
      </w:r>
      <w:r>
        <w:rPr>
          <w:rFonts w:hint="eastAsia" w:ascii="Segoe UI" w:hAnsi="Segoe UI" w:eastAsia="Segoe UI" w:cs="Segoe UI"/>
          <w:b/>
          <w:bCs/>
          <w:color w:val="333333"/>
          <w:kern w:val="0"/>
          <w:sz w:val="24"/>
          <w:szCs w:val="24"/>
          <w:shd w:val="clear" w:color="auto" w:fill="FFFFFF"/>
          <w:lang w:bidi="ar"/>
        </w:rPr>
        <w:t>社会治理中心食堂管理</w:t>
      </w:r>
      <w:r>
        <w:rPr>
          <w:rFonts w:ascii="Segoe UI" w:hAnsi="Segoe UI" w:eastAsia="Segoe UI" w:cs="Segoe UI"/>
          <w:b/>
          <w:bCs/>
          <w:color w:val="333333"/>
          <w:kern w:val="0"/>
          <w:sz w:val="24"/>
          <w:szCs w:val="24"/>
          <w:shd w:val="clear" w:color="auto" w:fill="FFFFFF"/>
          <w:lang w:bidi="ar"/>
        </w:rPr>
        <w:t>服务</w:t>
      </w:r>
      <w:r>
        <w:rPr>
          <w:rFonts w:hint="eastAsia" w:ascii="Segoe UI" w:hAnsi="Segoe UI" w:eastAsia="Segoe UI" w:cs="Segoe UI"/>
          <w:b/>
          <w:bCs/>
          <w:color w:val="333333"/>
          <w:kern w:val="0"/>
          <w:sz w:val="24"/>
          <w:szCs w:val="24"/>
          <w:shd w:val="clear" w:color="auto" w:fill="FFFFFF"/>
          <w:lang w:bidi="ar"/>
        </w:rPr>
        <w:t>项目</w:t>
      </w:r>
      <w:r>
        <w:rPr>
          <w:rFonts w:ascii="宋体" w:hAnsi="宋体"/>
          <w:b/>
          <w:bCs/>
          <w:sz w:val="24"/>
          <w:szCs w:val="32"/>
        </w:rPr>
        <w:t>基本情况，如有缺项或变动，以实际情况为准。</w:t>
      </w:r>
    </w:p>
    <w:p w14:paraId="45B9A671">
      <w:pPr>
        <w:pStyle w:val="3"/>
        <w:widowControl/>
        <w:spacing w:before="100" w:after="100" w:line="240" w:lineRule="auto"/>
        <w:ind w:firstLine="602" w:firstLineChars="200"/>
        <w:rPr>
          <w:sz w:val="30"/>
          <w:szCs w:val="30"/>
          <w:lang w:val="zh-CN"/>
        </w:rPr>
      </w:pPr>
      <w:r>
        <w:rPr>
          <w:sz w:val="30"/>
          <w:szCs w:val="30"/>
          <w:lang w:val="zh-CN"/>
        </w:rPr>
        <w:t>二、国家相关行政主管部门颁布的强制标准、规范</w:t>
      </w:r>
    </w:p>
    <w:p w14:paraId="49E88A00">
      <w:pPr>
        <w:widowControl/>
        <w:spacing w:line="360" w:lineRule="auto"/>
        <w:ind w:firstLine="480" w:firstLineChars="200"/>
        <w:jc w:val="left"/>
        <w:rPr>
          <w:sz w:val="30"/>
          <w:szCs w:val="30"/>
        </w:rPr>
      </w:pPr>
      <w:r>
        <w:rPr>
          <w:rFonts w:hint="eastAsia" w:ascii="宋体" w:hAnsi="宋体" w:eastAsia="宋体" w:cs="宋体"/>
          <w:sz w:val="24"/>
          <w:szCs w:val="20"/>
          <w:lang w:val="zh-CN" w:bidi="ar"/>
        </w:rPr>
        <w:t>采购需求内容按照《政府采购法》、《政府采购货物和服务招标投标管理办法》、</w:t>
      </w:r>
      <w:r>
        <w:rPr>
          <w:rFonts w:hint="eastAsia" w:ascii="宋体" w:hAnsi="宋体" w:eastAsia="宋体" w:cs="宋体"/>
          <w:sz w:val="24"/>
          <w:szCs w:val="20"/>
          <w:lang w:bidi="ar"/>
        </w:rPr>
        <w:t>《食品安全法》、《党政机关国内公务接待管理规定》</w:t>
      </w:r>
      <w:r>
        <w:rPr>
          <w:rFonts w:hint="eastAsia" w:ascii="宋体" w:hAnsi="宋体" w:eastAsia="宋体" w:cs="宋体"/>
          <w:sz w:val="24"/>
          <w:szCs w:val="20"/>
          <w:lang w:val="zh-CN" w:bidi="ar"/>
        </w:rPr>
        <w:t>执行</w:t>
      </w:r>
    </w:p>
    <w:p w14:paraId="15312BE8">
      <w:pPr>
        <w:pStyle w:val="3"/>
        <w:widowControl/>
        <w:spacing w:before="100" w:after="100" w:line="240" w:lineRule="auto"/>
        <w:ind w:firstLine="600"/>
        <w:rPr>
          <w:sz w:val="30"/>
          <w:szCs w:val="30"/>
        </w:rPr>
      </w:pPr>
      <w:r>
        <w:rPr>
          <w:rFonts w:hint="eastAsia"/>
          <w:sz w:val="30"/>
          <w:szCs w:val="30"/>
        </w:rPr>
        <w:t>三、</w:t>
      </w:r>
      <w:r>
        <w:rPr>
          <w:sz w:val="30"/>
          <w:szCs w:val="30"/>
          <w:lang w:val="zh-CN"/>
        </w:rPr>
        <w:t>技术、服务要求</w:t>
      </w:r>
    </w:p>
    <w:p w14:paraId="5A410158">
      <w:pPr>
        <w:widowControl/>
        <w:spacing w:line="360" w:lineRule="auto"/>
        <w:ind w:firstLine="480" w:firstLineChars="200"/>
        <w:jc w:val="left"/>
        <w:rPr>
          <w:sz w:val="24"/>
          <w:lang w:val="zh-CN"/>
        </w:rPr>
      </w:pPr>
      <w:r>
        <w:rPr>
          <w:rFonts w:hint="eastAsia" w:ascii="Calibri" w:hAnsi="Calibri" w:eastAsia="宋体" w:cs="宋体"/>
          <w:sz w:val="24"/>
          <w:lang w:val="zh-CN" w:bidi="ar"/>
        </w:rPr>
        <w:t>（一）人员配备及要求</w:t>
      </w:r>
    </w:p>
    <w:tbl>
      <w:tblPr>
        <w:tblStyle w:val="10"/>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7397"/>
      </w:tblGrid>
      <w:tr w14:paraId="1BB0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0" w:type="dxa"/>
            <w:tcBorders>
              <w:top w:val="single" w:color="auto" w:sz="4" w:space="0"/>
              <w:left w:val="single" w:color="auto" w:sz="4" w:space="0"/>
              <w:bottom w:val="single" w:color="auto" w:sz="4" w:space="0"/>
              <w:right w:val="single" w:color="auto" w:sz="4" w:space="0"/>
            </w:tcBorders>
            <w:vAlign w:val="center"/>
          </w:tcPr>
          <w:p w14:paraId="5026FBD0">
            <w:pPr>
              <w:widowControl/>
              <w:spacing w:line="520" w:lineRule="exact"/>
              <w:jc w:val="center"/>
              <w:rPr>
                <w:rFonts w:ascii="宋体" w:hAnsi="宋体" w:eastAsia="宋体" w:cs="宋体"/>
                <w:sz w:val="24"/>
                <w:szCs w:val="20"/>
              </w:rPr>
            </w:pPr>
            <w:r>
              <w:rPr>
                <w:rFonts w:hint="eastAsia" w:ascii="宋体" w:hAnsi="宋体" w:eastAsia="宋体" w:cs="宋体"/>
                <w:sz w:val="24"/>
                <w:szCs w:val="20"/>
                <w:lang w:bidi="ar"/>
              </w:rPr>
              <w:t>岗位人员</w:t>
            </w:r>
          </w:p>
        </w:tc>
        <w:tc>
          <w:tcPr>
            <w:tcW w:w="7397" w:type="dxa"/>
            <w:tcBorders>
              <w:top w:val="single" w:color="auto" w:sz="4" w:space="0"/>
              <w:left w:val="single" w:color="auto" w:sz="4" w:space="0"/>
              <w:bottom w:val="single" w:color="auto" w:sz="4" w:space="0"/>
              <w:right w:val="single" w:color="auto" w:sz="4" w:space="0"/>
            </w:tcBorders>
            <w:vAlign w:val="center"/>
          </w:tcPr>
          <w:p w14:paraId="71D17D26">
            <w:pPr>
              <w:widowControl/>
              <w:spacing w:line="520" w:lineRule="exact"/>
              <w:jc w:val="center"/>
              <w:rPr>
                <w:rFonts w:ascii="宋体" w:hAnsi="宋体" w:eastAsia="宋体" w:cs="宋体"/>
                <w:sz w:val="24"/>
                <w:szCs w:val="20"/>
              </w:rPr>
            </w:pPr>
            <w:r>
              <w:rPr>
                <w:rFonts w:hint="eastAsia" w:ascii="宋体" w:hAnsi="宋体" w:eastAsia="宋体" w:cs="宋体"/>
                <w:sz w:val="24"/>
                <w:szCs w:val="20"/>
                <w:lang w:bidi="ar"/>
              </w:rPr>
              <w:t>技术服务要求</w:t>
            </w:r>
          </w:p>
        </w:tc>
      </w:tr>
      <w:tr w14:paraId="15A6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tcBorders>
              <w:top w:val="single" w:color="auto" w:sz="4" w:space="0"/>
              <w:left w:val="single" w:color="auto" w:sz="4" w:space="0"/>
              <w:bottom w:val="single" w:color="auto" w:sz="4" w:space="0"/>
              <w:right w:val="single" w:color="auto" w:sz="4" w:space="0"/>
            </w:tcBorders>
            <w:vAlign w:val="center"/>
          </w:tcPr>
          <w:p w14:paraId="1B864861">
            <w:pPr>
              <w:widowControl/>
              <w:spacing w:line="520" w:lineRule="exact"/>
              <w:jc w:val="center"/>
              <w:rPr>
                <w:rFonts w:ascii="宋体" w:hAnsi="宋体" w:eastAsia="宋体" w:cs="宋体"/>
                <w:sz w:val="24"/>
                <w:szCs w:val="20"/>
              </w:rPr>
            </w:pPr>
            <w:r>
              <w:rPr>
                <w:rFonts w:hint="eastAsia" w:ascii="宋体" w:hAnsi="宋体" w:eastAsia="宋体" w:cs="宋体"/>
                <w:sz w:val="24"/>
                <w:szCs w:val="20"/>
                <w:lang w:bidi="ar"/>
              </w:rPr>
              <w:t>服务人员</w:t>
            </w:r>
          </w:p>
        </w:tc>
        <w:tc>
          <w:tcPr>
            <w:tcW w:w="7397" w:type="dxa"/>
            <w:tcBorders>
              <w:top w:val="single" w:color="auto" w:sz="4" w:space="0"/>
              <w:left w:val="single" w:color="auto" w:sz="4" w:space="0"/>
              <w:bottom w:val="single" w:color="auto" w:sz="4" w:space="0"/>
              <w:right w:val="single" w:color="auto" w:sz="4" w:space="0"/>
            </w:tcBorders>
          </w:tcPr>
          <w:p w14:paraId="1DEA0AFF">
            <w:pPr>
              <w:spacing w:line="440" w:lineRule="exact"/>
              <w:jc w:val="left"/>
              <w:rPr>
                <w:rFonts w:ascii="Calibri" w:hAnsi="Calibri" w:eastAsia="宋体" w:cs="宋体"/>
                <w:sz w:val="24"/>
                <w:lang w:bidi="ar"/>
              </w:rPr>
            </w:pPr>
            <w:r>
              <w:rPr>
                <w:rFonts w:hint="eastAsia" w:ascii="Calibri" w:hAnsi="Calibri" w:eastAsia="宋体" w:cs="宋体"/>
                <w:sz w:val="24"/>
                <w:lang w:bidi="ar"/>
              </w:rPr>
              <w:t>★（</w:t>
            </w:r>
            <w:r>
              <w:rPr>
                <w:rFonts w:ascii="Calibri" w:hAnsi="Calibri" w:eastAsia="宋体" w:cs="Times New Roman"/>
                <w:sz w:val="24"/>
                <w:lang w:bidi="ar"/>
              </w:rPr>
              <w:t>1</w:t>
            </w:r>
            <w:r>
              <w:rPr>
                <w:rFonts w:hint="eastAsia" w:ascii="Calibri" w:hAnsi="Calibri" w:eastAsia="宋体" w:cs="宋体"/>
                <w:sz w:val="24"/>
                <w:lang w:bidi="ar"/>
              </w:rPr>
              <w:t>）人员配置总人数不少于</w:t>
            </w:r>
            <w:r>
              <w:rPr>
                <w:rFonts w:hint="eastAsia" w:ascii="Calibri" w:hAnsi="Calibri" w:eastAsia="宋体" w:cs="Times New Roman"/>
                <w:sz w:val="24"/>
                <w:lang w:bidi="ar"/>
              </w:rPr>
              <w:t>6</w:t>
            </w:r>
            <w:r>
              <w:rPr>
                <w:rFonts w:hint="eastAsia" w:ascii="Calibri" w:hAnsi="Calibri" w:eastAsia="宋体" w:cs="宋体"/>
                <w:sz w:val="24"/>
                <w:lang w:bidi="ar"/>
              </w:rPr>
              <w:t>人。</w:t>
            </w:r>
          </w:p>
          <w:p w14:paraId="43AF66E3">
            <w:pPr>
              <w:spacing w:line="440" w:lineRule="exact"/>
              <w:jc w:val="left"/>
              <w:rPr>
                <w:rFonts w:ascii="Calibri" w:hAnsi="Calibri" w:eastAsia="宋体" w:cs="宋体"/>
                <w:sz w:val="24"/>
                <w:lang w:bidi="ar"/>
              </w:rPr>
            </w:pPr>
            <w:r>
              <w:rPr>
                <w:rFonts w:hint="eastAsia" w:ascii="Calibri" w:hAnsi="Calibri" w:eastAsia="宋体" w:cs="宋体"/>
                <w:sz w:val="24"/>
                <w:lang w:bidi="ar"/>
              </w:rPr>
              <w:t>★（</w:t>
            </w:r>
            <w:r>
              <w:rPr>
                <w:rFonts w:ascii="Calibri" w:hAnsi="Calibri" w:eastAsia="宋体" w:cs="Times New Roman"/>
                <w:sz w:val="24"/>
                <w:lang w:bidi="ar"/>
              </w:rPr>
              <w:t>2</w:t>
            </w:r>
            <w:r>
              <w:rPr>
                <w:rFonts w:hint="eastAsia" w:ascii="Calibri" w:hAnsi="Calibri" w:eastAsia="宋体" w:cs="宋体"/>
                <w:sz w:val="24"/>
                <w:lang w:bidi="ar"/>
              </w:rPr>
              <w:t>）人员配置分布：</w:t>
            </w:r>
          </w:p>
          <w:p w14:paraId="78A81FED">
            <w:pPr>
              <w:spacing w:line="440" w:lineRule="exact"/>
              <w:ind w:firstLine="482" w:firstLineChars="200"/>
              <w:jc w:val="left"/>
              <w:rPr>
                <w:rFonts w:ascii="宋体" w:hAnsi="宋体" w:eastAsia="宋体" w:cs="宋体"/>
                <w:sz w:val="24"/>
              </w:rPr>
            </w:pPr>
            <w:r>
              <w:rPr>
                <w:rFonts w:hint="eastAsia" w:ascii="Calibri" w:hAnsi="Calibri" w:eastAsia="宋体" w:cs="宋体"/>
                <w:b/>
                <w:bCs/>
                <w:sz w:val="24"/>
                <w:lang w:bidi="ar"/>
              </w:rPr>
              <w:t>食堂6人：</w:t>
            </w:r>
            <w:r>
              <w:rPr>
                <w:rFonts w:hint="eastAsia" w:ascii="宋体" w:hAnsi="宋体" w:eastAsia="宋体" w:cs="宋体"/>
                <w:sz w:val="24"/>
              </w:rPr>
              <w:t>总厨1人、红案厨师1人、白案厨师1人、服务员1人、红案帮工2人；</w:t>
            </w:r>
          </w:p>
          <w:p w14:paraId="5C885322">
            <w:pPr>
              <w:spacing w:line="440" w:lineRule="exact"/>
              <w:ind w:firstLine="240" w:firstLineChars="100"/>
              <w:jc w:val="left"/>
              <w:rPr>
                <w:sz w:val="24"/>
              </w:rPr>
            </w:pPr>
            <w:r>
              <w:rPr>
                <w:rFonts w:hint="eastAsia" w:ascii="Calibri" w:hAnsi="Calibri" w:eastAsia="宋体" w:cs="宋体"/>
                <w:sz w:val="24"/>
                <w:lang w:bidi="ar"/>
              </w:rPr>
              <w:t>（</w:t>
            </w:r>
            <w:r>
              <w:rPr>
                <w:rFonts w:ascii="Calibri" w:hAnsi="Calibri" w:eastAsia="宋体" w:cs="Times New Roman"/>
                <w:sz w:val="24"/>
                <w:lang w:bidi="ar"/>
              </w:rPr>
              <w:t>3</w:t>
            </w:r>
            <w:r>
              <w:rPr>
                <w:rFonts w:hint="eastAsia" w:ascii="Calibri" w:hAnsi="Calibri" w:eastAsia="宋体" w:cs="宋体"/>
                <w:sz w:val="24"/>
                <w:lang w:bidi="ar"/>
              </w:rPr>
              <w:t>）食堂管理人员应具备一定的专业知识、较强的管理能力和协调能力。</w:t>
            </w:r>
          </w:p>
          <w:p w14:paraId="3BE77648">
            <w:pPr>
              <w:spacing w:line="440" w:lineRule="exact"/>
              <w:ind w:firstLine="240" w:firstLineChars="100"/>
              <w:jc w:val="left"/>
              <w:rPr>
                <w:sz w:val="24"/>
              </w:rPr>
            </w:pPr>
            <w:r>
              <w:rPr>
                <w:rFonts w:hint="eastAsia" w:ascii="Calibri" w:hAnsi="Calibri" w:eastAsia="宋体" w:cs="宋体"/>
                <w:sz w:val="24"/>
                <w:lang w:bidi="ar"/>
              </w:rPr>
              <w:t>（</w:t>
            </w:r>
            <w:r>
              <w:rPr>
                <w:rFonts w:ascii="Calibri" w:hAnsi="Calibri" w:eastAsia="宋体" w:cs="Times New Roman"/>
                <w:sz w:val="24"/>
                <w:lang w:bidi="ar"/>
              </w:rPr>
              <w:t>4</w:t>
            </w:r>
            <w:r>
              <w:rPr>
                <w:rFonts w:hint="eastAsia" w:ascii="Calibri" w:hAnsi="Calibri" w:eastAsia="宋体" w:cs="宋体"/>
                <w:sz w:val="24"/>
                <w:lang w:bidi="ar"/>
              </w:rPr>
              <w:t>）人员注重业务素质及思想品质方面要求，所有服务人员必须签订保密协议。</w:t>
            </w:r>
          </w:p>
          <w:p w14:paraId="2109532B">
            <w:pPr>
              <w:spacing w:line="440" w:lineRule="exact"/>
              <w:ind w:firstLine="240" w:firstLineChars="100"/>
              <w:jc w:val="left"/>
              <w:rPr>
                <w:sz w:val="24"/>
              </w:rPr>
            </w:pPr>
            <w:r>
              <w:rPr>
                <w:rFonts w:hint="eastAsia" w:ascii="Calibri" w:hAnsi="Calibri" w:eastAsia="宋体" w:cs="宋体"/>
                <w:sz w:val="24"/>
                <w:lang w:bidi="ar"/>
              </w:rPr>
              <w:t>（</w:t>
            </w:r>
            <w:r>
              <w:rPr>
                <w:rFonts w:ascii="Calibri" w:hAnsi="Calibri" w:eastAsia="宋体" w:cs="Times New Roman"/>
                <w:sz w:val="24"/>
                <w:lang w:bidi="ar"/>
              </w:rPr>
              <w:t>5</w:t>
            </w:r>
            <w:r>
              <w:rPr>
                <w:rFonts w:hint="eastAsia" w:ascii="Calibri" w:hAnsi="Calibri" w:eastAsia="宋体" w:cs="宋体"/>
                <w:sz w:val="24"/>
                <w:lang w:bidi="ar"/>
              </w:rPr>
              <w:t>）所有食堂服务人员一律着职业装、实行挂牌服务。</w:t>
            </w:r>
          </w:p>
          <w:p w14:paraId="1F0ACD5D">
            <w:pPr>
              <w:spacing w:line="440" w:lineRule="exact"/>
              <w:ind w:firstLine="240" w:firstLineChars="100"/>
              <w:jc w:val="left"/>
              <w:rPr>
                <w:rFonts w:ascii="Calibri" w:hAnsi="Calibri" w:eastAsia="宋体" w:cs="宋体"/>
                <w:sz w:val="24"/>
                <w:lang w:bidi="ar"/>
              </w:rPr>
            </w:pPr>
            <w:r>
              <w:rPr>
                <w:rFonts w:hint="eastAsia" w:ascii="Calibri" w:hAnsi="Calibri" w:eastAsia="宋体" w:cs="宋体"/>
                <w:sz w:val="24"/>
                <w:lang w:bidi="ar"/>
              </w:rPr>
              <w:t>（</w:t>
            </w:r>
            <w:r>
              <w:rPr>
                <w:rFonts w:ascii="Calibri" w:hAnsi="Calibri" w:eastAsia="宋体" w:cs="Times New Roman"/>
                <w:sz w:val="24"/>
                <w:lang w:bidi="ar"/>
              </w:rPr>
              <w:t>6</w:t>
            </w:r>
            <w:r>
              <w:rPr>
                <w:rFonts w:hint="eastAsia" w:ascii="Calibri" w:hAnsi="Calibri" w:eastAsia="宋体" w:cs="宋体"/>
                <w:sz w:val="24"/>
                <w:lang w:bidi="ar"/>
              </w:rPr>
              <w:t>）拟派驻所有服务人员遵纪守法，保密意识强，并提供拟派驻所有服务人员无违法犯罪记录的承诺书。</w:t>
            </w:r>
          </w:p>
          <w:p w14:paraId="15FB9E0E">
            <w:pPr>
              <w:spacing w:line="440" w:lineRule="exact"/>
              <w:ind w:firstLine="240" w:firstLineChars="100"/>
              <w:jc w:val="left"/>
            </w:pPr>
            <w:r>
              <w:rPr>
                <w:rFonts w:ascii="Calibri" w:hAnsi="Calibri"/>
                <w:bCs/>
                <w:sz w:val="24"/>
              </w:rPr>
              <w:t>（</w:t>
            </w:r>
            <w:r>
              <w:rPr>
                <w:rFonts w:ascii="Calibri" w:hAnsi="Calibri" w:cs="Times New Roman"/>
                <w:bCs/>
                <w:sz w:val="24"/>
              </w:rPr>
              <w:t>7</w:t>
            </w:r>
            <w:r>
              <w:rPr>
                <w:rFonts w:ascii="Calibri" w:hAnsi="Calibri"/>
                <w:bCs/>
                <w:sz w:val="24"/>
              </w:rPr>
              <w:t>）所有拟投入本项目的服务人员身体健康（健康证）。</w:t>
            </w:r>
          </w:p>
        </w:tc>
      </w:tr>
      <w:tr w14:paraId="3752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tcBorders>
              <w:top w:val="single" w:color="auto" w:sz="4" w:space="0"/>
              <w:left w:val="single" w:color="auto" w:sz="4" w:space="0"/>
              <w:bottom w:val="single" w:color="auto" w:sz="4" w:space="0"/>
              <w:right w:val="single" w:color="auto" w:sz="4" w:space="0"/>
            </w:tcBorders>
            <w:vAlign w:val="center"/>
          </w:tcPr>
          <w:p w14:paraId="3976E557">
            <w:pPr>
              <w:widowControl/>
              <w:spacing w:line="360" w:lineRule="auto"/>
              <w:jc w:val="center"/>
              <w:rPr>
                <w:rFonts w:ascii="宋体" w:hAnsi="宋体" w:eastAsia="宋体" w:cs="宋体"/>
                <w:kern w:val="0"/>
                <w:sz w:val="24"/>
              </w:rPr>
            </w:pPr>
            <w:r>
              <w:rPr>
                <w:rFonts w:hint="eastAsia" w:ascii="宋体" w:hAnsi="宋体" w:eastAsia="宋体" w:cs="宋体"/>
                <w:kern w:val="0"/>
                <w:sz w:val="24"/>
              </w:rPr>
              <w:t>总 厨</w:t>
            </w:r>
          </w:p>
        </w:tc>
        <w:tc>
          <w:tcPr>
            <w:tcW w:w="7397" w:type="dxa"/>
            <w:tcBorders>
              <w:top w:val="single" w:color="auto" w:sz="4" w:space="0"/>
              <w:left w:val="single" w:color="auto" w:sz="4" w:space="0"/>
              <w:bottom w:val="single" w:color="auto" w:sz="4" w:space="0"/>
              <w:right w:val="single" w:color="auto" w:sz="4" w:space="0"/>
            </w:tcBorders>
            <w:vAlign w:val="center"/>
          </w:tcPr>
          <w:p w14:paraId="76488820">
            <w:pPr>
              <w:widowControl/>
              <w:spacing w:line="440" w:lineRule="exact"/>
              <w:rPr>
                <w:rFonts w:ascii="宋体" w:hAnsi="宋体" w:eastAsia="宋体" w:cs="宋体"/>
                <w:kern w:val="0"/>
                <w:sz w:val="24"/>
              </w:rPr>
            </w:pPr>
            <w:r>
              <w:rPr>
                <w:rFonts w:hint="eastAsia" w:ascii="宋体" w:hAnsi="宋体" w:eastAsia="宋体" w:cs="宋体"/>
                <w:kern w:val="0"/>
                <w:sz w:val="24"/>
              </w:rPr>
              <w:t>男性，具有中式烹调师高级</w:t>
            </w:r>
            <w:r>
              <w:rPr>
                <w:rFonts w:hint="eastAsia" w:ascii="宋体" w:hAnsi="宋体" w:cs="宋体"/>
                <w:kern w:val="0"/>
                <w:sz w:val="24"/>
              </w:rPr>
              <w:t>及以上</w:t>
            </w:r>
            <w:r>
              <w:rPr>
                <w:rFonts w:hint="eastAsia" w:ascii="宋体" w:hAnsi="宋体" w:eastAsia="宋体" w:cs="宋体"/>
                <w:kern w:val="0"/>
                <w:sz w:val="24"/>
              </w:rPr>
              <w:t>技师职称，有5年（含）以上相关工作经历，年龄55周岁及以下。</w:t>
            </w:r>
          </w:p>
        </w:tc>
      </w:tr>
      <w:tr w14:paraId="1621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tcBorders>
              <w:top w:val="single" w:color="auto" w:sz="4" w:space="0"/>
              <w:left w:val="single" w:color="auto" w:sz="4" w:space="0"/>
              <w:bottom w:val="single" w:color="auto" w:sz="4" w:space="0"/>
              <w:right w:val="single" w:color="auto" w:sz="4" w:space="0"/>
            </w:tcBorders>
            <w:vAlign w:val="center"/>
          </w:tcPr>
          <w:p w14:paraId="6B473CCF">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红案厨师</w:t>
            </w:r>
          </w:p>
        </w:tc>
        <w:tc>
          <w:tcPr>
            <w:tcW w:w="7397" w:type="dxa"/>
            <w:tcBorders>
              <w:top w:val="single" w:color="auto" w:sz="4" w:space="0"/>
              <w:left w:val="single" w:color="auto" w:sz="4" w:space="0"/>
              <w:bottom w:val="single" w:color="auto" w:sz="4" w:space="0"/>
              <w:right w:val="single" w:color="auto" w:sz="4" w:space="0"/>
            </w:tcBorders>
            <w:vAlign w:val="center"/>
          </w:tcPr>
          <w:p w14:paraId="6E382D9B">
            <w:pPr>
              <w:widowControl/>
              <w:spacing w:line="440" w:lineRule="exact"/>
              <w:rPr>
                <w:rFonts w:ascii="宋体" w:hAnsi="宋体" w:eastAsia="宋体" w:cs="宋体"/>
                <w:kern w:val="0"/>
                <w:sz w:val="24"/>
              </w:rPr>
            </w:pPr>
            <w:r>
              <w:rPr>
                <w:rFonts w:hint="eastAsia" w:ascii="宋体" w:hAnsi="宋体" w:eastAsia="宋体" w:cs="宋体"/>
                <w:kern w:val="0"/>
                <w:sz w:val="24"/>
              </w:rPr>
              <w:t>投标人拟派红案厨师均须具有中式烹调师中级及以上职称；须具有3年（含）以上相关工作经历；年龄50周岁及以下。</w:t>
            </w:r>
          </w:p>
        </w:tc>
      </w:tr>
      <w:tr w14:paraId="30EC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tcBorders>
              <w:top w:val="single" w:color="auto" w:sz="4" w:space="0"/>
              <w:left w:val="single" w:color="auto" w:sz="4" w:space="0"/>
              <w:bottom w:val="single" w:color="auto" w:sz="4" w:space="0"/>
              <w:right w:val="single" w:color="auto" w:sz="4" w:space="0"/>
            </w:tcBorders>
            <w:vAlign w:val="center"/>
          </w:tcPr>
          <w:p w14:paraId="35FE96ED">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白案厨师</w:t>
            </w:r>
          </w:p>
        </w:tc>
        <w:tc>
          <w:tcPr>
            <w:tcW w:w="7397" w:type="dxa"/>
            <w:tcBorders>
              <w:top w:val="single" w:color="auto" w:sz="4" w:space="0"/>
              <w:left w:val="single" w:color="auto" w:sz="4" w:space="0"/>
              <w:bottom w:val="single" w:color="auto" w:sz="4" w:space="0"/>
              <w:right w:val="single" w:color="auto" w:sz="4" w:space="0"/>
            </w:tcBorders>
            <w:vAlign w:val="center"/>
          </w:tcPr>
          <w:p w14:paraId="10B4BDAD">
            <w:pPr>
              <w:widowControl/>
              <w:spacing w:line="440" w:lineRule="exact"/>
              <w:rPr>
                <w:rFonts w:ascii="宋体" w:hAnsi="宋体" w:eastAsia="宋体" w:cs="宋体"/>
                <w:kern w:val="0"/>
                <w:sz w:val="24"/>
              </w:rPr>
            </w:pPr>
            <w:r>
              <w:rPr>
                <w:rFonts w:hint="eastAsia" w:ascii="宋体" w:hAnsi="宋体" w:eastAsia="宋体" w:cs="宋体"/>
                <w:kern w:val="0"/>
                <w:sz w:val="24"/>
              </w:rPr>
              <w:t>投标人拟派白案厨师均须具有中式面点师中级及以上职称</w:t>
            </w:r>
            <w:r>
              <w:rPr>
                <w:rFonts w:hint="eastAsia" w:ascii="宋体" w:hAnsi="宋体" w:cs="宋体"/>
                <w:kern w:val="0"/>
                <w:sz w:val="24"/>
              </w:rPr>
              <w:t>；</w:t>
            </w:r>
            <w:r>
              <w:rPr>
                <w:rFonts w:hint="eastAsia" w:ascii="宋体" w:hAnsi="宋体" w:eastAsia="宋体" w:cs="宋体"/>
                <w:kern w:val="0"/>
                <w:sz w:val="24"/>
              </w:rPr>
              <w:t>须具有3年（含）以上相关工作经历；年龄50周岁及以下。</w:t>
            </w:r>
          </w:p>
        </w:tc>
      </w:tr>
      <w:tr w14:paraId="01D4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tcBorders>
              <w:top w:val="single" w:color="auto" w:sz="4" w:space="0"/>
              <w:left w:val="single" w:color="auto" w:sz="4" w:space="0"/>
              <w:bottom w:val="single" w:color="auto" w:sz="4" w:space="0"/>
              <w:right w:val="single" w:color="auto" w:sz="4" w:space="0"/>
            </w:tcBorders>
            <w:vAlign w:val="center"/>
          </w:tcPr>
          <w:p w14:paraId="0623BF4A">
            <w:pPr>
              <w:widowControl/>
              <w:spacing w:line="360" w:lineRule="auto"/>
              <w:jc w:val="center"/>
              <w:rPr>
                <w:rFonts w:ascii="宋体" w:hAnsi="宋体" w:eastAsia="宋体" w:cs="宋体"/>
                <w:color w:val="000000"/>
                <w:kern w:val="0"/>
                <w:sz w:val="24"/>
              </w:rPr>
            </w:pPr>
            <w:r>
              <w:rPr>
                <w:rFonts w:hint="eastAsia" w:ascii="宋体" w:hAnsi="宋体" w:eastAsia="宋体" w:cs="宋体"/>
                <w:kern w:val="0"/>
                <w:sz w:val="24"/>
              </w:rPr>
              <w:t>服务员</w:t>
            </w:r>
          </w:p>
        </w:tc>
        <w:tc>
          <w:tcPr>
            <w:tcW w:w="7397" w:type="dxa"/>
            <w:tcBorders>
              <w:top w:val="single" w:color="auto" w:sz="4" w:space="0"/>
              <w:left w:val="single" w:color="auto" w:sz="4" w:space="0"/>
              <w:bottom w:val="single" w:color="auto" w:sz="4" w:space="0"/>
              <w:right w:val="single" w:color="auto" w:sz="4" w:space="0"/>
            </w:tcBorders>
            <w:vAlign w:val="center"/>
          </w:tcPr>
          <w:p w14:paraId="5A1A2661">
            <w:pPr>
              <w:widowControl/>
              <w:spacing w:line="440" w:lineRule="exact"/>
              <w:jc w:val="left"/>
              <w:rPr>
                <w:rFonts w:ascii="宋体" w:hAnsi="宋体" w:eastAsia="宋体" w:cs="宋体"/>
                <w:kern w:val="0"/>
                <w:sz w:val="24"/>
              </w:rPr>
            </w:pPr>
            <w:r>
              <w:rPr>
                <w:rFonts w:hint="eastAsia" w:ascii="宋体" w:hAnsi="宋体" w:eastAsia="宋体" w:cs="宋体"/>
                <w:kern w:val="0"/>
                <w:sz w:val="24"/>
              </w:rPr>
              <w:t>高中及以上学历，身高160cm及以上，女性，年龄35周岁及以下，</w:t>
            </w:r>
            <w:r>
              <w:rPr>
                <w:rFonts w:hint="eastAsia" w:ascii="宋体" w:hAnsi="宋体" w:eastAsia="宋体" w:cs="宋体"/>
                <w:sz w:val="24"/>
                <w:szCs w:val="20"/>
                <w:lang w:bidi="ar"/>
              </w:rPr>
              <w:t>形象及精神面貌好，身体健康，形象气质佳，</w:t>
            </w:r>
            <w:r>
              <w:rPr>
                <w:rFonts w:hint="eastAsia" w:ascii="宋体" w:hAnsi="宋体" w:eastAsia="宋体" w:cs="宋体"/>
                <w:kern w:val="0"/>
                <w:sz w:val="24"/>
              </w:rPr>
              <w:t>曾有类似工作经验。</w:t>
            </w:r>
          </w:p>
        </w:tc>
      </w:tr>
      <w:tr w14:paraId="784D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tcBorders>
              <w:top w:val="single" w:color="auto" w:sz="4" w:space="0"/>
              <w:left w:val="single" w:color="auto" w:sz="4" w:space="0"/>
              <w:bottom w:val="single" w:color="auto" w:sz="4" w:space="0"/>
              <w:right w:val="single" w:color="auto" w:sz="4" w:space="0"/>
            </w:tcBorders>
            <w:vAlign w:val="center"/>
          </w:tcPr>
          <w:p w14:paraId="50FA3262">
            <w:pPr>
              <w:widowControl/>
              <w:spacing w:line="360" w:lineRule="auto"/>
              <w:jc w:val="center"/>
              <w:rPr>
                <w:rFonts w:ascii="宋体" w:hAnsi="宋体" w:eastAsia="宋体" w:cs="宋体"/>
                <w:kern w:val="0"/>
                <w:sz w:val="24"/>
              </w:rPr>
            </w:pPr>
            <w:r>
              <w:rPr>
                <w:rFonts w:hint="eastAsia" w:ascii="宋体" w:hAnsi="宋体" w:eastAsia="宋体" w:cs="宋体"/>
                <w:kern w:val="0"/>
                <w:sz w:val="24"/>
              </w:rPr>
              <w:t>红案帮工</w:t>
            </w:r>
          </w:p>
        </w:tc>
        <w:tc>
          <w:tcPr>
            <w:tcW w:w="7397" w:type="dxa"/>
            <w:tcBorders>
              <w:top w:val="single" w:color="auto" w:sz="4" w:space="0"/>
              <w:left w:val="single" w:color="auto" w:sz="4" w:space="0"/>
              <w:bottom w:val="single" w:color="auto" w:sz="4" w:space="0"/>
              <w:right w:val="single" w:color="auto" w:sz="4" w:space="0"/>
            </w:tcBorders>
            <w:vAlign w:val="center"/>
          </w:tcPr>
          <w:p w14:paraId="1E97333F">
            <w:pPr>
              <w:widowControl/>
              <w:spacing w:line="440" w:lineRule="exact"/>
              <w:jc w:val="left"/>
              <w:rPr>
                <w:rFonts w:ascii="宋体" w:hAnsi="宋体" w:eastAsia="宋体" w:cs="宋体"/>
                <w:kern w:val="0"/>
                <w:sz w:val="24"/>
              </w:rPr>
            </w:pPr>
            <w:r>
              <w:rPr>
                <w:rFonts w:hint="eastAsia" w:ascii="宋体" w:hAnsi="宋体" w:eastAsia="宋体" w:cs="宋体"/>
                <w:kern w:val="0"/>
                <w:sz w:val="24"/>
              </w:rPr>
              <w:t>性别不限，年龄45周岁及以下，曾有类似工作经验。</w:t>
            </w:r>
          </w:p>
        </w:tc>
      </w:tr>
    </w:tbl>
    <w:p w14:paraId="52045486">
      <w:pPr>
        <w:pStyle w:val="15"/>
        <w:widowControl/>
        <w:spacing w:line="360" w:lineRule="auto"/>
        <w:ind w:firstLine="643"/>
        <w:jc w:val="left"/>
        <w:rPr>
          <w:rFonts w:ascii="宋体" w:hAnsi="宋体" w:cs="宋体"/>
          <w:b/>
          <w:bCs/>
          <w:sz w:val="32"/>
          <w:szCs w:val="32"/>
        </w:rPr>
      </w:pPr>
    </w:p>
    <w:p w14:paraId="7EE57DC2">
      <w:pPr>
        <w:pStyle w:val="15"/>
        <w:widowControl/>
        <w:spacing w:line="360" w:lineRule="auto"/>
        <w:ind w:firstLine="241" w:firstLineChars="100"/>
        <w:jc w:val="left"/>
        <w:rPr>
          <w:rFonts w:ascii="宋体" w:hAnsi="宋体" w:cs="宋体"/>
          <w:b/>
          <w:bCs/>
          <w:sz w:val="24"/>
          <w:szCs w:val="24"/>
        </w:rPr>
      </w:pPr>
      <w:r>
        <w:rPr>
          <w:rFonts w:hint="eastAsia" w:ascii="宋体" w:hAnsi="宋体" w:cs="宋体"/>
          <w:b/>
          <w:bCs/>
          <w:sz w:val="24"/>
          <w:szCs w:val="24"/>
        </w:rPr>
        <w:t>（二）食堂托管服务范围</w:t>
      </w:r>
    </w:p>
    <w:p w14:paraId="350CBDA7">
      <w:pPr>
        <w:snapToGrid w:val="0"/>
        <w:spacing w:line="440" w:lineRule="exact"/>
        <w:ind w:firstLine="480" w:firstLineChars="200"/>
        <w:rPr>
          <w:rFonts w:ascii="宋体" w:hAnsi="宋体" w:cs="宋体"/>
          <w:sz w:val="24"/>
        </w:rPr>
      </w:pPr>
      <w:r>
        <w:rPr>
          <w:rFonts w:hint="eastAsia" w:ascii="宋体" w:hAnsi="宋体" w:cs="宋体"/>
          <w:sz w:val="24"/>
        </w:rPr>
        <w:t>中标人负责委派管理团队和服务人员，对采购人的食堂进行全面管理，包含：</w:t>
      </w:r>
    </w:p>
    <w:p w14:paraId="2719F581">
      <w:pPr>
        <w:snapToGrid w:val="0"/>
        <w:spacing w:line="440" w:lineRule="exact"/>
        <w:ind w:firstLine="480" w:firstLineChars="200"/>
        <w:rPr>
          <w:rFonts w:ascii="宋体" w:hAnsi="宋体" w:cs="宋体"/>
          <w:sz w:val="24"/>
        </w:rPr>
      </w:pPr>
      <w:r>
        <w:rPr>
          <w:rFonts w:hint="eastAsia" w:ascii="宋体" w:hAnsi="宋体" w:cs="宋体"/>
          <w:sz w:val="24"/>
        </w:rPr>
        <w:t>1、自选工作餐</w:t>
      </w:r>
      <w:r>
        <w:rPr>
          <w:rFonts w:ascii="宋体" w:hAnsi="宋体" w:cs="宋体"/>
          <w:sz w:val="24"/>
        </w:rPr>
        <w:t>。</w:t>
      </w:r>
      <w:r>
        <w:rPr>
          <w:rFonts w:hint="eastAsia" w:ascii="宋体" w:hAnsi="宋体" w:cs="宋体"/>
          <w:sz w:val="24"/>
        </w:rPr>
        <w:t>每工作日提供早、中两餐，周一至周五根据实际需要进行制定</w:t>
      </w:r>
      <w:r>
        <w:rPr>
          <w:rFonts w:ascii="宋体" w:hAnsi="宋体" w:cs="宋体"/>
          <w:sz w:val="24"/>
        </w:rPr>
        <w:t>和</w:t>
      </w:r>
      <w:r>
        <w:rPr>
          <w:rFonts w:hint="eastAsia" w:ascii="宋体" w:hAnsi="宋体" w:cs="宋体"/>
          <w:sz w:val="24"/>
        </w:rPr>
        <w:t>调整食谱。用餐实行刷卡消费，一菜一价。</w:t>
      </w:r>
    </w:p>
    <w:p w14:paraId="728348D8">
      <w:pPr>
        <w:snapToGrid w:val="0"/>
        <w:spacing w:line="440" w:lineRule="exact"/>
        <w:ind w:firstLine="480" w:firstLineChars="200"/>
        <w:rPr>
          <w:rFonts w:ascii="宋体" w:hAnsi="宋体" w:cs="宋体"/>
          <w:sz w:val="24"/>
        </w:rPr>
      </w:pPr>
      <w:r>
        <w:rPr>
          <w:rFonts w:hint="eastAsia" w:ascii="宋体" w:hAnsi="宋体" w:cs="宋体"/>
          <w:sz w:val="24"/>
        </w:rPr>
        <w:t>2、食材配送与管理。中标人负责食材配送和服务，配送的食材必须符合国家食品安全有关规定，食材费用以每月消费量结算。</w:t>
      </w:r>
    </w:p>
    <w:p w14:paraId="277BED6E">
      <w:pPr>
        <w:snapToGrid w:val="0"/>
        <w:spacing w:line="440" w:lineRule="exact"/>
        <w:ind w:firstLine="480" w:firstLineChars="200"/>
        <w:rPr>
          <w:rFonts w:ascii="宋体" w:hAnsi="宋体" w:cs="宋体"/>
          <w:sz w:val="24"/>
        </w:rPr>
      </w:pPr>
      <w:r>
        <w:rPr>
          <w:rFonts w:hint="eastAsia" w:ascii="宋体" w:hAnsi="宋体" w:cs="宋体"/>
          <w:sz w:val="24"/>
        </w:rPr>
        <w:t>3、</w:t>
      </w:r>
      <w:bookmarkStart w:id="16" w:name="OLE_LINK11"/>
      <w:r>
        <w:rPr>
          <w:rFonts w:hint="eastAsia" w:ascii="宋体" w:hAnsi="宋体" w:cs="宋体"/>
          <w:sz w:val="24"/>
        </w:rPr>
        <w:t>中、小型活动、会议及突发性公共事件用餐</w:t>
      </w:r>
      <w:bookmarkEnd w:id="16"/>
      <w:r>
        <w:rPr>
          <w:rFonts w:hint="eastAsia" w:ascii="宋体" w:hAnsi="宋体" w:cs="宋体"/>
          <w:sz w:val="24"/>
        </w:rPr>
        <w:t>。中标人有中、小型活动、会议和突发性公</w:t>
      </w:r>
    </w:p>
    <w:p w14:paraId="51996268">
      <w:pPr>
        <w:snapToGrid w:val="0"/>
        <w:spacing w:line="440" w:lineRule="exact"/>
        <w:rPr>
          <w:rFonts w:ascii="宋体" w:hAnsi="宋体" w:cs="宋体"/>
          <w:sz w:val="24"/>
        </w:rPr>
      </w:pPr>
      <w:r>
        <w:rPr>
          <w:rFonts w:hint="eastAsia" w:ascii="宋体" w:hAnsi="宋体" w:cs="宋体"/>
          <w:sz w:val="24"/>
        </w:rPr>
        <w:t>共事件餐饮保障能力，能够满足采购人小、中型活动、会议及公共突发事件现场餐饮保供需求。</w:t>
      </w:r>
    </w:p>
    <w:p w14:paraId="410FBB2B">
      <w:pPr>
        <w:pStyle w:val="5"/>
        <w:snapToGrid w:val="0"/>
        <w:spacing w:after="0" w:line="440" w:lineRule="exact"/>
        <w:ind w:firstLine="480"/>
        <w:rPr>
          <w:rFonts w:ascii="宋体" w:hAnsi="宋体" w:cs="宋体"/>
          <w:sz w:val="24"/>
          <w:szCs w:val="24"/>
        </w:rPr>
      </w:pPr>
      <w:r>
        <w:rPr>
          <w:rFonts w:hint="eastAsia" w:ascii="宋体" w:hAnsi="宋体" w:cs="宋体"/>
          <w:sz w:val="24"/>
          <w:szCs w:val="24"/>
        </w:rPr>
        <w:t>4、生产安全和设备管理。中标人必须制定完整的安全生产制度和规范操作，确保安全无事故。加强食堂各类设施设备管理，保证设备安全正常运转；加强食堂用电、用火、用水、用气及财产安全管理，防烟防火防盗；规范使用厨房各类设备，如厨房设备损坏，由中标人负责维修和更换并承担费用，确实无法维修的设备由中标方负责购置。</w:t>
      </w:r>
    </w:p>
    <w:p w14:paraId="4B39464E">
      <w:pPr>
        <w:pStyle w:val="5"/>
        <w:snapToGrid w:val="0"/>
        <w:spacing w:after="0" w:line="440" w:lineRule="exact"/>
        <w:ind w:firstLine="480"/>
        <w:rPr>
          <w:rFonts w:ascii="宋体" w:hAnsi="宋体" w:cs="宋体"/>
          <w:sz w:val="24"/>
          <w:szCs w:val="24"/>
        </w:rPr>
      </w:pPr>
      <w:r>
        <w:rPr>
          <w:rFonts w:hint="eastAsia" w:ascii="宋体" w:hAnsi="宋体" w:cs="宋体"/>
          <w:sz w:val="24"/>
          <w:szCs w:val="24"/>
        </w:rPr>
        <w:t>5、餐具回收及清洗。食堂服务人员负责把用完餐后的餐具进行回收并加以清洗和消毒。不合格造成的一切后果由中标人负责。</w:t>
      </w:r>
    </w:p>
    <w:p w14:paraId="38A27951">
      <w:pPr>
        <w:snapToGrid w:val="0"/>
        <w:spacing w:line="440" w:lineRule="exact"/>
        <w:ind w:firstLine="480" w:firstLineChars="200"/>
        <w:rPr>
          <w:rFonts w:ascii="宋体" w:hAnsi="宋体" w:cs="宋体"/>
          <w:sz w:val="24"/>
        </w:rPr>
      </w:pPr>
      <w:r>
        <w:rPr>
          <w:rFonts w:hint="eastAsia" w:ascii="宋体" w:hAnsi="宋体" w:cs="宋体"/>
          <w:sz w:val="24"/>
        </w:rPr>
        <w:t>6、环境卫生。食堂服务人员负责食堂内部区域内的所有卫生，并按防疫要求，每日组织清洗消毒。</w:t>
      </w:r>
    </w:p>
    <w:p w14:paraId="0C1D8DAC">
      <w:pPr>
        <w:snapToGrid w:val="0"/>
        <w:spacing w:line="440" w:lineRule="exact"/>
        <w:ind w:firstLine="480"/>
        <w:rPr>
          <w:rFonts w:ascii="宋体" w:hAnsi="宋体" w:eastAsia="宋体" w:cs="宋体"/>
          <w:sz w:val="24"/>
          <w:szCs w:val="28"/>
        </w:rPr>
      </w:pPr>
      <w:r>
        <w:rPr>
          <w:rFonts w:hint="eastAsia" w:ascii="宋体" w:hAnsi="宋体" w:cs="宋体"/>
          <w:sz w:val="24"/>
          <w:szCs w:val="28"/>
        </w:rPr>
        <w:t>7</w:t>
      </w:r>
      <w:r>
        <w:rPr>
          <w:rFonts w:hint="eastAsia" w:ascii="宋体" w:hAnsi="宋体" w:eastAsia="宋体" w:cs="宋体"/>
          <w:sz w:val="24"/>
          <w:szCs w:val="28"/>
        </w:rPr>
        <w:t>、安全管理。中标人必须严格遵守国家食品卫生和餐饮场所管理的各项法律法规和行业规范，加强食堂食品、原料各个环节的管理和防毒工作，安排专人负责食品留样、记录工作，坚决杜绝食品安全事故，确保饮食安全。因食品安全问题造成的一切后果由中标人负责。</w:t>
      </w:r>
    </w:p>
    <w:p w14:paraId="7E04D73C">
      <w:pPr>
        <w:snapToGrid w:val="0"/>
        <w:spacing w:line="440" w:lineRule="exact"/>
        <w:ind w:firstLine="480" w:firstLineChars="200"/>
        <w:rPr>
          <w:rFonts w:ascii="宋体" w:hAnsi="宋体" w:cs="宋体"/>
          <w:sz w:val="24"/>
        </w:rPr>
      </w:pPr>
      <w:r>
        <w:rPr>
          <w:rFonts w:hint="eastAsia" w:ascii="宋体" w:hAnsi="宋体" w:cs="宋体"/>
          <w:sz w:val="24"/>
        </w:rPr>
        <w:t>8、定期核定食堂饭菜价格与核算成本，上报菜品价格，经主管部门审核后实施。</w:t>
      </w:r>
    </w:p>
    <w:p w14:paraId="3CB1E269">
      <w:pPr>
        <w:snapToGrid w:val="0"/>
        <w:spacing w:line="440" w:lineRule="exact"/>
        <w:ind w:firstLine="480" w:firstLineChars="200"/>
        <w:rPr>
          <w:rFonts w:ascii="宋体" w:hAnsi="宋体" w:cs="宋体"/>
          <w:sz w:val="24"/>
        </w:rPr>
      </w:pPr>
    </w:p>
    <w:p w14:paraId="7812B6A7">
      <w:pPr>
        <w:pStyle w:val="15"/>
        <w:widowControl/>
        <w:spacing w:line="360" w:lineRule="auto"/>
        <w:ind w:firstLine="241" w:firstLineChars="100"/>
        <w:jc w:val="left"/>
        <w:rPr>
          <w:rFonts w:ascii="宋体" w:hAnsi="宋体" w:cs="宋体"/>
          <w:b/>
          <w:bCs/>
          <w:sz w:val="24"/>
          <w:szCs w:val="24"/>
        </w:rPr>
      </w:pPr>
      <w:r>
        <w:rPr>
          <w:rFonts w:hint="eastAsia" w:ascii="宋体" w:hAnsi="宋体" w:cs="宋体"/>
          <w:b/>
          <w:bCs/>
          <w:sz w:val="24"/>
          <w:szCs w:val="24"/>
        </w:rPr>
        <w:t>（三）食堂托管技术服务要求</w:t>
      </w:r>
    </w:p>
    <w:p w14:paraId="6136D112">
      <w:pPr>
        <w:widowControl/>
        <w:spacing w:line="440" w:lineRule="exact"/>
        <w:ind w:firstLine="480" w:firstLineChars="200"/>
        <w:jc w:val="left"/>
      </w:pPr>
      <w:r>
        <w:rPr>
          <w:rFonts w:hint="eastAsia" w:ascii="宋体" w:hAnsi="宋体" w:eastAsia="宋体" w:cs="宋体"/>
          <w:color w:val="000000"/>
          <w:sz w:val="24"/>
          <w:szCs w:val="22"/>
          <w:lang w:bidi="ar"/>
        </w:rPr>
        <w:t>包括但不限于以下内容：</w:t>
      </w:r>
    </w:p>
    <w:tbl>
      <w:tblPr>
        <w:tblStyle w:val="10"/>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7371"/>
      </w:tblGrid>
      <w:tr w14:paraId="4DA1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6047D027">
            <w:pPr>
              <w:widowControl/>
              <w:spacing w:line="520" w:lineRule="exact"/>
              <w:jc w:val="center"/>
              <w:rPr>
                <w:rFonts w:ascii="宋体" w:hAnsi="宋体" w:eastAsia="宋体" w:cs="宋体"/>
                <w:sz w:val="24"/>
              </w:rPr>
            </w:pPr>
            <w:r>
              <w:rPr>
                <w:rFonts w:hint="eastAsia" w:ascii="宋体" w:hAnsi="宋体" w:eastAsia="宋体" w:cs="宋体"/>
                <w:sz w:val="24"/>
                <w:lang w:bidi="ar"/>
              </w:rPr>
              <w:t>项目内容</w:t>
            </w:r>
          </w:p>
        </w:tc>
        <w:tc>
          <w:tcPr>
            <w:tcW w:w="7371" w:type="dxa"/>
            <w:tcBorders>
              <w:top w:val="single" w:color="auto" w:sz="4" w:space="0"/>
              <w:left w:val="single" w:color="auto" w:sz="4" w:space="0"/>
              <w:bottom w:val="single" w:color="auto" w:sz="4" w:space="0"/>
              <w:right w:val="single" w:color="auto" w:sz="4" w:space="0"/>
            </w:tcBorders>
            <w:vAlign w:val="center"/>
          </w:tcPr>
          <w:p w14:paraId="1F3ADC51">
            <w:pPr>
              <w:widowControl/>
              <w:spacing w:line="520" w:lineRule="exact"/>
              <w:jc w:val="center"/>
              <w:rPr>
                <w:rFonts w:ascii="宋体" w:hAnsi="宋体" w:eastAsia="宋体" w:cs="宋体"/>
                <w:sz w:val="24"/>
              </w:rPr>
            </w:pPr>
            <w:r>
              <w:rPr>
                <w:rFonts w:hint="eastAsia" w:ascii="宋体" w:hAnsi="宋体" w:eastAsia="宋体" w:cs="宋体"/>
                <w:sz w:val="24"/>
                <w:lang w:bidi="ar"/>
              </w:rPr>
              <w:t>技术服务要求</w:t>
            </w:r>
          </w:p>
        </w:tc>
      </w:tr>
      <w:tr w14:paraId="16EE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7F4EF36E">
            <w:pPr>
              <w:widowControl/>
              <w:spacing w:line="520" w:lineRule="exact"/>
              <w:jc w:val="center"/>
              <w:rPr>
                <w:rFonts w:ascii="宋体" w:hAnsi="宋体" w:eastAsia="宋体" w:cs="宋体"/>
                <w:sz w:val="24"/>
                <w:lang w:bidi="ar"/>
              </w:rPr>
            </w:pPr>
          </w:p>
          <w:p w14:paraId="1FE3C581">
            <w:pPr>
              <w:widowControl/>
              <w:spacing w:line="520" w:lineRule="exact"/>
              <w:jc w:val="center"/>
              <w:rPr>
                <w:rFonts w:ascii="宋体" w:hAnsi="宋体" w:eastAsia="宋体" w:cs="宋体"/>
                <w:sz w:val="24"/>
                <w:lang w:bidi="ar"/>
              </w:rPr>
            </w:pPr>
          </w:p>
          <w:p w14:paraId="3E9607B3">
            <w:pPr>
              <w:widowControl/>
              <w:spacing w:line="520" w:lineRule="exact"/>
              <w:jc w:val="center"/>
              <w:rPr>
                <w:rFonts w:ascii="宋体" w:hAnsi="宋体" w:eastAsia="宋体" w:cs="宋体"/>
                <w:sz w:val="24"/>
                <w:lang w:bidi="ar"/>
              </w:rPr>
            </w:pPr>
          </w:p>
          <w:p w14:paraId="60D53792">
            <w:pPr>
              <w:widowControl/>
              <w:spacing w:line="520" w:lineRule="exact"/>
              <w:jc w:val="center"/>
              <w:rPr>
                <w:rFonts w:ascii="宋体" w:hAnsi="宋体" w:eastAsia="宋体" w:cs="宋体"/>
                <w:sz w:val="24"/>
                <w:lang w:bidi="ar"/>
              </w:rPr>
            </w:pPr>
          </w:p>
          <w:p w14:paraId="6FBC8A90">
            <w:pPr>
              <w:widowControl/>
              <w:spacing w:line="520" w:lineRule="exact"/>
              <w:jc w:val="center"/>
              <w:rPr>
                <w:rFonts w:ascii="宋体" w:hAnsi="宋体" w:eastAsia="宋体" w:cs="宋体"/>
                <w:sz w:val="24"/>
                <w:lang w:bidi="ar"/>
              </w:rPr>
            </w:pPr>
          </w:p>
          <w:p w14:paraId="1377313F">
            <w:pPr>
              <w:widowControl/>
              <w:spacing w:line="520" w:lineRule="exact"/>
              <w:jc w:val="center"/>
              <w:rPr>
                <w:rFonts w:ascii="宋体" w:hAnsi="宋体" w:eastAsia="宋体" w:cs="宋体"/>
                <w:sz w:val="24"/>
                <w:lang w:bidi="ar"/>
              </w:rPr>
            </w:pPr>
          </w:p>
          <w:p w14:paraId="34A9891B">
            <w:pPr>
              <w:widowControl/>
              <w:spacing w:line="520" w:lineRule="exact"/>
              <w:jc w:val="center"/>
              <w:rPr>
                <w:rFonts w:ascii="宋体" w:hAnsi="宋体" w:eastAsia="宋体" w:cs="宋体"/>
                <w:sz w:val="24"/>
                <w:lang w:bidi="ar"/>
              </w:rPr>
            </w:pPr>
          </w:p>
          <w:p w14:paraId="5C0568E6">
            <w:pPr>
              <w:widowControl/>
              <w:spacing w:line="520" w:lineRule="exact"/>
              <w:jc w:val="center"/>
              <w:rPr>
                <w:rFonts w:ascii="宋体" w:hAnsi="宋体" w:eastAsia="宋体" w:cs="宋体"/>
                <w:sz w:val="24"/>
                <w:lang w:bidi="ar"/>
              </w:rPr>
            </w:pPr>
          </w:p>
          <w:p w14:paraId="0690E2ED">
            <w:pPr>
              <w:widowControl/>
              <w:spacing w:line="520" w:lineRule="exact"/>
              <w:jc w:val="center"/>
              <w:rPr>
                <w:rFonts w:ascii="宋体" w:hAnsi="宋体" w:eastAsia="宋体" w:cs="宋体"/>
                <w:sz w:val="24"/>
                <w:lang w:bidi="ar"/>
              </w:rPr>
            </w:pPr>
          </w:p>
          <w:p w14:paraId="47E62BBE">
            <w:pPr>
              <w:widowControl/>
              <w:spacing w:line="520" w:lineRule="exact"/>
              <w:jc w:val="center"/>
              <w:rPr>
                <w:rFonts w:ascii="宋体" w:hAnsi="宋体" w:eastAsia="宋体" w:cs="宋体"/>
                <w:sz w:val="24"/>
                <w:lang w:bidi="ar"/>
              </w:rPr>
            </w:pPr>
          </w:p>
          <w:p w14:paraId="62183BFE">
            <w:pPr>
              <w:widowControl/>
              <w:spacing w:line="520" w:lineRule="exact"/>
              <w:jc w:val="center"/>
              <w:rPr>
                <w:rFonts w:ascii="宋体" w:hAnsi="宋体" w:eastAsia="宋体" w:cs="宋体"/>
                <w:sz w:val="24"/>
                <w:lang w:bidi="ar"/>
              </w:rPr>
            </w:pPr>
          </w:p>
          <w:p w14:paraId="765AE464">
            <w:pPr>
              <w:widowControl/>
              <w:spacing w:line="520" w:lineRule="exact"/>
              <w:jc w:val="center"/>
              <w:rPr>
                <w:rFonts w:ascii="宋体" w:hAnsi="宋体" w:eastAsia="宋体" w:cs="宋体"/>
                <w:sz w:val="24"/>
                <w:lang w:bidi="ar"/>
              </w:rPr>
            </w:pPr>
          </w:p>
          <w:p w14:paraId="1E605FCB">
            <w:pPr>
              <w:widowControl/>
              <w:spacing w:line="520" w:lineRule="exact"/>
              <w:jc w:val="center"/>
              <w:rPr>
                <w:rFonts w:ascii="宋体" w:hAnsi="宋体" w:eastAsia="宋体" w:cs="宋体"/>
                <w:sz w:val="24"/>
                <w:lang w:bidi="ar"/>
              </w:rPr>
            </w:pPr>
          </w:p>
          <w:p w14:paraId="4A5FB7F5">
            <w:pPr>
              <w:widowControl/>
              <w:spacing w:line="520" w:lineRule="exact"/>
              <w:jc w:val="center"/>
              <w:rPr>
                <w:rFonts w:ascii="宋体" w:hAnsi="宋体" w:eastAsia="宋体" w:cs="宋体"/>
                <w:sz w:val="24"/>
                <w:lang w:bidi="ar"/>
              </w:rPr>
            </w:pPr>
          </w:p>
          <w:p w14:paraId="53B09EBD">
            <w:pPr>
              <w:widowControl/>
              <w:spacing w:line="520" w:lineRule="exact"/>
              <w:jc w:val="center"/>
              <w:rPr>
                <w:rFonts w:ascii="宋体" w:hAnsi="宋体" w:eastAsia="宋体" w:cs="宋体"/>
                <w:sz w:val="24"/>
                <w:lang w:bidi="ar"/>
              </w:rPr>
            </w:pPr>
          </w:p>
          <w:p w14:paraId="4846A7CD">
            <w:pPr>
              <w:widowControl/>
              <w:spacing w:line="520" w:lineRule="exact"/>
              <w:jc w:val="center"/>
              <w:rPr>
                <w:rFonts w:ascii="宋体" w:hAnsi="宋体" w:eastAsia="宋体" w:cs="宋体"/>
                <w:sz w:val="24"/>
                <w:lang w:bidi="ar"/>
              </w:rPr>
            </w:pPr>
          </w:p>
          <w:p w14:paraId="514FA009">
            <w:pPr>
              <w:widowControl/>
              <w:spacing w:line="520" w:lineRule="exact"/>
              <w:jc w:val="center"/>
              <w:rPr>
                <w:rFonts w:ascii="宋体" w:hAnsi="宋体" w:eastAsia="宋体" w:cs="宋体"/>
                <w:sz w:val="24"/>
                <w:lang w:bidi="ar"/>
              </w:rPr>
            </w:pPr>
            <w:r>
              <w:rPr>
                <w:rFonts w:hint="eastAsia" w:ascii="宋体" w:hAnsi="宋体" w:eastAsia="宋体" w:cs="宋体"/>
                <w:sz w:val="24"/>
                <w:lang w:bidi="ar"/>
              </w:rPr>
              <w:t>服务要求</w:t>
            </w:r>
          </w:p>
        </w:tc>
        <w:tc>
          <w:tcPr>
            <w:tcW w:w="7371" w:type="dxa"/>
            <w:tcBorders>
              <w:top w:val="single" w:color="auto" w:sz="4" w:space="0"/>
              <w:left w:val="single" w:color="auto" w:sz="4" w:space="0"/>
              <w:bottom w:val="single" w:color="auto" w:sz="4" w:space="0"/>
              <w:right w:val="single" w:color="auto" w:sz="4" w:space="0"/>
            </w:tcBorders>
            <w:vAlign w:val="center"/>
          </w:tcPr>
          <w:p w14:paraId="2A6B4019">
            <w:pPr>
              <w:adjustRightInd w:val="0"/>
              <w:snapToGrid w:val="0"/>
              <w:spacing w:line="440" w:lineRule="exact"/>
              <w:rPr>
                <w:rFonts w:ascii="宋体" w:hAnsi="宋体" w:cs="Arial"/>
                <w:color w:val="000000"/>
                <w:sz w:val="24"/>
              </w:rPr>
            </w:pPr>
            <w:r>
              <w:rPr>
                <w:rFonts w:hint="eastAsia" w:ascii="宋体" w:hAnsi="宋体" w:cs="Arial"/>
                <w:color w:val="000000"/>
                <w:sz w:val="24"/>
              </w:rPr>
              <w:t>1、投标人提供经营资质证件（如食品经营许可证）。</w:t>
            </w:r>
          </w:p>
          <w:p w14:paraId="747E8909">
            <w:pPr>
              <w:adjustRightInd w:val="0"/>
              <w:snapToGrid w:val="0"/>
              <w:spacing w:line="440" w:lineRule="exact"/>
              <w:rPr>
                <w:rFonts w:ascii="宋体" w:hAnsi="宋体" w:cs="Arial"/>
                <w:color w:val="000000"/>
                <w:sz w:val="24"/>
              </w:rPr>
            </w:pPr>
            <w:r>
              <w:rPr>
                <w:rFonts w:hint="eastAsia" w:ascii="宋体" w:hAnsi="宋体" w:cs="Arial"/>
                <w:color w:val="000000"/>
                <w:sz w:val="24"/>
              </w:rPr>
              <w:t>2、有详细的菜品结构方案和菜单计划，要求荤素、营养搭配合理、品种多样，以满足采购人用餐需求。</w:t>
            </w:r>
          </w:p>
          <w:p w14:paraId="1ED6A8AF">
            <w:pPr>
              <w:adjustRightInd w:val="0"/>
              <w:snapToGrid w:val="0"/>
              <w:spacing w:line="440" w:lineRule="exact"/>
              <w:rPr>
                <w:rFonts w:ascii="宋体" w:hAnsi="宋体" w:cs="Arial"/>
                <w:color w:val="000000"/>
                <w:sz w:val="24"/>
              </w:rPr>
            </w:pPr>
            <w:r>
              <w:rPr>
                <w:rFonts w:hint="eastAsia" w:ascii="宋体" w:hAnsi="宋体" w:cs="Arial"/>
                <w:color w:val="000000"/>
                <w:sz w:val="24"/>
              </w:rPr>
              <w:t>3、投标人应遵循国家、省、市有关的法律法规及规定，严格按照《中华人民共和国食品安全法》的规定提供服务，确保所供食品的质量与卫生，因食品安全问题造成的一切后果由中标人负责，并根据相关法律法规进行处罚及赔偿。采购人有权对中标人的食堂管理工作进行监督指导，对采购人提出的整改意见，中标人应无条件接受并在规定的期限内整改到位。</w:t>
            </w:r>
          </w:p>
          <w:p w14:paraId="0BA8EBC9">
            <w:pPr>
              <w:adjustRightInd w:val="0"/>
              <w:snapToGrid w:val="0"/>
              <w:spacing w:line="440" w:lineRule="exact"/>
              <w:rPr>
                <w:rFonts w:ascii="宋体" w:hAnsi="宋体" w:cs="Arial"/>
                <w:color w:val="000000"/>
                <w:sz w:val="24"/>
              </w:rPr>
            </w:pPr>
            <w:r>
              <w:rPr>
                <w:rFonts w:hint="eastAsia" w:ascii="宋体" w:hAnsi="宋体" w:cs="Arial"/>
                <w:color w:val="000000"/>
                <w:sz w:val="24"/>
              </w:rPr>
              <w:t>4、中标人应遵守工作场所的安全规定及作息时间，服从采购人各项管理规定，并接受监督和指导，不得与就餐人员发生争吵或冲突，如发现违反者，中标人应及时处理，采购人有权视情节提出处理意见，并督促落实。</w:t>
            </w:r>
          </w:p>
          <w:p w14:paraId="2BA0FCBD">
            <w:pPr>
              <w:adjustRightInd w:val="0"/>
              <w:snapToGrid w:val="0"/>
              <w:spacing w:line="440" w:lineRule="exact"/>
              <w:rPr>
                <w:rFonts w:ascii="宋体" w:hAnsi="宋体" w:cs="Arial"/>
                <w:color w:val="000000"/>
                <w:sz w:val="24"/>
              </w:rPr>
            </w:pPr>
            <w:r>
              <w:rPr>
                <w:rFonts w:hint="eastAsia" w:ascii="宋体" w:hAnsi="宋体" w:cs="Arial"/>
                <w:color w:val="000000"/>
                <w:sz w:val="24"/>
              </w:rPr>
              <w:t>5、投标人食堂所有工作人员必须经卫生部门体检合格并持有效《健康证》上岗，并保证一年进行一次全面身体检查，有关专业人员必须持证上岗。工作人员要有良好形象和工作态度，应做到统一着装、佩戴工号、文明礼貌、热情服务。投标人食堂经营服务所需用工必须符合《劳动合同法》要求，依法用工，如发生用工纠纷，由投标人自行承担责任；</w:t>
            </w:r>
          </w:p>
          <w:p w14:paraId="15B11BAA">
            <w:pPr>
              <w:adjustRightInd w:val="0"/>
              <w:snapToGrid w:val="0"/>
              <w:spacing w:line="440" w:lineRule="exact"/>
              <w:rPr>
                <w:rFonts w:ascii="宋体" w:hAnsi="宋体" w:cs="Arial"/>
                <w:color w:val="000000"/>
                <w:sz w:val="24"/>
              </w:rPr>
            </w:pPr>
            <w:r>
              <w:rPr>
                <w:rFonts w:hint="eastAsia" w:ascii="宋体" w:hAnsi="宋体" w:cs="Arial"/>
                <w:color w:val="000000"/>
                <w:sz w:val="24"/>
              </w:rPr>
              <w:t>6、投标人按采购人规定的价格提供餐饮服务，不得私自提高餐饮价格标准或降低饭菜质量。</w:t>
            </w:r>
          </w:p>
          <w:p w14:paraId="050D8F43">
            <w:pPr>
              <w:adjustRightInd w:val="0"/>
              <w:snapToGrid w:val="0"/>
              <w:spacing w:line="440" w:lineRule="exact"/>
              <w:rPr>
                <w:rFonts w:ascii="宋体" w:hAnsi="宋体" w:cs="Arial"/>
                <w:color w:val="000000"/>
                <w:sz w:val="24"/>
              </w:rPr>
            </w:pPr>
            <w:r>
              <w:rPr>
                <w:rFonts w:hint="eastAsia" w:ascii="宋体" w:hAnsi="宋体" w:cs="Arial"/>
                <w:color w:val="000000"/>
                <w:sz w:val="24"/>
              </w:rPr>
              <w:t>7、投标人应建立健全食堂卫生管理制度、有关岗位责任制度、操作规程及预防措施并张贴明示，严格按制度和操作规程工作。中标人对食堂的防火、防毒、防盗、卫生管理等各方面负全责。</w:t>
            </w:r>
          </w:p>
          <w:p w14:paraId="500E9753">
            <w:pPr>
              <w:adjustRightInd w:val="0"/>
              <w:snapToGrid w:val="0"/>
              <w:spacing w:line="440" w:lineRule="exact"/>
              <w:rPr>
                <w:rFonts w:ascii="宋体" w:hAnsi="宋体" w:cs="Arial"/>
                <w:color w:val="000000"/>
                <w:sz w:val="24"/>
              </w:rPr>
            </w:pPr>
            <w:r>
              <w:rPr>
                <w:rFonts w:hint="eastAsia" w:ascii="宋体" w:hAnsi="宋体" w:cs="Arial"/>
                <w:color w:val="000000"/>
                <w:sz w:val="24"/>
              </w:rPr>
              <w:t>8、中标人应及时对采购人提供的合理化建议与意见做出回应并对存在的问题及时整改，要求就餐满意率达到95%以上，投诉处理率为100%。采购人定期对中标人饮食卫生、食品安全、供餐标准、服务质量等进行监督、抽查并提出意见与建议，不定期组织就餐人员满意度调查检验服务单位服务质量，发现问题后督促餐饮服务单位限期整改到位，对个别不符合食堂要求的服务人员,采购人有权向中标人提出更换。</w:t>
            </w:r>
          </w:p>
          <w:p w14:paraId="5BB30A27">
            <w:pPr>
              <w:adjustRightInd w:val="0"/>
              <w:snapToGrid w:val="0"/>
              <w:spacing w:line="440" w:lineRule="exact"/>
              <w:rPr>
                <w:rFonts w:ascii="宋体" w:hAnsi="宋体" w:cs="Arial"/>
                <w:color w:val="000000"/>
                <w:sz w:val="24"/>
              </w:rPr>
            </w:pPr>
            <w:r>
              <w:rPr>
                <w:rFonts w:hint="eastAsia" w:ascii="宋体" w:hAnsi="宋体" w:cs="Arial"/>
                <w:color w:val="000000"/>
                <w:sz w:val="24"/>
              </w:rPr>
              <w:t>9、中标人定期对拟派人员进行必要的食品安全培训，相克食物不得同时制作食用，杜绝食品中毒事件发生。</w:t>
            </w:r>
          </w:p>
          <w:p w14:paraId="00FD1AF4">
            <w:pPr>
              <w:adjustRightInd w:val="0"/>
              <w:snapToGrid w:val="0"/>
              <w:spacing w:line="440" w:lineRule="exact"/>
              <w:rPr>
                <w:rFonts w:ascii="宋体" w:hAnsi="宋体"/>
                <w:sz w:val="24"/>
              </w:rPr>
            </w:pPr>
            <w:r>
              <w:rPr>
                <w:rFonts w:hint="eastAsia" w:ascii="宋体" w:hAnsi="宋体" w:cs="Arial"/>
                <w:color w:val="000000"/>
                <w:sz w:val="24"/>
              </w:rPr>
              <w:t>10、</w:t>
            </w:r>
            <w:r>
              <w:rPr>
                <w:rFonts w:hint="eastAsia" w:ascii="宋体" w:hAnsi="宋体"/>
                <w:sz w:val="24"/>
              </w:rPr>
              <w:t>中标人拟派服务人员不得向第三方泄露信息，不得截留任何保密文件，不得将任何有关信息数据带离岗位所在地。</w:t>
            </w:r>
          </w:p>
          <w:p w14:paraId="0B4A6CB8">
            <w:pPr>
              <w:pStyle w:val="5"/>
              <w:snapToGrid w:val="0"/>
              <w:spacing w:after="0" w:line="440" w:lineRule="exact"/>
              <w:rPr>
                <w:sz w:val="24"/>
                <w:szCs w:val="24"/>
              </w:rPr>
            </w:pPr>
            <w:r>
              <w:rPr>
                <w:rFonts w:hint="eastAsia" w:ascii="宋体" w:hAnsi="宋体"/>
                <w:sz w:val="24"/>
                <w:szCs w:val="24"/>
              </w:rPr>
              <w:t>11、中标人拟派服务人员需按时完成采购人临时安排的工作。</w:t>
            </w:r>
          </w:p>
          <w:p w14:paraId="5C4A4F98">
            <w:pPr>
              <w:adjustRightInd w:val="0"/>
              <w:snapToGrid w:val="0"/>
              <w:spacing w:line="440" w:lineRule="exact"/>
              <w:rPr>
                <w:rFonts w:ascii="宋体" w:hAnsi="宋体" w:eastAsia="宋体" w:cs="宋体"/>
                <w:sz w:val="24"/>
                <w:lang w:bidi="ar"/>
              </w:rPr>
            </w:pPr>
            <w:r>
              <w:rPr>
                <w:rFonts w:hint="eastAsia" w:ascii="宋体" w:hAnsi="宋体" w:cs="Arial"/>
                <w:color w:val="000000"/>
                <w:sz w:val="24"/>
              </w:rPr>
              <w:t>12、中标人应在签订合同后立即进场，在7个工作日内完成食堂相关准备工作，保证工作人员正常进餐。</w:t>
            </w:r>
          </w:p>
        </w:tc>
      </w:tr>
      <w:tr w14:paraId="6F7A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3AA662E8">
            <w:pPr>
              <w:widowControl/>
              <w:spacing w:line="520" w:lineRule="exact"/>
              <w:jc w:val="center"/>
              <w:rPr>
                <w:rFonts w:ascii="宋体" w:hAnsi="宋体" w:eastAsia="宋体" w:cs="宋体"/>
                <w:sz w:val="24"/>
                <w:lang w:bidi="ar"/>
              </w:rPr>
            </w:pPr>
            <w:r>
              <w:rPr>
                <w:rFonts w:hint="eastAsia" w:ascii="宋体" w:hAnsi="宋体" w:cs="Arial"/>
                <w:color w:val="000000"/>
                <w:sz w:val="24"/>
              </w:rPr>
              <w:t>食品加工</w:t>
            </w:r>
          </w:p>
        </w:tc>
        <w:tc>
          <w:tcPr>
            <w:tcW w:w="7371" w:type="dxa"/>
            <w:tcBorders>
              <w:top w:val="single" w:color="auto" w:sz="4" w:space="0"/>
              <w:left w:val="single" w:color="auto" w:sz="4" w:space="0"/>
              <w:bottom w:val="single" w:color="auto" w:sz="4" w:space="0"/>
              <w:right w:val="single" w:color="auto" w:sz="4" w:space="0"/>
            </w:tcBorders>
            <w:vAlign w:val="center"/>
          </w:tcPr>
          <w:p w14:paraId="2EC8810D">
            <w:pPr>
              <w:adjustRightInd w:val="0"/>
              <w:snapToGrid w:val="0"/>
              <w:spacing w:line="440" w:lineRule="exact"/>
              <w:rPr>
                <w:sz w:val="24"/>
              </w:rPr>
            </w:pPr>
            <w:r>
              <w:rPr>
                <w:rFonts w:hint="eastAsia"/>
                <w:sz w:val="24"/>
              </w:rPr>
              <w:t>1、原料使用前要清洗，肉类与蔬菜水产要分开清洗。食品加工应按规定做到生熟分开、菜肉分开、成品与半成品分开。</w:t>
            </w:r>
          </w:p>
          <w:p w14:paraId="7F68C747">
            <w:pPr>
              <w:adjustRightInd w:val="0"/>
              <w:snapToGrid w:val="0"/>
              <w:spacing w:line="440" w:lineRule="exact"/>
              <w:rPr>
                <w:sz w:val="24"/>
              </w:rPr>
            </w:pPr>
            <w:r>
              <w:rPr>
                <w:rFonts w:hint="eastAsia"/>
                <w:sz w:val="24"/>
              </w:rPr>
              <w:t>2、制作菜肴加工间的环境应整洁卫生，管理好灭鼠类药品，以防误入食物引起食物中毒。</w:t>
            </w:r>
          </w:p>
          <w:p w14:paraId="0F76ECE3">
            <w:pPr>
              <w:adjustRightInd w:val="0"/>
              <w:snapToGrid w:val="0"/>
              <w:spacing w:line="440" w:lineRule="exact"/>
              <w:rPr>
                <w:sz w:val="24"/>
              </w:rPr>
            </w:pPr>
            <w:r>
              <w:rPr>
                <w:rFonts w:hint="eastAsia"/>
                <w:sz w:val="24"/>
              </w:rPr>
              <w:t>3、定期对操作间进行消杀处理。做到无蝇蛆，无孑孓孳生，无蟑螂、卵荚及蟑迹，“除四害”工作及四害密度达标，资料准确、齐全、规范。</w:t>
            </w:r>
          </w:p>
        </w:tc>
      </w:tr>
      <w:tr w14:paraId="2F7B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50575517">
            <w:pPr>
              <w:widowControl/>
              <w:spacing w:line="520" w:lineRule="exact"/>
              <w:jc w:val="center"/>
              <w:rPr>
                <w:rFonts w:ascii="宋体" w:hAnsi="宋体" w:eastAsia="宋体" w:cs="Arial"/>
                <w:color w:val="000000"/>
                <w:sz w:val="24"/>
              </w:rPr>
            </w:pPr>
            <w:r>
              <w:rPr>
                <w:rFonts w:hint="eastAsia" w:ascii="宋体" w:hAnsi="宋体" w:cs="Arial"/>
                <w:color w:val="000000"/>
                <w:sz w:val="24"/>
              </w:rPr>
              <w:t>出品管理</w:t>
            </w:r>
          </w:p>
        </w:tc>
        <w:tc>
          <w:tcPr>
            <w:tcW w:w="7371" w:type="dxa"/>
            <w:tcBorders>
              <w:top w:val="single" w:color="auto" w:sz="4" w:space="0"/>
              <w:left w:val="single" w:color="auto" w:sz="4" w:space="0"/>
              <w:bottom w:val="single" w:color="auto" w:sz="4" w:space="0"/>
              <w:right w:val="single" w:color="auto" w:sz="4" w:space="0"/>
            </w:tcBorders>
            <w:vAlign w:val="center"/>
          </w:tcPr>
          <w:p w14:paraId="3F49C110">
            <w:pPr>
              <w:widowControl/>
              <w:snapToGrid w:val="0"/>
              <w:spacing w:line="440" w:lineRule="exact"/>
              <w:jc w:val="left"/>
              <w:rPr>
                <w:rFonts w:ascii="宋体" w:hAnsi="宋体"/>
                <w:sz w:val="24"/>
              </w:rPr>
            </w:pPr>
            <w:r>
              <w:rPr>
                <w:rFonts w:hint="eastAsia" w:ascii="宋体" w:hAnsi="宋体"/>
                <w:sz w:val="24"/>
              </w:rPr>
              <w:t>1、营养：荤素、主副食搭配合理、营养均衡，倡导健康饮食；</w:t>
            </w:r>
          </w:p>
          <w:p w14:paraId="03E87EBD">
            <w:pPr>
              <w:widowControl/>
              <w:snapToGrid w:val="0"/>
              <w:spacing w:line="440" w:lineRule="exact"/>
              <w:jc w:val="left"/>
              <w:rPr>
                <w:rFonts w:ascii="宋体" w:hAnsi="宋体"/>
                <w:sz w:val="24"/>
              </w:rPr>
            </w:pPr>
            <w:r>
              <w:rPr>
                <w:rFonts w:hint="eastAsia" w:ascii="宋体" w:hAnsi="宋体"/>
                <w:sz w:val="24"/>
              </w:rPr>
              <w:t>2、供餐：品种齐全，供餐及时，注重花色调剂；</w:t>
            </w:r>
          </w:p>
          <w:p w14:paraId="2F7E9977">
            <w:pPr>
              <w:widowControl/>
              <w:snapToGrid w:val="0"/>
              <w:spacing w:line="440" w:lineRule="exact"/>
              <w:jc w:val="left"/>
              <w:rPr>
                <w:rFonts w:ascii="宋体" w:hAnsi="宋体"/>
                <w:sz w:val="24"/>
              </w:rPr>
            </w:pPr>
            <w:r>
              <w:rPr>
                <w:rFonts w:hint="eastAsia" w:ascii="宋体" w:hAnsi="宋体"/>
                <w:sz w:val="24"/>
              </w:rPr>
              <w:t>3、质量：色香味俱全，菜品不得有异物；</w:t>
            </w:r>
          </w:p>
          <w:p w14:paraId="2478032F">
            <w:pPr>
              <w:widowControl/>
              <w:snapToGrid w:val="0"/>
              <w:spacing w:line="440" w:lineRule="exact"/>
              <w:jc w:val="left"/>
              <w:rPr>
                <w:rFonts w:ascii="宋体" w:hAnsi="宋体"/>
                <w:sz w:val="24"/>
              </w:rPr>
            </w:pPr>
            <w:r>
              <w:rPr>
                <w:rFonts w:hint="eastAsia" w:ascii="宋体" w:hAnsi="宋体"/>
                <w:sz w:val="24"/>
              </w:rPr>
              <w:t>4、菜谱每周更换，每天不得有重复。</w:t>
            </w:r>
          </w:p>
        </w:tc>
      </w:tr>
      <w:tr w14:paraId="2041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209D899F">
            <w:pPr>
              <w:widowControl/>
              <w:spacing w:line="520" w:lineRule="exact"/>
              <w:jc w:val="center"/>
              <w:rPr>
                <w:rFonts w:ascii="宋体" w:hAnsi="宋体" w:eastAsia="宋体" w:cs="宋体"/>
                <w:sz w:val="24"/>
                <w:lang w:bidi="ar"/>
              </w:rPr>
            </w:pPr>
            <w:r>
              <w:rPr>
                <w:rFonts w:hint="eastAsia" w:ascii="宋体" w:hAnsi="宋体" w:cs="Arial"/>
                <w:color w:val="000000"/>
                <w:sz w:val="24"/>
              </w:rPr>
              <w:t>食品存储</w:t>
            </w:r>
          </w:p>
        </w:tc>
        <w:tc>
          <w:tcPr>
            <w:tcW w:w="7371" w:type="dxa"/>
            <w:tcBorders>
              <w:top w:val="single" w:color="auto" w:sz="4" w:space="0"/>
              <w:left w:val="single" w:color="auto" w:sz="4" w:space="0"/>
              <w:bottom w:val="single" w:color="auto" w:sz="4" w:space="0"/>
              <w:right w:val="single" w:color="auto" w:sz="4" w:space="0"/>
            </w:tcBorders>
            <w:vAlign w:val="center"/>
          </w:tcPr>
          <w:p w14:paraId="317417E5">
            <w:pPr>
              <w:adjustRightInd w:val="0"/>
              <w:snapToGrid w:val="0"/>
              <w:spacing w:line="440" w:lineRule="exact"/>
              <w:rPr>
                <w:rFonts w:ascii="宋体" w:hAnsi="宋体" w:eastAsia="宋体" w:cs="宋体"/>
                <w:sz w:val="24"/>
                <w:lang w:bidi="ar"/>
              </w:rPr>
            </w:pPr>
            <w:r>
              <w:rPr>
                <w:rFonts w:hint="eastAsia" w:ascii="宋体" w:hAnsi="宋体"/>
                <w:sz w:val="24"/>
              </w:rPr>
              <w:t>食品贮存有专人负责、生熟分区域，不得超期，定期清库检查，防止食品变质、霉变、生虫</w:t>
            </w:r>
            <w:r>
              <w:rPr>
                <w:rFonts w:hint="eastAsia" w:ascii="宋体" w:hAnsi="宋体"/>
                <w:sz w:val="24"/>
                <w:lang w:eastAsia="zh-CN"/>
              </w:rPr>
              <w:t>，</w:t>
            </w:r>
            <w:bookmarkStart w:id="28" w:name="_GoBack"/>
            <w:bookmarkEnd w:id="28"/>
            <w:r>
              <w:rPr>
                <w:rFonts w:hint="eastAsia" w:ascii="宋体" w:hAnsi="宋体"/>
                <w:sz w:val="24"/>
              </w:rPr>
              <w:t>及时清理不符合卫生要求的食品等，做好采购物品的登记，妥善保管票据、检验单等，并接受采购人的监督和检查。</w:t>
            </w:r>
          </w:p>
        </w:tc>
      </w:tr>
      <w:tr w14:paraId="2C3F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238FC410">
            <w:pPr>
              <w:widowControl/>
              <w:spacing w:line="520" w:lineRule="exact"/>
              <w:jc w:val="center"/>
              <w:rPr>
                <w:rFonts w:ascii="宋体" w:hAnsi="宋体" w:cs="Arial"/>
                <w:color w:val="000000"/>
                <w:sz w:val="24"/>
              </w:rPr>
            </w:pPr>
            <w:r>
              <w:rPr>
                <w:rFonts w:hint="eastAsia" w:ascii="宋体" w:hAnsi="宋体" w:cs="Arial"/>
                <w:color w:val="000000"/>
                <w:sz w:val="24"/>
              </w:rPr>
              <w:t>食材组织</w:t>
            </w:r>
          </w:p>
        </w:tc>
        <w:tc>
          <w:tcPr>
            <w:tcW w:w="7371" w:type="dxa"/>
            <w:tcBorders>
              <w:top w:val="single" w:color="auto" w:sz="4" w:space="0"/>
              <w:left w:val="single" w:color="auto" w:sz="4" w:space="0"/>
              <w:bottom w:val="single" w:color="auto" w:sz="4" w:space="0"/>
              <w:right w:val="single" w:color="auto" w:sz="4" w:space="0"/>
            </w:tcBorders>
            <w:vAlign w:val="center"/>
          </w:tcPr>
          <w:p w14:paraId="61B989DD">
            <w:pPr>
              <w:widowControl/>
              <w:snapToGrid w:val="0"/>
              <w:spacing w:line="440" w:lineRule="exact"/>
              <w:jc w:val="left"/>
              <w:rPr>
                <w:rFonts w:ascii="宋体" w:hAnsi="宋体" w:eastAsia="宋体" w:cs="Arial"/>
                <w:color w:val="000000"/>
                <w:sz w:val="24"/>
              </w:rPr>
            </w:pPr>
            <w:r>
              <w:rPr>
                <w:rFonts w:hint="eastAsia" w:ascii="宋体" w:hAnsi="宋体"/>
                <w:sz w:val="24"/>
              </w:rPr>
              <w:t>中标供应商供应的食材必须均由正规、大型、专业的食品商家进行统一配送，并有经营许可证、食品合格证，保障质量和食品卫生安全。应制定科学、完善的采购管理制度，供应的食品、原料及成品，不得有腐败变质、霉变及其它不符合卫生标准的情况；供应的肉类食品必须有合法检验单或印证，外加工食品（熟食）供应需确认定点；供应的其他类食品，如：罐头、饮料、乳制品、定量包装食品、干鲜调料等，必须符合食品应有的品名、厂名、厂址等，不得采购三无产品；不得采购转基因产品。</w:t>
            </w:r>
          </w:p>
        </w:tc>
      </w:tr>
      <w:tr w14:paraId="0F20D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50C87142">
            <w:pPr>
              <w:widowControl/>
              <w:spacing w:line="520" w:lineRule="exact"/>
              <w:jc w:val="center"/>
              <w:rPr>
                <w:rFonts w:ascii="宋体" w:hAnsi="宋体" w:eastAsia="宋体" w:cs="宋体"/>
                <w:sz w:val="24"/>
                <w:lang w:bidi="ar"/>
              </w:rPr>
            </w:pPr>
            <w:r>
              <w:rPr>
                <w:rFonts w:hint="eastAsia" w:ascii="宋体" w:hAnsi="宋体" w:cs="Arial"/>
                <w:color w:val="000000"/>
                <w:sz w:val="24"/>
              </w:rPr>
              <w:t>食堂卫生</w:t>
            </w:r>
          </w:p>
        </w:tc>
        <w:tc>
          <w:tcPr>
            <w:tcW w:w="7371" w:type="dxa"/>
            <w:tcBorders>
              <w:top w:val="single" w:color="auto" w:sz="4" w:space="0"/>
              <w:left w:val="single" w:color="auto" w:sz="4" w:space="0"/>
              <w:bottom w:val="single" w:color="auto" w:sz="4" w:space="0"/>
              <w:right w:val="single" w:color="auto" w:sz="4" w:space="0"/>
            </w:tcBorders>
            <w:vAlign w:val="center"/>
          </w:tcPr>
          <w:p w14:paraId="16BB54BF">
            <w:pPr>
              <w:adjustRightInd w:val="0"/>
              <w:snapToGrid w:val="0"/>
              <w:spacing w:line="440" w:lineRule="exact"/>
              <w:rPr>
                <w:rFonts w:ascii="宋体" w:hAnsi="宋体" w:cs="Arial"/>
                <w:color w:val="000000"/>
                <w:sz w:val="24"/>
              </w:rPr>
            </w:pPr>
            <w:r>
              <w:rPr>
                <w:rFonts w:hint="eastAsia" w:ascii="宋体" w:hAnsi="宋体" w:cs="Arial"/>
                <w:color w:val="000000"/>
                <w:sz w:val="24"/>
              </w:rPr>
              <w:t>1、中标人负责餐厅（包括厨房区和就餐区，含就餐区内卫生间）内外环境保洁，每天定时清理，用餐结束后必须清理就餐区。就餐环境的标准：室内物品摆放整齐；餐盘、饭盒码放整齐；抹布不乱放；无积尘、无蛛网，地面无烟蒂、无痰迹，桌面无上次就餐留下的食物残渣、油迹。就餐区范围内的卫生间保洁由中标人负责。</w:t>
            </w:r>
          </w:p>
          <w:p w14:paraId="0A4FAA9B">
            <w:pPr>
              <w:adjustRightInd w:val="0"/>
              <w:snapToGrid w:val="0"/>
              <w:spacing w:line="440" w:lineRule="exact"/>
              <w:rPr>
                <w:rFonts w:ascii="宋体" w:hAnsi="宋体" w:cs="Arial"/>
                <w:color w:val="000000"/>
                <w:sz w:val="24"/>
              </w:rPr>
            </w:pPr>
            <w:r>
              <w:rPr>
                <w:rFonts w:hint="eastAsia" w:ascii="宋体" w:hAnsi="宋体" w:cs="Arial"/>
                <w:color w:val="000000"/>
                <w:sz w:val="24"/>
              </w:rPr>
              <w:t>2、食堂门口设有泔积筒，当天产生当天清，定期清洗保证筒无异味、无菜汤流溢。泔积筒由中标人负责清理。</w:t>
            </w:r>
          </w:p>
          <w:p w14:paraId="3B2D24CB">
            <w:pPr>
              <w:adjustRightInd w:val="0"/>
              <w:snapToGrid w:val="0"/>
              <w:spacing w:line="440" w:lineRule="exact"/>
              <w:rPr>
                <w:rFonts w:ascii="宋体" w:hAnsi="宋体" w:eastAsia="宋体" w:cs="宋体"/>
                <w:sz w:val="24"/>
                <w:lang w:bidi="ar"/>
              </w:rPr>
            </w:pPr>
            <w:r>
              <w:rPr>
                <w:rFonts w:hint="eastAsia" w:ascii="宋体" w:hAnsi="宋体" w:cs="Arial"/>
                <w:color w:val="000000"/>
                <w:sz w:val="24"/>
              </w:rPr>
              <w:t>3、用餐前餐具必须经过严格的高温消毒，餐具表面无污迹、水滴，确保卫生合格。餐具要经过初洗、清洁剂清洗、清水流水清洗、消毒四道工序处理。每天保证高温消毒，一周至少一次蚊蝇消杀。</w:t>
            </w:r>
          </w:p>
        </w:tc>
      </w:tr>
      <w:tr w14:paraId="4154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41C2091C">
            <w:pPr>
              <w:widowControl/>
              <w:spacing w:line="520" w:lineRule="exact"/>
              <w:jc w:val="center"/>
              <w:rPr>
                <w:rFonts w:ascii="宋体" w:hAnsi="宋体" w:eastAsia="宋体" w:cs="Arial"/>
                <w:color w:val="000000"/>
                <w:sz w:val="24"/>
              </w:rPr>
            </w:pPr>
            <w:r>
              <w:rPr>
                <w:rFonts w:hint="eastAsia" w:ascii="宋体" w:hAnsi="宋体" w:cs="Arial"/>
                <w:color w:val="000000"/>
                <w:sz w:val="24"/>
              </w:rPr>
              <w:t>安全管理</w:t>
            </w:r>
          </w:p>
        </w:tc>
        <w:tc>
          <w:tcPr>
            <w:tcW w:w="7371" w:type="dxa"/>
            <w:tcBorders>
              <w:top w:val="single" w:color="auto" w:sz="4" w:space="0"/>
              <w:left w:val="single" w:color="auto" w:sz="4" w:space="0"/>
              <w:bottom w:val="single" w:color="auto" w:sz="4" w:space="0"/>
              <w:right w:val="single" w:color="auto" w:sz="4" w:space="0"/>
            </w:tcBorders>
            <w:vAlign w:val="center"/>
          </w:tcPr>
          <w:p w14:paraId="6D7EB8D2">
            <w:pPr>
              <w:widowControl/>
              <w:snapToGrid w:val="0"/>
              <w:spacing w:line="440" w:lineRule="exact"/>
              <w:rPr>
                <w:rFonts w:ascii="宋体" w:hAnsi="宋体" w:eastAsia="宋体" w:cs="宋体"/>
                <w:sz w:val="24"/>
                <w:lang w:bidi="ar"/>
              </w:rPr>
            </w:pPr>
            <w:r>
              <w:rPr>
                <w:rFonts w:hint="eastAsia" w:ascii="宋体" w:hAnsi="宋体" w:cs="Arial"/>
                <w:color w:val="000000"/>
                <w:sz w:val="24"/>
              </w:rPr>
              <w:t>中标人必须制定完整的安全生产制度和规范操作流程，确保安全生产无事故；</w:t>
            </w:r>
            <w:r>
              <w:rPr>
                <w:rFonts w:hint="eastAsia" w:ascii="宋体" w:hAnsi="宋体"/>
                <w:sz w:val="24"/>
              </w:rPr>
              <w:t>做好食堂电器、设备等的使用管理，保证设备安全正常运转；加强食堂用水、用电、用气、用火及财产安全管理；</w:t>
            </w:r>
            <w:r>
              <w:rPr>
                <w:rFonts w:hint="eastAsia" w:ascii="宋体" w:hAnsi="宋体" w:cs="Arial"/>
                <w:color w:val="000000"/>
                <w:sz w:val="24"/>
              </w:rPr>
              <w:t>制订食物中毒防范预案、投毒防范预案、食物中毒紧急处置预案、厨房及就餐区域消防防火预案等，并严格按相应预案落实到位，</w:t>
            </w:r>
            <w:r>
              <w:rPr>
                <w:rFonts w:hint="eastAsia" w:ascii="宋体" w:hAnsi="宋体"/>
                <w:sz w:val="24"/>
              </w:rPr>
              <w:t>保证安全生产。因中标人管理不善造成的一切后果及相应赔偿由中标人负全责。</w:t>
            </w:r>
          </w:p>
        </w:tc>
      </w:tr>
      <w:tr w14:paraId="3E1A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41F104D9">
            <w:pPr>
              <w:widowControl/>
              <w:spacing w:line="520" w:lineRule="exact"/>
              <w:jc w:val="center"/>
              <w:rPr>
                <w:rFonts w:ascii="宋体" w:hAnsi="宋体" w:eastAsia="宋体" w:cs="Arial"/>
                <w:color w:val="000000"/>
                <w:sz w:val="24"/>
              </w:rPr>
            </w:pPr>
            <w:r>
              <w:rPr>
                <w:rFonts w:hint="eastAsia" w:ascii="宋体" w:hAnsi="宋体" w:cs="Arial"/>
                <w:color w:val="000000"/>
                <w:sz w:val="24"/>
              </w:rPr>
              <w:t>节能降耗</w:t>
            </w:r>
          </w:p>
        </w:tc>
        <w:tc>
          <w:tcPr>
            <w:tcW w:w="7371" w:type="dxa"/>
            <w:tcBorders>
              <w:top w:val="single" w:color="auto" w:sz="4" w:space="0"/>
              <w:left w:val="single" w:color="auto" w:sz="4" w:space="0"/>
              <w:bottom w:val="single" w:color="auto" w:sz="4" w:space="0"/>
              <w:right w:val="single" w:color="auto" w:sz="4" w:space="0"/>
            </w:tcBorders>
            <w:vAlign w:val="center"/>
          </w:tcPr>
          <w:p w14:paraId="453404A5">
            <w:pPr>
              <w:widowControl/>
              <w:snapToGrid w:val="0"/>
              <w:spacing w:line="440" w:lineRule="exact"/>
              <w:rPr>
                <w:rFonts w:ascii="宋体" w:hAnsi="宋体" w:cs="Arial"/>
                <w:color w:val="000000"/>
                <w:sz w:val="24"/>
              </w:rPr>
            </w:pPr>
            <w:r>
              <w:rPr>
                <w:rFonts w:hint="eastAsia" w:ascii="宋体" w:hAnsi="宋体" w:eastAsia="宋体" w:cs="宋体"/>
                <w:sz w:val="24"/>
              </w:rPr>
              <w:t>在保证正常供餐的前提下，应最大限度地节约使用水、电、气等相关能源，达到节能降耗的目标。</w:t>
            </w:r>
          </w:p>
        </w:tc>
      </w:tr>
      <w:tr w14:paraId="4AE1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254FFF1C">
            <w:pPr>
              <w:widowControl/>
              <w:spacing w:line="520" w:lineRule="exact"/>
              <w:jc w:val="center"/>
              <w:rPr>
                <w:rFonts w:ascii="宋体" w:hAnsi="宋体" w:eastAsia="宋体" w:cs="宋体"/>
                <w:sz w:val="24"/>
                <w:lang w:bidi="ar"/>
              </w:rPr>
            </w:pPr>
          </w:p>
          <w:p w14:paraId="78D42633">
            <w:pPr>
              <w:widowControl/>
              <w:spacing w:line="520" w:lineRule="exact"/>
              <w:jc w:val="center"/>
              <w:rPr>
                <w:rFonts w:ascii="宋体" w:hAnsi="宋体" w:eastAsia="宋体" w:cs="宋体"/>
                <w:sz w:val="24"/>
                <w:lang w:bidi="ar"/>
              </w:rPr>
            </w:pPr>
          </w:p>
          <w:p w14:paraId="6BB661B5">
            <w:pPr>
              <w:widowControl/>
              <w:spacing w:line="520" w:lineRule="exact"/>
              <w:jc w:val="center"/>
              <w:rPr>
                <w:rFonts w:ascii="宋体" w:hAnsi="宋体" w:cs="Arial"/>
                <w:color w:val="000000"/>
                <w:sz w:val="24"/>
              </w:rPr>
            </w:pPr>
            <w:r>
              <w:rPr>
                <w:rFonts w:hint="eastAsia" w:ascii="宋体" w:hAnsi="宋体" w:eastAsia="宋体" w:cs="宋体"/>
                <w:sz w:val="24"/>
                <w:lang w:bidi="ar"/>
              </w:rPr>
              <w:t>消毒消杀服务</w:t>
            </w:r>
          </w:p>
        </w:tc>
        <w:tc>
          <w:tcPr>
            <w:tcW w:w="7371" w:type="dxa"/>
            <w:tcBorders>
              <w:top w:val="single" w:color="auto" w:sz="4" w:space="0"/>
              <w:left w:val="single" w:color="auto" w:sz="4" w:space="0"/>
              <w:bottom w:val="single" w:color="auto" w:sz="4" w:space="0"/>
              <w:right w:val="single" w:color="auto" w:sz="4" w:space="0"/>
            </w:tcBorders>
            <w:vAlign w:val="center"/>
          </w:tcPr>
          <w:p w14:paraId="49AB3074">
            <w:pPr>
              <w:widowControl/>
              <w:snapToGrid w:val="0"/>
              <w:spacing w:line="440" w:lineRule="exact"/>
              <w:rPr>
                <w:rFonts w:ascii="宋体" w:hAnsi="宋体" w:eastAsia="宋体" w:cs="宋体"/>
                <w:sz w:val="24"/>
              </w:rPr>
            </w:pPr>
            <w:r>
              <w:rPr>
                <w:rFonts w:hint="eastAsia" w:ascii="宋体" w:hAnsi="宋体" w:eastAsia="宋体" w:cs="宋体"/>
                <w:color w:val="000000"/>
                <w:kern w:val="0"/>
                <w:sz w:val="24"/>
                <w:lang w:bidi="ar"/>
              </w:rPr>
              <w:t xml:space="preserve">1、喷洒消毒：严格按照消毒液规定配比进行稀释，将稀释后的消毒液喷洒在食堂公共区域，每日不少于两次。 </w:t>
            </w:r>
          </w:p>
          <w:p w14:paraId="1252E3E4">
            <w:pPr>
              <w:widowControl/>
              <w:snapToGrid w:val="0"/>
              <w:spacing w:line="440" w:lineRule="exact"/>
              <w:rPr>
                <w:rFonts w:ascii="宋体" w:hAnsi="宋体" w:eastAsia="宋体" w:cs="宋体"/>
                <w:sz w:val="24"/>
              </w:rPr>
            </w:pPr>
            <w:r>
              <w:rPr>
                <w:rFonts w:hint="eastAsia" w:ascii="宋体" w:hAnsi="宋体" w:eastAsia="宋体" w:cs="宋体"/>
                <w:color w:val="000000"/>
                <w:kern w:val="0"/>
                <w:sz w:val="24"/>
                <w:lang w:bidi="ar"/>
              </w:rPr>
              <w:t xml:space="preserve">2、拖拭消毒：严格按照消毒液规定配比进行稀释，用拖把蘸取消毒液，拖拭食堂各区域地面，每日不少于四次。 </w:t>
            </w:r>
          </w:p>
          <w:p w14:paraId="2D65FDC3">
            <w:pPr>
              <w:widowControl/>
              <w:snapToGrid w:val="0"/>
              <w:spacing w:line="440" w:lineRule="exact"/>
              <w:rPr>
                <w:rFonts w:ascii="宋体" w:hAnsi="宋体" w:eastAsia="宋体" w:cs="宋体"/>
                <w:sz w:val="24"/>
              </w:rPr>
            </w:pPr>
            <w:r>
              <w:rPr>
                <w:rFonts w:hint="eastAsia" w:ascii="宋体" w:hAnsi="宋体" w:eastAsia="宋体" w:cs="宋体"/>
                <w:color w:val="000000"/>
                <w:kern w:val="0"/>
                <w:sz w:val="24"/>
                <w:lang w:bidi="ar"/>
              </w:rPr>
              <w:t xml:space="preserve">3、擦拭消毒：严格按照消毒液规定配比进行稀释，用抹布蘸取消毒液，擦拭各食堂区域设施设备部件，每日不少于两次。 </w:t>
            </w:r>
          </w:p>
          <w:p w14:paraId="00024F9D">
            <w:pPr>
              <w:widowControl/>
              <w:snapToGrid w:val="0"/>
              <w:spacing w:line="440" w:lineRule="exact"/>
              <w:rPr>
                <w:rFonts w:ascii="宋体" w:hAnsi="宋体" w:cs="Arial"/>
                <w:color w:val="000000"/>
                <w:sz w:val="24"/>
              </w:rPr>
            </w:pPr>
            <w:r>
              <w:rPr>
                <w:rFonts w:hint="eastAsia" w:ascii="宋体" w:hAnsi="宋体" w:eastAsia="宋体" w:cs="宋体"/>
                <w:color w:val="000000"/>
                <w:kern w:val="0"/>
                <w:sz w:val="24"/>
                <w:lang w:bidi="ar"/>
              </w:rPr>
              <w:t xml:space="preserve">4、每次消毒完毕后，均需先用清水重新拖洗或擦拭，以免腐蚀；然后用干燥的尘推或抹布拖拭或擦拭一遍，保持表面干燥、污水渍。 </w:t>
            </w:r>
          </w:p>
        </w:tc>
      </w:tr>
    </w:tbl>
    <w:p w14:paraId="262FCE2D">
      <w:pPr>
        <w:pStyle w:val="15"/>
        <w:widowControl/>
        <w:spacing w:line="360" w:lineRule="auto"/>
        <w:ind w:firstLine="0" w:firstLineChars="0"/>
        <w:jc w:val="left"/>
        <w:rPr>
          <w:rFonts w:ascii="宋体" w:hAnsi="宋体" w:cs="宋体"/>
          <w:b/>
          <w:bCs/>
          <w:sz w:val="24"/>
          <w:szCs w:val="24"/>
        </w:rPr>
      </w:pPr>
    </w:p>
    <w:p w14:paraId="093FD2D1">
      <w:pPr>
        <w:pStyle w:val="3"/>
        <w:widowControl/>
        <w:spacing w:line="416" w:lineRule="auto"/>
        <w:rPr>
          <w:sz w:val="32"/>
          <w:szCs w:val="32"/>
        </w:rPr>
      </w:pPr>
      <w:bookmarkStart w:id="17" w:name="_Toc22284838"/>
      <w:bookmarkStart w:id="18" w:name="_Toc432753211"/>
      <w:r>
        <w:rPr>
          <w:sz w:val="32"/>
          <w:szCs w:val="32"/>
        </w:rPr>
        <w:t>四</w:t>
      </w:r>
      <w:r>
        <w:rPr>
          <w:rFonts w:hint="eastAsia"/>
          <w:sz w:val="32"/>
          <w:szCs w:val="32"/>
        </w:rPr>
        <w:t xml:space="preserve"> </w:t>
      </w:r>
      <w:r>
        <w:rPr>
          <w:sz w:val="32"/>
          <w:szCs w:val="32"/>
        </w:rPr>
        <w:t>、商务要求</w:t>
      </w:r>
      <w:bookmarkEnd w:id="17"/>
    </w:p>
    <w:tbl>
      <w:tblPr>
        <w:tblStyle w:val="10"/>
        <w:tblpPr w:leftFromText="180" w:rightFromText="180" w:vertAnchor="text" w:horzAnchor="page" w:tblpX="1596" w:tblpY="135"/>
        <w:tblOverlap w:val="never"/>
        <w:tblW w:w="50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430"/>
        <w:gridCol w:w="7891"/>
      </w:tblGrid>
      <w:tr w14:paraId="66F8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blHeader/>
        </w:trPr>
        <w:tc>
          <w:tcPr>
            <w:tcW w:w="415" w:type="pct"/>
            <w:tcBorders>
              <w:top w:val="single" w:color="auto" w:sz="4" w:space="0"/>
              <w:left w:val="single" w:color="auto" w:sz="4" w:space="0"/>
              <w:bottom w:val="single" w:color="auto" w:sz="4" w:space="0"/>
              <w:right w:val="single" w:color="auto" w:sz="4" w:space="0"/>
            </w:tcBorders>
            <w:shd w:val="clear" w:color="auto" w:fill="FFFFFF"/>
            <w:vAlign w:val="center"/>
          </w:tcPr>
          <w:p w14:paraId="1238E183">
            <w:pPr>
              <w:widowControl/>
              <w:spacing w:line="360" w:lineRule="exact"/>
              <w:ind w:right="-78" w:rightChars="-37"/>
              <w:jc w:val="center"/>
              <w:rPr>
                <w:rFonts w:ascii="宋体" w:hAnsi="宋体" w:eastAsia="宋体" w:cs="宋体"/>
                <w:b/>
                <w:sz w:val="24"/>
              </w:rPr>
            </w:pPr>
            <w:bookmarkStart w:id="19" w:name="_Toc1458936"/>
            <w:r>
              <w:rPr>
                <w:rFonts w:hint="eastAsia" w:ascii="宋体" w:hAnsi="宋体" w:eastAsia="宋体" w:cs="宋体"/>
                <w:b/>
                <w:sz w:val="24"/>
              </w:rPr>
              <w:t>序号</w:t>
            </w:r>
          </w:p>
        </w:tc>
        <w:tc>
          <w:tcPr>
            <w:tcW w:w="703" w:type="pct"/>
            <w:tcBorders>
              <w:top w:val="single" w:color="auto" w:sz="4" w:space="0"/>
              <w:left w:val="single" w:color="auto" w:sz="4" w:space="0"/>
              <w:bottom w:val="single" w:color="auto" w:sz="4" w:space="0"/>
              <w:right w:val="single" w:color="auto" w:sz="4" w:space="0"/>
            </w:tcBorders>
            <w:shd w:val="clear" w:color="auto" w:fill="FFFFFF"/>
            <w:vAlign w:val="center"/>
          </w:tcPr>
          <w:p w14:paraId="1E4CB81A">
            <w:pPr>
              <w:widowControl/>
              <w:spacing w:line="360" w:lineRule="exact"/>
              <w:jc w:val="center"/>
              <w:rPr>
                <w:rFonts w:ascii="宋体" w:hAnsi="宋体" w:eastAsia="宋体" w:cs="宋体"/>
                <w:b/>
                <w:kern w:val="0"/>
                <w:sz w:val="24"/>
              </w:rPr>
            </w:pPr>
            <w:r>
              <w:rPr>
                <w:rFonts w:hint="eastAsia" w:ascii="宋体" w:hAnsi="宋体" w:eastAsia="宋体" w:cs="宋体"/>
                <w:b/>
                <w:kern w:val="0"/>
                <w:sz w:val="24"/>
              </w:rPr>
              <w:t>商务条款</w:t>
            </w:r>
          </w:p>
        </w:tc>
        <w:tc>
          <w:tcPr>
            <w:tcW w:w="3880" w:type="pct"/>
            <w:tcBorders>
              <w:top w:val="single" w:color="auto" w:sz="4" w:space="0"/>
              <w:left w:val="single" w:color="auto" w:sz="4" w:space="0"/>
              <w:bottom w:val="single" w:color="auto" w:sz="4" w:space="0"/>
              <w:right w:val="single" w:color="auto" w:sz="4" w:space="0"/>
            </w:tcBorders>
            <w:shd w:val="clear" w:color="auto" w:fill="FFFFFF"/>
            <w:vAlign w:val="center"/>
          </w:tcPr>
          <w:p w14:paraId="4C8C2A94">
            <w:pPr>
              <w:widowControl/>
              <w:spacing w:line="360" w:lineRule="exact"/>
              <w:ind w:left="-92" w:leftChars="-44" w:right="-78" w:rightChars="-37" w:firstLine="482" w:firstLineChars="200"/>
              <w:jc w:val="center"/>
              <w:rPr>
                <w:rFonts w:ascii="宋体" w:hAnsi="宋体" w:eastAsia="宋体" w:cs="宋体"/>
                <w:b/>
                <w:sz w:val="24"/>
              </w:rPr>
            </w:pPr>
            <w:r>
              <w:rPr>
                <w:rFonts w:hint="eastAsia" w:ascii="宋体" w:hAnsi="宋体" w:eastAsia="宋体" w:cs="宋体"/>
                <w:b/>
                <w:sz w:val="24"/>
              </w:rPr>
              <w:t>内    容</w:t>
            </w:r>
          </w:p>
        </w:tc>
      </w:tr>
      <w:tr w14:paraId="032F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15" w:type="pct"/>
            <w:tcBorders>
              <w:top w:val="single" w:color="auto" w:sz="4" w:space="0"/>
              <w:left w:val="single" w:color="auto" w:sz="4" w:space="0"/>
              <w:bottom w:val="single" w:color="auto" w:sz="4" w:space="0"/>
              <w:right w:val="single" w:color="auto" w:sz="4" w:space="0"/>
            </w:tcBorders>
            <w:vAlign w:val="center"/>
          </w:tcPr>
          <w:p w14:paraId="7CD4F461">
            <w:pPr>
              <w:widowControl/>
              <w:tabs>
                <w:tab w:val="left" w:pos="102"/>
              </w:tabs>
              <w:spacing w:line="280" w:lineRule="exact"/>
              <w:ind w:right="-65" w:rightChars="-31"/>
              <w:jc w:val="center"/>
              <w:rPr>
                <w:rFonts w:ascii="宋体" w:hAnsi="宋体" w:eastAsia="宋体" w:cs="宋体"/>
                <w:b/>
                <w:sz w:val="24"/>
              </w:rPr>
            </w:pPr>
            <w:r>
              <w:rPr>
                <w:rFonts w:hint="eastAsia" w:ascii="宋体" w:hAnsi="宋体" w:eastAsia="宋体" w:cs="宋体"/>
                <w:b/>
                <w:sz w:val="24"/>
              </w:rPr>
              <w:t>1</w:t>
            </w:r>
          </w:p>
        </w:tc>
        <w:tc>
          <w:tcPr>
            <w:tcW w:w="703" w:type="pct"/>
            <w:tcBorders>
              <w:top w:val="single" w:color="auto" w:sz="4" w:space="0"/>
              <w:left w:val="single" w:color="auto" w:sz="4" w:space="0"/>
              <w:bottom w:val="single" w:color="auto" w:sz="4" w:space="0"/>
              <w:right w:val="single" w:color="auto" w:sz="4" w:space="0"/>
            </w:tcBorders>
            <w:vAlign w:val="center"/>
          </w:tcPr>
          <w:p w14:paraId="2F83D0DB">
            <w:pPr>
              <w:widowControl/>
              <w:spacing w:line="360" w:lineRule="exact"/>
              <w:jc w:val="center"/>
              <w:rPr>
                <w:rFonts w:ascii="宋体" w:hAnsi="宋体" w:eastAsia="宋体" w:cs="宋体"/>
                <w:b/>
                <w:sz w:val="24"/>
              </w:rPr>
            </w:pPr>
            <w:r>
              <w:rPr>
                <w:rFonts w:hint="eastAsia" w:ascii="宋体" w:hAnsi="宋体" w:eastAsia="宋体" w:cs="宋体"/>
                <w:b/>
                <w:sz w:val="24"/>
              </w:rPr>
              <w:t>服务期</w:t>
            </w:r>
          </w:p>
        </w:tc>
        <w:tc>
          <w:tcPr>
            <w:tcW w:w="3880" w:type="pct"/>
            <w:tcBorders>
              <w:top w:val="single" w:color="auto" w:sz="4" w:space="0"/>
              <w:left w:val="single" w:color="auto" w:sz="4" w:space="0"/>
              <w:bottom w:val="single" w:color="auto" w:sz="4" w:space="0"/>
              <w:right w:val="single" w:color="auto" w:sz="4" w:space="0"/>
            </w:tcBorders>
            <w:vAlign w:val="center"/>
          </w:tcPr>
          <w:p w14:paraId="6850CF1A">
            <w:pPr>
              <w:widowControl/>
              <w:spacing w:line="360" w:lineRule="auto"/>
              <w:jc w:val="left"/>
              <w:rPr>
                <w:rFonts w:ascii="宋体" w:hAnsi="宋体" w:eastAsia="宋体" w:cs="宋体"/>
                <w:sz w:val="24"/>
              </w:rPr>
            </w:pPr>
            <w:r>
              <w:rPr>
                <w:rFonts w:hint="eastAsia" w:ascii="宋体" w:hAnsi="宋体" w:eastAsia="宋体" w:cs="宋体"/>
                <w:sz w:val="24"/>
                <w:szCs w:val="22"/>
              </w:rPr>
              <w:t>★</w:t>
            </w:r>
            <w:r>
              <w:rPr>
                <w:rFonts w:hint="eastAsia" w:ascii="宋体" w:hAnsi="宋体" w:eastAsia="宋体" w:cs="宋体"/>
                <w:sz w:val="24"/>
              </w:rPr>
              <w:t>合同签订之日起1年。</w:t>
            </w:r>
          </w:p>
        </w:tc>
      </w:tr>
      <w:tr w14:paraId="7C64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5" w:type="pct"/>
            <w:tcBorders>
              <w:top w:val="single" w:color="auto" w:sz="4" w:space="0"/>
              <w:left w:val="single" w:color="auto" w:sz="4" w:space="0"/>
              <w:bottom w:val="single" w:color="auto" w:sz="4" w:space="0"/>
              <w:right w:val="single" w:color="auto" w:sz="4" w:space="0"/>
            </w:tcBorders>
            <w:vAlign w:val="center"/>
          </w:tcPr>
          <w:p w14:paraId="55EC4B4A">
            <w:pPr>
              <w:widowControl/>
              <w:tabs>
                <w:tab w:val="left" w:pos="102"/>
              </w:tabs>
              <w:spacing w:line="280" w:lineRule="exact"/>
              <w:ind w:right="-65" w:rightChars="-31"/>
              <w:jc w:val="center"/>
              <w:rPr>
                <w:rFonts w:ascii="宋体" w:hAnsi="宋体" w:eastAsia="宋体" w:cs="宋体"/>
                <w:b/>
                <w:sz w:val="24"/>
              </w:rPr>
            </w:pPr>
            <w:r>
              <w:rPr>
                <w:rFonts w:hint="eastAsia" w:ascii="宋体" w:hAnsi="宋体" w:eastAsia="宋体" w:cs="宋体"/>
                <w:b/>
                <w:sz w:val="24"/>
              </w:rPr>
              <w:t>2</w:t>
            </w:r>
          </w:p>
        </w:tc>
        <w:tc>
          <w:tcPr>
            <w:tcW w:w="703" w:type="pct"/>
            <w:tcBorders>
              <w:top w:val="single" w:color="auto" w:sz="4" w:space="0"/>
              <w:left w:val="single" w:color="auto" w:sz="4" w:space="0"/>
              <w:bottom w:val="single" w:color="auto" w:sz="4" w:space="0"/>
              <w:right w:val="single" w:color="auto" w:sz="4" w:space="0"/>
            </w:tcBorders>
            <w:vAlign w:val="center"/>
          </w:tcPr>
          <w:p w14:paraId="38F7EB17">
            <w:pPr>
              <w:widowControl/>
              <w:spacing w:line="360" w:lineRule="auto"/>
              <w:ind w:right="-78" w:rightChars="-37"/>
              <w:jc w:val="center"/>
              <w:rPr>
                <w:rFonts w:ascii="宋体" w:hAnsi="宋体" w:eastAsia="宋体" w:cs="宋体"/>
                <w:b/>
                <w:sz w:val="24"/>
              </w:rPr>
            </w:pPr>
            <w:r>
              <w:rPr>
                <w:rFonts w:hint="eastAsia" w:ascii="宋体" w:hAnsi="宋体" w:eastAsia="宋体" w:cs="宋体"/>
                <w:b/>
                <w:sz w:val="24"/>
              </w:rPr>
              <w:t>服务地点</w:t>
            </w:r>
          </w:p>
        </w:tc>
        <w:tc>
          <w:tcPr>
            <w:tcW w:w="3880" w:type="pct"/>
            <w:tcBorders>
              <w:top w:val="single" w:color="auto" w:sz="4" w:space="0"/>
              <w:left w:val="single" w:color="auto" w:sz="4" w:space="0"/>
              <w:bottom w:val="single" w:color="auto" w:sz="4" w:space="0"/>
              <w:right w:val="single" w:color="auto" w:sz="4" w:space="0"/>
            </w:tcBorders>
            <w:vAlign w:val="center"/>
          </w:tcPr>
          <w:p w14:paraId="3B620F13">
            <w:pPr>
              <w:widowControl/>
              <w:snapToGrid w:val="0"/>
              <w:spacing w:line="440" w:lineRule="exact"/>
              <w:jc w:val="left"/>
              <w:rPr>
                <w:rFonts w:ascii="宋体" w:hAnsi="宋体" w:eastAsia="宋体" w:cs="宋体"/>
                <w:color w:val="FF0000"/>
                <w:sz w:val="24"/>
              </w:rPr>
            </w:pPr>
            <w:r>
              <w:rPr>
                <w:rFonts w:ascii="Segoe UI" w:hAnsi="Segoe UI" w:eastAsia="Segoe UI" w:cs="Segoe UI"/>
                <w:color w:val="333333"/>
                <w:kern w:val="0"/>
                <w:sz w:val="24"/>
                <w:shd w:val="clear" w:color="auto" w:fill="FFFFFF"/>
                <w:lang w:bidi="ar"/>
              </w:rPr>
              <w:t>东西湖区</w:t>
            </w:r>
            <w:r>
              <w:rPr>
                <w:rFonts w:hint="eastAsia" w:ascii="Segoe UI" w:hAnsi="Segoe UI" w:eastAsia="Segoe UI" w:cs="Segoe UI"/>
                <w:color w:val="333333"/>
                <w:kern w:val="0"/>
                <w:sz w:val="24"/>
                <w:shd w:val="clear" w:color="auto" w:fill="FFFFFF"/>
                <w:lang w:bidi="ar"/>
              </w:rPr>
              <w:t>社会治理中心</w:t>
            </w:r>
          </w:p>
        </w:tc>
      </w:tr>
      <w:tr w14:paraId="0ACC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15" w:type="pct"/>
            <w:tcBorders>
              <w:top w:val="single" w:color="auto" w:sz="4" w:space="0"/>
              <w:left w:val="single" w:color="auto" w:sz="4" w:space="0"/>
              <w:bottom w:val="single" w:color="auto" w:sz="4" w:space="0"/>
              <w:right w:val="single" w:color="auto" w:sz="4" w:space="0"/>
            </w:tcBorders>
            <w:vAlign w:val="center"/>
          </w:tcPr>
          <w:p w14:paraId="3D9E502D">
            <w:pPr>
              <w:widowControl/>
              <w:tabs>
                <w:tab w:val="left" w:pos="102"/>
              </w:tabs>
              <w:spacing w:line="280" w:lineRule="exact"/>
              <w:ind w:right="-65" w:rightChars="-31"/>
              <w:jc w:val="center"/>
              <w:rPr>
                <w:rFonts w:ascii="宋体" w:hAnsi="宋体" w:eastAsia="宋体" w:cs="宋体"/>
                <w:b/>
                <w:sz w:val="24"/>
              </w:rPr>
            </w:pPr>
            <w:r>
              <w:rPr>
                <w:rFonts w:hint="eastAsia" w:ascii="宋体" w:hAnsi="宋体" w:eastAsia="宋体" w:cs="宋体"/>
                <w:b/>
                <w:sz w:val="24"/>
              </w:rPr>
              <w:t>3</w:t>
            </w:r>
          </w:p>
        </w:tc>
        <w:tc>
          <w:tcPr>
            <w:tcW w:w="703" w:type="pct"/>
            <w:tcBorders>
              <w:top w:val="single" w:color="auto" w:sz="4" w:space="0"/>
              <w:left w:val="single" w:color="auto" w:sz="4" w:space="0"/>
              <w:bottom w:val="single" w:color="auto" w:sz="4" w:space="0"/>
              <w:right w:val="single" w:color="auto" w:sz="4" w:space="0"/>
            </w:tcBorders>
            <w:vAlign w:val="center"/>
          </w:tcPr>
          <w:p w14:paraId="047506AB">
            <w:pPr>
              <w:widowControl/>
              <w:spacing w:line="360" w:lineRule="auto"/>
              <w:ind w:right="-78" w:rightChars="-37"/>
              <w:jc w:val="center"/>
              <w:rPr>
                <w:rFonts w:ascii="宋体" w:hAnsi="宋体" w:eastAsia="宋体" w:cs="宋体"/>
                <w:b/>
                <w:sz w:val="24"/>
              </w:rPr>
            </w:pPr>
            <w:r>
              <w:rPr>
                <w:rFonts w:hint="eastAsia" w:ascii="宋体" w:hAnsi="宋体" w:eastAsia="宋体" w:cs="宋体"/>
                <w:b/>
                <w:sz w:val="24"/>
              </w:rPr>
              <w:t>付款方式</w:t>
            </w:r>
          </w:p>
        </w:tc>
        <w:tc>
          <w:tcPr>
            <w:tcW w:w="3880" w:type="pct"/>
            <w:tcBorders>
              <w:top w:val="single" w:color="auto" w:sz="4" w:space="0"/>
              <w:left w:val="single" w:color="auto" w:sz="4" w:space="0"/>
              <w:bottom w:val="single" w:color="auto" w:sz="4" w:space="0"/>
              <w:right w:val="single" w:color="auto" w:sz="4" w:space="0"/>
            </w:tcBorders>
            <w:vAlign w:val="center"/>
          </w:tcPr>
          <w:p w14:paraId="784C4545">
            <w:pPr>
              <w:widowControl/>
              <w:snapToGrid w:val="0"/>
              <w:spacing w:line="440" w:lineRule="exact"/>
              <w:jc w:val="left"/>
              <w:rPr>
                <w:rFonts w:ascii="宋体" w:hAnsi="宋体" w:eastAsia="宋体" w:cs="宋体"/>
                <w:color w:val="FF0000"/>
                <w:sz w:val="24"/>
                <w:highlight w:val="yellow"/>
                <w:lang w:val="zh-CN"/>
              </w:rPr>
            </w:pPr>
            <w:r>
              <w:rPr>
                <w:rFonts w:hint="eastAsia" w:ascii="宋体" w:hAnsi="宋体" w:eastAsia="宋体" w:cs="宋体"/>
                <w:color w:val="000000"/>
                <w:sz w:val="24"/>
                <w:szCs w:val="22"/>
              </w:rPr>
              <w:t>采购人按每月度考核结果每月支付一次服务费，于次月10日前支付前一个月的服务费。</w:t>
            </w:r>
          </w:p>
        </w:tc>
      </w:tr>
      <w:tr w14:paraId="63A7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0" w:hRule="atLeast"/>
        </w:trPr>
        <w:tc>
          <w:tcPr>
            <w:tcW w:w="415" w:type="pct"/>
            <w:vMerge w:val="restart"/>
            <w:tcBorders>
              <w:top w:val="single" w:color="auto" w:sz="4" w:space="0"/>
              <w:left w:val="single" w:color="auto" w:sz="4" w:space="0"/>
              <w:right w:val="single" w:color="auto" w:sz="4" w:space="0"/>
            </w:tcBorders>
            <w:vAlign w:val="center"/>
          </w:tcPr>
          <w:p w14:paraId="2DA1F060">
            <w:pPr>
              <w:widowControl/>
              <w:tabs>
                <w:tab w:val="left" w:pos="102"/>
              </w:tabs>
              <w:spacing w:line="280" w:lineRule="exact"/>
              <w:ind w:right="-65" w:rightChars="-31"/>
              <w:jc w:val="center"/>
              <w:rPr>
                <w:rFonts w:ascii="宋体" w:hAnsi="宋体" w:eastAsia="宋体" w:cs="宋体"/>
                <w:b/>
                <w:sz w:val="24"/>
              </w:rPr>
            </w:pPr>
            <w:r>
              <w:rPr>
                <w:rFonts w:hint="eastAsia" w:ascii="宋体" w:hAnsi="宋体" w:eastAsia="宋体" w:cs="宋体"/>
                <w:b/>
                <w:sz w:val="24"/>
              </w:rPr>
              <w:t>4</w:t>
            </w:r>
          </w:p>
        </w:tc>
        <w:tc>
          <w:tcPr>
            <w:tcW w:w="703" w:type="pct"/>
            <w:vMerge w:val="restart"/>
            <w:tcBorders>
              <w:top w:val="single" w:color="auto" w:sz="4" w:space="0"/>
              <w:left w:val="single" w:color="auto" w:sz="4" w:space="0"/>
              <w:right w:val="single" w:color="auto" w:sz="4" w:space="0"/>
            </w:tcBorders>
            <w:vAlign w:val="center"/>
          </w:tcPr>
          <w:p w14:paraId="202D227E">
            <w:pPr>
              <w:widowControl/>
              <w:spacing w:line="360" w:lineRule="auto"/>
              <w:ind w:left="-57" w:leftChars="-27" w:right="-78" w:rightChars="-37" w:firstLine="55" w:firstLineChars="23"/>
              <w:jc w:val="center"/>
              <w:rPr>
                <w:rFonts w:ascii="宋体" w:hAnsi="宋体" w:eastAsia="宋体" w:cs="宋体"/>
                <w:b/>
                <w:sz w:val="24"/>
              </w:rPr>
            </w:pPr>
            <w:r>
              <w:rPr>
                <w:rFonts w:hint="eastAsia" w:ascii="宋体" w:hAnsi="宋体" w:eastAsia="宋体" w:cs="宋体"/>
                <w:b/>
                <w:sz w:val="24"/>
              </w:rPr>
              <w:t>报价要求</w:t>
            </w:r>
          </w:p>
        </w:tc>
        <w:tc>
          <w:tcPr>
            <w:tcW w:w="3880" w:type="pct"/>
            <w:tcBorders>
              <w:top w:val="single" w:color="auto" w:sz="4" w:space="0"/>
              <w:left w:val="single" w:color="auto" w:sz="4" w:space="0"/>
              <w:bottom w:val="single" w:color="auto" w:sz="4" w:space="0"/>
              <w:right w:val="single" w:color="auto" w:sz="4" w:space="0"/>
            </w:tcBorders>
            <w:vAlign w:val="center"/>
          </w:tcPr>
          <w:p w14:paraId="07C2B718">
            <w:pPr>
              <w:widowControl/>
              <w:snapToGrid w:val="0"/>
              <w:spacing w:line="440" w:lineRule="exact"/>
              <w:jc w:val="left"/>
              <w:rPr>
                <w:rFonts w:ascii="宋体" w:hAnsi="宋体" w:eastAsia="宋体" w:cs="宋体"/>
                <w:sz w:val="24"/>
                <w:lang w:val="zh-CN"/>
              </w:rPr>
            </w:pPr>
            <w:r>
              <w:rPr>
                <w:rFonts w:hint="eastAsia" w:ascii="宋体" w:hAnsi="宋体" w:cs="仿宋"/>
                <w:sz w:val="24"/>
              </w:rPr>
              <w:t>本项目托管服务费</w:t>
            </w:r>
            <w:r>
              <w:rPr>
                <w:rFonts w:hint="eastAsia" w:ascii="宋体" w:hAnsi="宋体" w:eastAsia="宋体" w:cs="宋体"/>
                <w:color w:val="000000"/>
                <w:sz w:val="24"/>
                <w:szCs w:val="22"/>
              </w:rPr>
              <w:t>为完成本项目各项服务可能发生的全部费用及供应商利润和应交纳的税金等，包括但不限于人员工资，《劳动合同法》规定的各种社会保险费、人员住宿与交通、工具、办公费、材料费等。</w:t>
            </w:r>
            <w:r>
              <w:rPr>
                <w:rFonts w:hint="eastAsia" w:ascii="宋体" w:hAnsi="宋体" w:eastAsia="宋体" w:cs="宋体"/>
                <w:sz w:val="24"/>
                <w:lang w:val="zh-CN"/>
              </w:rPr>
              <w:t>投标人的报价应包含为完成本招标文件提出的货物或服务等全部相关工作所有可能发生的费用，即投标总报价为“交钥匙”价。</w:t>
            </w:r>
            <w:r>
              <w:rPr>
                <w:rFonts w:hint="eastAsia" w:ascii="宋体" w:hAnsi="宋体" w:eastAsia="宋体" w:cs="宋体"/>
                <w:b/>
                <w:bCs/>
                <w:color w:val="000000"/>
                <w:sz w:val="24"/>
                <w:u w:val="single"/>
              </w:rPr>
              <w:t>托管</w:t>
            </w:r>
            <w:r>
              <w:rPr>
                <w:rFonts w:hint="eastAsia" w:ascii="宋体" w:hAnsi="宋体" w:cs="仿宋"/>
                <w:b/>
                <w:bCs/>
                <w:color w:val="000000"/>
                <w:sz w:val="24"/>
                <w:u w:val="single"/>
              </w:rPr>
              <w:t>服务费用不包含厨房场地房租费、物业管理费、水电气费、设备设施购置费、供餐所需原材料费用、原物料费用等费用。</w:t>
            </w:r>
            <w:r>
              <w:rPr>
                <w:rFonts w:hint="eastAsia" w:ascii="宋体" w:hAnsi="宋体" w:eastAsia="宋体" w:cs="宋体"/>
                <w:sz w:val="24"/>
                <w:lang w:val="zh-CN"/>
              </w:rPr>
              <w:t>对在合同实施过程中可能发生的其他费用，采购人概不负责。</w:t>
            </w:r>
            <w:r>
              <w:rPr>
                <w:rFonts w:hint="eastAsia" w:ascii="宋体" w:hAnsi="宋体" w:eastAsia="宋体" w:cs="宋体"/>
                <w:color w:val="000000"/>
                <w:kern w:val="0"/>
                <w:sz w:val="24"/>
                <w:lang w:bidi="ar"/>
              </w:rPr>
              <w:t>服务期间如遇政府最低工资、社保缴纳基数调整，由中标人自行承担。</w:t>
            </w:r>
          </w:p>
        </w:tc>
      </w:tr>
      <w:tr w14:paraId="0D46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pct"/>
            <w:vMerge w:val="continue"/>
            <w:tcBorders>
              <w:left w:val="single" w:color="auto" w:sz="4" w:space="0"/>
              <w:right w:val="single" w:color="auto" w:sz="4" w:space="0"/>
            </w:tcBorders>
            <w:vAlign w:val="center"/>
          </w:tcPr>
          <w:p w14:paraId="0B2A85DC">
            <w:pPr>
              <w:rPr>
                <w:rFonts w:ascii="Times New Roman" w:hAnsi="Times New Roman" w:cs="Times New Roman"/>
                <w:sz w:val="20"/>
                <w:szCs w:val="20"/>
              </w:rPr>
            </w:pPr>
          </w:p>
        </w:tc>
        <w:tc>
          <w:tcPr>
            <w:tcW w:w="703" w:type="pct"/>
            <w:vMerge w:val="continue"/>
            <w:tcBorders>
              <w:left w:val="single" w:color="auto" w:sz="4" w:space="0"/>
              <w:right w:val="single" w:color="auto" w:sz="4" w:space="0"/>
            </w:tcBorders>
            <w:vAlign w:val="center"/>
          </w:tcPr>
          <w:p w14:paraId="7F95A379">
            <w:pPr>
              <w:rPr>
                <w:rFonts w:ascii="Times New Roman" w:hAnsi="Times New Roman" w:cs="Times New Roman"/>
                <w:sz w:val="20"/>
                <w:szCs w:val="20"/>
              </w:rPr>
            </w:pPr>
          </w:p>
        </w:tc>
        <w:tc>
          <w:tcPr>
            <w:tcW w:w="3880" w:type="pct"/>
            <w:tcBorders>
              <w:top w:val="single" w:color="auto" w:sz="4" w:space="0"/>
              <w:left w:val="single" w:color="auto" w:sz="4" w:space="0"/>
              <w:bottom w:val="single" w:color="auto" w:sz="4" w:space="0"/>
              <w:right w:val="single" w:color="auto" w:sz="4" w:space="0"/>
            </w:tcBorders>
            <w:vAlign w:val="center"/>
          </w:tcPr>
          <w:p w14:paraId="1D773A6A">
            <w:pPr>
              <w:widowControl/>
              <w:snapToGrid w:val="0"/>
              <w:spacing w:line="440" w:lineRule="exact"/>
              <w:jc w:val="left"/>
              <w:rPr>
                <w:rFonts w:ascii="宋体" w:hAnsi="宋体" w:eastAsia="宋体" w:cs="宋体"/>
                <w:sz w:val="24"/>
                <w:lang w:val="zh-CN"/>
              </w:rPr>
            </w:pPr>
            <w:r>
              <w:rPr>
                <w:rFonts w:hint="eastAsia" w:ascii="宋体" w:hAnsi="宋体" w:eastAsia="宋体" w:cs="宋体"/>
                <w:sz w:val="24"/>
                <w:lang w:val="zh-CN"/>
              </w:rPr>
              <w:t>对本文件未列明，而投标人认为必需的费用也需列入投标总报价。在合同实施时，采购人将不予支付中标人没有列入的项目费用，并认为此项目的费用已包含在投标总报价中。</w:t>
            </w:r>
          </w:p>
        </w:tc>
      </w:tr>
      <w:tr w14:paraId="40C0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pct"/>
            <w:tcBorders>
              <w:top w:val="single" w:color="auto" w:sz="4" w:space="0"/>
              <w:left w:val="single" w:color="auto" w:sz="4" w:space="0"/>
              <w:bottom w:val="single" w:color="auto" w:sz="4" w:space="0"/>
              <w:right w:val="single" w:color="auto" w:sz="4" w:space="0"/>
            </w:tcBorders>
            <w:vAlign w:val="center"/>
          </w:tcPr>
          <w:p w14:paraId="0D1C5227">
            <w:pPr>
              <w:widowControl/>
              <w:tabs>
                <w:tab w:val="left" w:pos="102"/>
              </w:tabs>
              <w:spacing w:line="280" w:lineRule="exact"/>
              <w:ind w:right="-65" w:rightChars="-31"/>
              <w:jc w:val="center"/>
              <w:rPr>
                <w:rFonts w:ascii="宋体" w:hAnsi="宋体" w:eastAsia="宋体" w:cs="宋体"/>
                <w:sz w:val="24"/>
              </w:rPr>
            </w:pPr>
            <w:r>
              <w:rPr>
                <w:rFonts w:hint="eastAsia" w:ascii="宋体" w:hAnsi="宋体" w:cs="宋体"/>
                <w:sz w:val="24"/>
              </w:rPr>
              <w:t>5</w:t>
            </w:r>
          </w:p>
        </w:tc>
        <w:tc>
          <w:tcPr>
            <w:tcW w:w="703" w:type="pct"/>
            <w:tcBorders>
              <w:top w:val="single" w:color="auto" w:sz="4" w:space="0"/>
              <w:left w:val="single" w:color="auto" w:sz="4" w:space="0"/>
              <w:bottom w:val="single" w:color="auto" w:sz="4" w:space="0"/>
              <w:right w:val="single" w:color="auto" w:sz="4" w:space="0"/>
            </w:tcBorders>
            <w:vAlign w:val="center"/>
          </w:tcPr>
          <w:p w14:paraId="0DD2E3D4">
            <w:pPr>
              <w:widowControl/>
              <w:spacing w:line="360" w:lineRule="auto"/>
              <w:ind w:right="-78" w:rightChars="-37"/>
              <w:jc w:val="center"/>
              <w:rPr>
                <w:rFonts w:ascii="宋体" w:hAnsi="宋体" w:eastAsia="宋体" w:cs="宋体"/>
                <w:b/>
                <w:sz w:val="24"/>
              </w:rPr>
            </w:pPr>
            <w:r>
              <w:rPr>
                <w:rFonts w:hint="eastAsia" w:ascii="宋体" w:hAnsi="宋体" w:eastAsia="宋体" w:cs="宋体"/>
                <w:b/>
                <w:sz w:val="24"/>
              </w:rPr>
              <w:t>售后服务</w:t>
            </w:r>
          </w:p>
        </w:tc>
        <w:tc>
          <w:tcPr>
            <w:tcW w:w="3880" w:type="pct"/>
            <w:tcBorders>
              <w:top w:val="single" w:color="auto" w:sz="4" w:space="0"/>
              <w:left w:val="single" w:color="auto" w:sz="4" w:space="0"/>
              <w:bottom w:val="single" w:color="auto" w:sz="4" w:space="0"/>
              <w:right w:val="single" w:color="auto" w:sz="4" w:space="0"/>
            </w:tcBorders>
            <w:vAlign w:val="center"/>
          </w:tcPr>
          <w:p w14:paraId="0A5D5EBF">
            <w:pPr>
              <w:widowControl/>
              <w:snapToGrid w:val="0"/>
              <w:spacing w:line="440" w:lineRule="exact"/>
              <w:jc w:val="left"/>
              <w:rPr>
                <w:rFonts w:ascii="宋体" w:hAnsi="宋体" w:eastAsia="宋体" w:cs="宋体"/>
                <w:color w:val="000000"/>
                <w:sz w:val="24"/>
                <w:szCs w:val="22"/>
              </w:rPr>
            </w:pPr>
            <w:r>
              <w:rPr>
                <w:rFonts w:hint="eastAsia" w:ascii="宋体" w:hAnsi="宋体" w:eastAsia="宋体" w:cs="宋体"/>
                <w:sz w:val="24"/>
                <w:szCs w:val="22"/>
              </w:rPr>
              <w:t>服务期限：根据《关于推进和完善服务项目政府采购有关问题的通知（财库【2014】37号）》相关规定，“采购需求具有相对固定性、延续性且价格变化幅度小的服务项目，在年度预算能保障的前提下，采购人可以签订不超过三年履行期限的政府采购合同”，本项目服务期满1年后，采购人可视情况确定</w:t>
            </w:r>
            <w:r>
              <w:rPr>
                <w:rFonts w:hint="eastAsia" w:ascii="宋体" w:hAnsi="宋体" w:eastAsia="宋体" w:cs="宋体"/>
                <w:bCs/>
                <w:sz w:val="24"/>
                <w:szCs w:val="22"/>
              </w:rPr>
              <w:t>是否</w:t>
            </w:r>
            <w:r>
              <w:rPr>
                <w:rFonts w:hint="eastAsia" w:ascii="宋体" w:hAnsi="宋体" w:eastAsia="宋体" w:cs="宋体"/>
                <w:sz w:val="24"/>
                <w:szCs w:val="22"/>
              </w:rPr>
              <w:t>和中标人续签第二、三年合同。</w:t>
            </w:r>
            <w:r>
              <w:rPr>
                <w:rFonts w:hint="eastAsia" w:ascii="宋体" w:hAnsi="宋体" w:eastAsia="宋体" w:cs="宋体"/>
                <w:color w:val="000000"/>
                <w:kern w:val="0"/>
                <w:sz w:val="24"/>
              </w:rPr>
              <w:t>采购人如果续签合同，按照本次招标的中标金额续签第二、三个服务周期的合同。</w:t>
            </w:r>
          </w:p>
        </w:tc>
      </w:tr>
      <w:tr w14:paraId="21FB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pct"/>
            <w:tcBorders>
              <w:top w:val="single" w:color="auto" w:sz="4" w:space="0"/>
              <w:left w:val="single" w:color="auto" w:sz="4" w:space="0"/>
              <w:bottom w:val="single" w:color="auto" w:sz="4" w:space="0"/>
              <w:right w:val="single" w:color="auto" w:sz="4" w:space="0"/>
            </w:tcBorders>
            <w:vAlign w:val="center"/>
          </w:tcPr>
          <w:p w14:paraId="5605AEEE">
            <w:pPr>
              <w:widowControl/>
              <w:tabs>
                <w:tab w:val="left" w:pos="102"/>
              </w:tabs>
              <w:spacing w:line="280" w:lineRule="exact"/>
              <w:ind w:right="-65" w:rightChars="-31"/>
              <w:jc w:val="center"/>
              <w:rPr>
                <w:rFonts w:ascii="宋体" w:hAnsi="宋体" w:eastAsia="宋体" w:cs="宋体"/>
                <w:sz w:val="24"/>
              </w:rPr>
            </w:pPr>
            <w:r>
              <w:rPr>
                <w:rFonts w:hint="eastAsia" w:ascii="宋体" w:hAnsi="宋体" w:eastAsia="宋体" w:cs="宋体"/>
                <w:sz w:val="24"/>
              </w:rPr>
              <w:t>6</w:t>
            </w:r>
          </w:p>
        </w:tc>
        <w:tc>
          <w:tcPr>
            <w:tcW w:w="703" w:type="pct"/>
            <w:tcBorders>
              <w:top w:val="single" w:color="auto" w:sz="4" w:space="0"/>
              <w:left w:val="single" w:color="auto" w:sz="4" w:space="0"/>
              <w:bottom w:val="single" w:color="auto" w:sz="4" w:space="0"/>
              <w:right w:val="single" w:color="auto" w:sz="4" w:space="0"/>
            </w:tcBorders>
            <w:vAlign w:val="center"/>
          </w:tcPr>
          <w:p w14:paraId="4B900096">
            <w:pPr>
              <w:widowControl/>
              <w:spacing w:line="360" w:lineRule="auto"/>
              <w:ind w:right="-78" w:rightChars="-37"/>
              <w:jc w:val="center"/>
              <w:rPr>
                <w:rFonts w:ascii="宋体" w:hAnsi="宋体" w:eastAsia="宋体" w:cs="宋体"/>
                <w:b/>
                <w:sz w:val="24"/>
              </w:rPr>
            </w:pPr>
            <w:r>
              <w:rPr>
                <w:rFonts w:hint="eastAsia" w:ascii="宋体" w:hAnsi="宋体" w:eastAsia="宋体" w:cs="宋体"/>
                <w:b/>
                <w:sz w:val="24"/>
              </w:rPr>
              <w:t>验收要求</w:t>
            </w:r>
          </w:p>
        </w:tc>
        <w:tc>
          <w:tcPr>
            <w:tcW w:w="3880" w:type="pct"/>
            <w:tcBorders>
              <w:top w:val="single" w:color="auto" w:sz="4" w:space="0"/>
              <w:left w:val="single" w:color="auto" w:sz="4" w:space="0"/>
              <w:bottom w:val="single" w:color="auto" w:sz="4" w:space="0"/>
              <w:right w:val="single" w:color="auto" w:sz="4" w:space="0"/>
            </w:tcBorders>
            <w:vAlign w:val="center"/>
          </w:tcPr>
          <w:p w14:paraId="6C22C586">
            <w:pPr>
              <w:widowControl/>
              <w:snapToGrid w:val="0"/>
              <w:spacing w:line="440" w:lineRule="exact"/>
              <w:jc w:val="left"/>
              <w:rPr>
                <w:rFonts w:ascii="宋体" w:hAnsi="宋体" w:eastAsia="宋体" w:cs="宋体"/>
                <w:sz w:val="24"/>
                <w:szCs w:val="22"/>
              </w:rPr>
            </w:pPr>
            <w:r>
              <w:rPr>
                <w:rFonts w:hint="eastAsia" w:ascii="宋体" w:hAnsi="宋体" w:eastAsia="宋体" w:cs="宋体"/>
                <w:color w:val="000000"/>
                <w:sz w:val="24"/>
                <w:szCs w:val="22"/>
              </w:rPr>
              <w:t>招标人除日常性的对中标人食堂托管服务工作进行监督检查外，每月将组织一次全面考核，考核结果作为食堂服务质量评判依据。</w:t>
            </w:r>
          </w:p>
        </w:tc>
      </w:tr>
      <w:tr w14:paraId="6F90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pct"/>
            <w:vMerge w:val="restart"/>
            <w:tcBorders>
              <w:top w:val="single" w:color="auto" w:sz="4" w:space="0"/>
              <w:left w:val="single" w:color="auto" w:sz="4" w:space="0"/>
              <w:right w:val="single" w:color="auto" w:sz="4" w:space="0"/>
            </w:tcBorders>
            <w:vAlign w:val="center"/>
          </w:tcPr>
          <w:p w14:paraId="52054B22">
            <w:pPr>
              <w:widowControl/>
              <w:tabs>
                <w:tab w:val="left" w:pos="102"/>
              </w:tabs>
              <w:spacing w:line="280" w:lineRule="exact"/>
              <w:ind w:right="-65" w:rightChars="-31"/>
              <w:jc w:val="center"/>
              <w:rPr>
                <w:rFonts w:ascii="宋体" w:hAnsi="宋体" w:eastAsia="宋体" w:cs="宋体"/>
                <w:sz w:val="24"/>
              </w:rPr>
            </w:pPr>
          </w:p>
          <w:p w14:paraId="4340FF25">
            <w:pPr>
              <w:widowControl/>
              <w:tabs>
                <w:tab w:val="left" w:pos="102"/>
              </w:tabs>
              <w:spacing w:line="280" w:lineRule="exact"/>
              <w:ind w:right="-65" w:rightChars="-31"/>
              <w:jc w:val="center"/>
              <w:rPr>
                <w:rFonts w:ascii="宋体" w:hAnsi="宋体" w:eastAsia="宋体" w:cs="宋体"/>
                <w:sz w:val="24"/>
              </w:rPr>
            </w:pPr>
          </w:p>
          <w:p w14:paraId="16DDAE22">
            <w:pPr>
              <w:widowControl/>
              <w:tabs>
                <w:tab w:val="left" w:pos="102"/>
              </w:tabs>
              <w:spacing w:line="280" w:lineRule="exact"/>
              <w:ind w:right="-65" w:rightChars="-31"/>
              <w:jc w:val="center"/>
              <w:rPr>
                <w:rFonts w:ascii="宋体" w:hAnsi="宋体" w:eastAsia="宋体" w:cs="宋体"/>
                <w:sz w:val="24"/>
              </w:rPr>
            </w:pPr>
          </w:p>
          <w:p w14:paraId="25834DBB">
            <w:pPr>
              <w:widowControl/>
              <w:tabs>
                <w:tab w:val="left" w:pos="102"/>
              </w:tabs>
              <w:spacing w:line="280" w:lineRule="exact"/>
              <w:ind w:right="-65" w:rightChars="-31"/>
              <w:jc w:val="center"/>
              <w:rPr>
                <w:rFonts w:ascii="宋体" w:hAnsi="宋体" w:eastAsia="宋体" w:cs="宋体"/>
                <w:sz w:val="24"/>
              </w:rPr>
            </w:pPr>
          </w:p>
          <w:p w14:paraId="0D99EEA9">
            <w:pPr>
              <w:widowControl/>
              <w:tabs>
                <w:tab w:val="left" w:pos="102"/>
              </w:tabs>
              <w:spacing w:line="280" w:lineRule="exact"/>
              <w:ind w:right="-65" w:rightChars="-31"/>
              <w:jc w:val="center"/>
              <w:rPr>
                <w:rFonts w:ascii="宋体" w:hAnsi="宋体" w:eastAsia="宋体" w:cs="宋体"/>
                <w:sz w:val="24"/>
              </w:rPr>
            </w:pPr>
          </w:p>
          <w:p w14:paraId="2A74C049">
            <w:pPr>
              <w:widowControl/>
              <w:tabs>
                <w:tab w:val="left" w:pos="102"/>
              </w:tabs>
              <w:spacing w:line="280" w:lineRule="exact"/>
              <w:ind w:right="-65" w:rightChars="-31"/>
              <w:jc w:val="center"/>
              <w:rPr>
                <w:rFonts w:ascii="宋体" w:hAnsi="宋体" w:eastAsia="宋体" w:cs="宋体"/>
                <w:sz w:val="24"/>
              </w:rPr>
            </w:pPr>
          </w:p>
          <w:p w14:paraId="4B3240FA">
            <w:pPr>
              <w:widowControl/>
              <w:tabs>
                <w:tab w:val="left" w:pos="102"/>
              </w:tabs>
              <w:spacing w:line="280" w:lineRule="exact"/>
              <w:ind w:right="-65" w:rightChars="-31"/>
              <w:jc w:val="center"/>
              <w:rPr>
                <w:rFonts w:ascii="宋体" w:hAnsi="宋体" w:eastAsia="宋体" w:cs="宋体"/>
                <w:sz w:val="24"/>
              </w:rPr>
            </w:pPr>
          </w:p>
          <w:p w14:paraId="307985F3">
            <w:pPr>
              <w:widowControl/>
              <w:tabs>
                <w:tab w:val="left" w:pos="102"/>
              </w:tabs>
              <w:spacing w:line="280" w:lineRule="exact"/>
              <w:ind w:right="-65" w:rightChars="-31"/>
              <w:jc w:val="center"/>
              <w:rPr>
                <w:rFonts w:ascii="宋体" w:hAnsi="宋体" w:eastAsia="宋体" w:cs="宋体"/>
                <w:sz w:val="24"/>
              </w:rPr>
            </w:pPr>
          </w:p>
          <w:p w14:paraId="5BEFD050">
            <w:pPr>
              <w:widowControl/>
              <w:tabs>
                <w:tab w:val="left" w:pos="102"/>
              </w:tabs>
              <w:spacing w:line="280" w:lineRule="exact"/>
              <w:ind w:right="-65" w:rightChars="-31"/>
              <w:jc w:val="center"/>
              <w:rPr>
                <w:rFonts w:ascii="宋体" w:hAnsi="宋体" w:eastAsia="宋体" w:cs="宋体"/>
                <w:sz w:val="24"/>
              </w:rPr>
            </w:pPr>
          </w:p>
          <w:p w14:paraId="19D351DB">
            <w:pPr>
              <w:widowControl/>
              <w:tabs>
                <w:tab w:val="left" w:pos="102"/>
              </w:tabs>
              <w:spacing w:line="280" w:lineRule="exact"/>
              <w:ind w:right="-65" w:rightChars="-31"/>
              <w:jc w:val="center"/>
              <w:rPr>
                <w:rFonts w:ascii="宋体" w:hAnsi="宋体" w:eastAsia="宋体" w:cs="宋体"/>
                <w:sz w:val="24"/>
              </w:rPr>
            </w:pPr>
          </w:p>
          <w:p w14:paraId="40F5A457">
            <w:pPr>
              <w:widowControl/>
              <w:tabs>
                <w:tab w:val="left" w:pos="102"/>
              </w:tabs>
              <w:spacing w:line="280" w:lineRule="exact"/>
              <w:ind w:right="-65" w:rightChars="-31"/>
              <w:jc w:val="center"/>
              <w:rPr>
                <w:rFonts w:ascii="宋体" w:hAnsi="宋体" w:eastAsia="宋体" w:cs="宋体"/>
                <w:sz w:val="24"/>
              </w:rPr>
            </w:pPr>
          </w:p>
          <w:p w14:paraId="7510C5F4">
            <w:pPr>
              <w:widowControl/>
              <w:tabs>
                <w:tab w:val="left" w:pos="102"/>
              </w:tabs>
              <w:spacing w:line="280" w:lineRule="exact"/>
              <w:ind w:right="-65" w:rightChars="-31"/>
              <w:jc w:val="center"/>
              <w:rPr>
                <w:rFonts w:ascii="宋体" w:hAnsi="宋体" w:eastAsia="宋体" w:cs="宋体"/>
                <w:sz w:val="24"/>
              </w:rPr>
            </w:pPr>
          </w:p>
          <w:p w14:paraId="514A7C08">
            <w:pPr>
              <w:widowControl/>
              <w:tabs>
                <w:tab w:val="left" w:pos="102"/>
              </w:tabs>
              <w:spacing w:line="280" w:lineRule="exact"/>
              <w:ind w:right="-65" w:rightChars="-31"/>
              <w:jc w:val="center"/>
              <w:rPr>
                <w:rFonts w:ascii="宋体" w:hAnsi="宋体" w:eastAsia="宋体" w:cs="宋体"/>
                <w:sz w:val="24"/>
              </w:rPr>
            </w:pPr>
            <w:r>
              <w:rPr>
                <w:rFonts w:hint="eastAsia" w:ascii="宋体" w:hAnsi="宋体" w:eastAsia="宋体" w:cs="宋体"/>
                <w:sz w:val="24"/>
              </w:rPr>
              <w:t>7</w:t>
            </w:r>
          </w:p>
        </w:tc>
        <w:tc>
          <w:tcPr>
            <w:tcW w:w="703" w:type="pct"/>
            <w:vMerge w:val="restart"/>
            <w:tcBorders>
              <w:top w:val="single" w:color="auto" w:sz="4" w:space="0"/>
              <w:left w:val="single" w:color="auto" w:sz="4" w:space="0"/>
              <w:right w:val="single" w:color="auto" w:sz="4" w:space="0"/>
            </w:tcBorders>
            <w:vAlign w:val="center"/>
          </w:tcPr>
          <w:p w14:paraId="44389159">
            <w:pPr>
              <w:widowControl/>
              <w:spacing w:line="360" w:lineRule="auto"/>
              <w:ind w:right="-78" w:rightChars="-37"/>
              <w:jc w:val="center"/>
              <w:rPr>
                <w:rFonts w:ascii="宋体" w:hAnsi="宋体" w:eastAsia="宋体" w:cs="宋体"/>
                <w:b/>
                <w:sz w:val="24"/>
              </w:rPr>
            </w:pPr>
          </w:p>
          <w:p w14:paraId="74A1754D">
            <w:pPr>
              <w:widowControl/>
              <w:spacing w:line="360" w:lineRule="auto"/>
              <w:ind w:right="-78" w:rightChars="-37"/>
              <w:jc w:val="center"/>
              <w:rPr>
                <w:rFonts w:ascii="宋体" w:hAnsi="宋体" w:eastAsia="宋体" w:cs="宋体"/>
                <w:b/>
                <w:sz w:val="24"/>
              </w:rPr>
            </w:pPr>
          </w:p>
          <w:p w14:paraId="76898469">
            <w:pPr>
              <w:widowControl/>
              <w:spacing w:line="360" w:lineRule="auto"/>
              <w:ind w:right="-78" w:rightChars="-37"/>
              <w:jc w:val="center"/>
              <w:rPr>
                <w:rFonts w:ascii="宋体" w:hAnsi="宋体" w:eastAsia="宋体" w:cs="宋体"/>
                <w:b/>
                <w:sz w:val="24"/>
              </w:rPr>
            </w:pPr>
          </w:p>
          <w:p w14:paraId="7D179EC0">
            <w:pPr>
              <w:widowControl/>
              <w:spacing w:line="360" w:lineRule="auto"/>
              <w:ind w:right="-78" w:rightChars="-37"/>
              <w:jc w:val="center"/>
              <w:rPr>
                <w:rFonts w:ascii="宋体" w:hAnsi="宋体" w:eastAsia="宋体" w:cs="宋体"/>
                <w:b/>
                <w:sz w:val="24"/>
              </w:rPr>
            </w:pPr>
          </w:p>
          <w:p w14:paraId="716BACE8">
            <w:pPr>
              <w:widowControl/>
              <w:spacing w:line="360" w:lineRule="auto"/>
              <w:ind w:right="-78" w:rightChars="-37"/>
              <w:jc w:val="center"/>
              <w:rPr>
                <w:rFonts w:ascii="宋体" w:hAnsi="宋体" w:eastAsia="宋体" w:cs="宋体"/>
                <w:b/>
                <w:sz w:val="24"/>
              </w:rPr>
            </w:pPr>
          </w:p>
          <w:p w14:paraId="6A4AD9AD">
            <w:pPr>
              <w:widowControl/>
              <w:spacing w:line="360" w:lineRule="auto"/>
              <w:ind w:right="-78" w:rightChars="-37"/>
              <w:jc w:val="center"/>
              <w:rPr>
                <w:rFonts w:ascii="宋体" w:hAnsi="宋体" w:eastAsia="宋体" w:cs="宋体"/>
                <w:b/>
                <w:sz w:val="24"/>
              </w:rPr>
            </w:pPr>
          </w:p>
          <w:p w14:paraId="3D102CAA">
            <w:pPr>
              <w:widowControl/>
              <w:spacing w:line="360" w:lineRule="auto"/>
              <w:ind w:right="-78" w:rightChars="-37"/>
              <w:jc w:val="center"/>
              <w:rPr>
                <w:rFonts w:ascii="宋体" w:hAnsi="宋体" w:eastAsia="宋体" w:cs="宋体"/>
                <w:b/>
                <w:sz w:val="24"/>
              </w:rPr>
            </w:pPr>
          </w:p>
          <w:p w14:paraId="3E25D906">
            <w:pPr>
              <w:widowControl/>
              <w:spacing w:line="360" w:lineRule="auto"/>
              <w:ind w:right="-78" w:rightChars="-37"/>
              <w:jc w:val="center"/>
              <w:rPr>
                <w:rFonts w:ascii="宋体" w:hAnsi="宋体" w:eastAsia="宋体" w:cs="宋体"/>
                <w:b/>
                <w:sz w:val="24"/>
              </w:rPr>
            </w:pPr>
            <w:r>
              <w:rPr>
                <w:rFonts w:hint="eastAsia" w:ascii="宋体" w:hAnsi="宋体" w:eastAsia="宋体" w:cs="宋体"/>
                <w:b/>
                <w:sz w:val="24"/>
              </w:rPr>
              <w:t>其他要求</w:t>
            </w:r>
          </w:p>
        </w:tc>
        <w:tc>
          <w:tcPr>
            <w:tcW w:w="3880" w:type="pct"/>
            <w:tcBorders>
              <w:top w:val="single" w:color="auto" w:sz="4" w:space="0"/>
              <w:left w:val="single" w:color="auto" w:sz="4" w:space="0"/>
              <w:bottom w:val="single" w:color="auto" w:sz="4" w:space="0"/>
              <w:right w:val="single" w:color="auto" w:sz="4" w:space="0"/>
            </w:tcBorders>
            <w:vAlign w:val="center"/>
          </w:tcPr>
          <w:p w14:paraId="5215A2DC">
            <w:pPr>
              <w:widowControl/>
              <w:snapToGrid w:val="0"/>
              <w:spacing w:line="440" w:lineRule="exact"/>
              <w:jc w:val="left"/>
              <w:rPr>
                <w:rFonts w:ascii="宋体" w:hAnsi="宋体" w:eastAsia="宋体" w:cs="宋体"/>
                <w:color w:val="000000"/>
                <w:sz w:val="24"/>
                <w:szCs w:val="22"/>
              </w:rPr>
            </w:pPr>
            <w:r>
              <w:rPr>
                <w:rFonts w:hint="eastAsia" w:ascii="宋体" w:hAnsi="宋体" w:eastAsia="宋体" w:cs="宋体"/>
                <w:color w:val="000000"/>
                <w:sz w:val="24"/>
                <w:szCs w:val="22"/>
              </w:rPr>
              <w:t>投标人须提供托管服务质量要求和相应措施的说明。</w:t>
            </w:r>
          </w:p>
        </w:tc>
      </w:tr>
      <w:tr w14:paraId="641A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pct"/>
            <w:vMerge w:val="continue"/>
            <w:tcBorders>
              <w:left w:val="single" w:color="auto" w:sz="4" w:space="0"/>
              <w:right w:val="single" w:color="auto" w:sz="4" w:space="0"/>
            </w:tcBorders>
            <w:vAlign w:val="center"/>
          </w:tcPr>
          <w:p w14:paraId="6672A20E">
            <w:pPr>
              <w:widowControl/>
              <w:tabs>
                <w:tab w:val="left" w:pos="102"/>
              </w:tabs>
              <w:spacing w:line="280" w:lineRule="exact"/>
              <w:ind w:right="-65" w:rightChars="-31"/>
              <w:jc w:val="center"/>
              <w:rPr>
                <w:rFonts w:ascii="宋体" w:hAnsi="宋体" w:eastAsia="宋体" w:cs="宋体"/>
                <w:sz w:val="24"/>
              </w:rPr>
            </w:pPr>
          </w:p>
        </w:tc>
        <w:tc>
          <w:tcPr>
            <w:tcW w:w="703" w:type="pct"/>
            <w:vMerge w:val="continue"/>
            <w:tcBorders>
              <w:left w:val="single" w:color="auto" w:sz="4" w:space="0"/>
              <w:right w:val="single" w:color="auto" w:sz="4" w:space="0"/>
            </w:tcBorders>
            <w:vAlign w:val="center"/>
          </w:tcPr>
          <w:p w14:paraId="71BCE538">
            <w:pPr>
              <w:widowControl/>
              <w:spacing w:line="360" w:lineRule="auto"/>
              <w:ind w:right="-78" w:rightChars="-37"/>
              <w:jc w:val="center"/>
              <w:rPr>
                <w:rFonts w:ascii="宋体" w:hAnsi="宋体" w:eastAsia="宋体" w:cs="宋体"/>
                <w:b/>
                <w:sz w:val="24"/>
              </w:rPr>
            </w:pPr>
          </w:p>
        </w:tc>
        <w:tc>
          <w:tcPr>
            <w:tcW w:w="3880" w:type="pct"/>
            <w:tcBorders>
              <w:top w:val="single" w:color="auto" w:sz="4" w:space="0"/>
              <w:left w:val="single" w:color="auto" w:sz="4" w:space="0"/>
              <w:bottom w:val="single" w:color="auto" w:sz="4" w:space="0"/>
              <w:right w:val="single" w:color="auto" w:sz="4" w:space="0"/>
            </w:tcBorders>
            <w:vAlign w:val="center"/>
          </w:tcPr>
          <w:p w14:paraId="5199DB76">
            <w:pPr>
              <w:widowControl/>
              <w:snapToGrid w:val="0"/>
              <w:spacing w:line="440" w:lineRule="exact"/>
              <w:jc w:val="left"/>
              <w:rPr>
                <w:rFonts w:ascii="宋体" w:hAnsi="宋体" w:eastAsia="宋体" w:cs="宋体"/>
                <w:color w:val="000000"/>
                <w:sz w:val="24"/>
                <w:szCs w:val="22"/>
              </w:rPr>
            </w:pPr>
            <w:r>
              <w:rPr>
                <w:rFonts w:hint="eastAsia" w:ascii="宋体" w:hAnsi="宋体" w:eastAsia="宋体" w:cs="宋体"/>
                <w:color w:val="000000"/>
                <w:sz w:val="24"/>
                <w:szCs w:val="22"/>
              </w:rPr>
              <w:t>投标人针对采购人的特点提出合理、可行的特色服务条款。</w:t>
            </w:r>
          </w:p>
        </w:tc>
      </w:tr>
      <w:tr w14:paraId="61B5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pct"/>
            <w:vMerge w:val="continue"/>
            <w:tcBorders>
              <w:left w:val="single" w:color="auto" w:sz="4" w:space="0"/>
              <w:right w:val="single" w:color="auto" w:sz="4" w:space="0"/>
            </w:tcBorders>
            <w:vAlign w:val="center"/>
          </w:tcPr>
          <w:p w14:paraId="2AEC4689">
            <w:pPr>
              <w:rPr>
                <w:rFonts w:ascii="Times New Roman" w:hAnsi="Times New Roman" w:cs="Times New Roman"/>
                <w:sz w:val="20"/>
                <w:szCs w:val="20"/>
              </w:rPr>
            </w:pPr>
          </w:p>
        </w:tc>
        <w:tc>
          <w:tcPr>
            <w:tcW w:w="703" w:type="pct"/>
            <w:vMerge w:val="continue"/>
            <w:tcBorders>
              <w:left w:val="single" w:color="auto" w:sz="4" w:space="0"/>
              <w:right w:val="single" w:color="auto" w:sz="4" w:space="0"/>
            </w:tcBorders>
            <w:vAlign w:val="center"/>
          </w:tcPr>
          <w:p w14:paraId="685362A4">
            <w:pPr>
              <w:rPr>
                <w:rFonts w:ascii="Times New Roman" w:hAnsi="Times New Roman" w:cs="Times New Roman"/>
                <w:sz w:val="20"/>
                <w:szCs w:val="20"/>
              </w:rPr>
            </w:pPr>
          </w:p>
        </w:tc>
        <w:tc>
          <w:tcPr>
            <w:tcW w:w="3880" w:type="pct"/>
            <w:tcBorders>
              <w:top w:val="single" w:color="auto" w:sz="4" w:space="0"/>
              <w:left w:val="single" w:color="auto" w:sz="4" w:space="0"/>
              <w:bottom w:val="single" w:color="auto" w:sz="4" w:space="0"/>
              <w:right w:val="single" w:color="auto" w:sz="4" w:space="0"/>
            </w:tcBorders>
            <w:vAlign w:val="center"/>
          </w:tcPr>
          <w:p w14:paraId="65E7D644">
            <w:pPr>
              <w:widowControl/>
              <w:snapToGrid w:val="0"/>
              <w:spacing w:line="440" w:lineRule="exact"/>
              <w:jc w:val="left"/>
              <w:rPr>
                <w:rFonts w:ascii="宋体" w:hAnsi="宋体" w:eastAsia="宋体" w:cs="宋体"/>
                <w:color w:val="000000"/>
                <w:sz w:val="24"/>
                <w:szCs w:val="22"/>
              </w:rPr>
            </w:pPr>
            <w:r>
              <w:rPr>
                <w:rFonts w:hint="eastAsia" w:ascii="宋体" w:hAnsi="宋体" w:eastAsia="宋体" w:cs="宋体"/>
                <w:color w:val="000000"/>
                <w:sz w:val="24"/>
                <w:szCs w:val="22"/>
              </w:rPr>
              <w:t>食堂管理档案资料是食堂管理的重要资料，档案资料要保证完整，各项管理、运行、检查记录都应纳入档案管理，以便应用于指导实际工作。合同期满后，应将食堂管理的全部档案资料无条件移交招标人。</w:t>
            </w:r>
          </w:p>
        </w:tc>
      </w:tr>
      <w:tr w14:paraId="6C5D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pct"/>
            <w:vMerge w:val="continue"/>
            <w:tcBorders>
              <w:left w:val="single" w:color="auto" w:sz="4" w:space="0"/>
              <w:right w:val="single" w:color="auto" w:sz="4" w:space="0"/>
            </w:tcBorders>
            <w:vAlign w:val="center"/>
          </w:tcPr>
          <w:p w14:paraId="5CE1B447">
            <w:pPr>
              <w:rPr>
                <w:rFonts w:ascii="Times New Roman" w:hAnsi="Times New Roman" w:cs="Times New Roman"/>
                <w:sz w:val="20"/>
                <w:szCs w:val="20"/>
              </w:rPr>
            </w:pPr>
          </w:p>
        </w:tc>
        <w:tc>
          <w:tcPr>
            <w:tcW w:w="703" w:type="pct"/>
            <w:vMerge w:val="continue"/>
            <w:tcBorders>
              <w:left w:val="single" w:color="auto" w:sz="4" w:space="0"/>
              <w:right w:val="single" w:color="auto" w:sz="4" w:space="0"/>
            </w:tcBorders>
            <w:vAlign w:val="center"/>
          </w:tcPr>
          <w:p w14:paraId="58E1C0F7">
            <w:pPr>
              <w:rPr>
                <w:rFonts w:ascii="Times New Roman" w:hAnsi="Times New Roman" w:cs="Times New Roman"/>
                <w:sz w:val="20"/>
                <w:szCs w:val="20"/>
              </w:rPr>
            </w:pPr>
          </w:p>
        </w:tc>
        <w:tc>
          <w:tcPr>
            <w:tcW w:w="3880" w:type="pct"/>
            <w:tcBorders>
              <w:top w:val="single" w:color="auto" w:sz="4" w:space="0"/>
              <w:left w:val="single" w:color="auto" w:sz="4" w:space="0"/>
              <w:bottom w:val="single" w:color="auto" w:sz="4" w:space="0"/>
              <w:right w:val="single" w:color="auto" w:sz="4" w:space="0"/>
            </w:tcBorders>
            <w:vAlign w:val="center"/>
          </w:tcPr>
          <w:p w14:paraId="417E943C">
            <w:pPr>
              <w:widowControl/>
              <w:snapToGrid w:val="0"/>
              <w:spacing w:line="440" w:lineRule="exact"/>
              <w:jc w:val="left"/>
              <w:rPr>
                <w:rFonts w:ascii="宋体" w:hAnsi="宋体" w:eastAsia="宋体" w:cs="宋体"/>
                <w:color w:val="000000"/>
                <w:sz w:val="24"/>
                <w:szCs w:val="22"/>
              </w:rPr>
            </w:pPr>
            <w:r>
              <w:rPr>
                <w:rFonts w:hint="eastAsia" w:ascii="宋体" w:hAnsi="宋体" w:cs="宋体"/>
                <w:sz w:val="24"/>
              </w:rPr>
              <w:t>中标人需加强食堂设备的日常检查、维修和保养管理，并规范使用，不得恶意损坏，发现问题及时与采购人沟通，确保无设备带病运转现象（中标人承担设备维修费用）。</w:t>
            </w:r>
            <w:r>
              <w:rPr>
                <w:rFonts w:hint="eastAsia" w:ascii="宋体" w:hAnsi="宋体" w:eastAsia="宋体" w:cs="宋体"/>
                <w:color w:val="000000"/>
                <w:kern w:val="0"/>
                <w:sz w:val="24"/>
                <w:lang w:bidi="ar"/>
              </w:rPr>
              <w:t>合同期满，中标人应将采购人所属的设施设备无条件移交给采购人，并保证移交的设施设备状态良好。未经采购人许可，中标人不得擅自对食堂基建部分进行改造或移作其它用途。</w:t>
            </w:r>
          </w:p>
        </w:tc>
      </w:tr>
      <w:tr w14:paraId="0F37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pct"/>
            <w:vMerge w:val="continue"/>
            <w:tcBorders>
              <w:left w:val="single" w:color="auto" w:sz="4" w:space="0"/>
              <w:right w:val="single" w:color="auto" w:sz="4" w:space="0"/>
            </w:tcBorders>
            <w:vAlign w:val="center"/>
          </w:tcPr>
          <w:p w14:paraId="5239D846">
            <w:pPr>
              <w:rPr>
                <w:rFonts w:ascii="Times New Roman" w:hAnsi="Times New Roman" w:cs="Times New Roman"/>
                <w:sz w:val="20"/>
                <w:szCs w:val="20"/>
              </w:rPr>
            </w:pPr>
          </w:p>
        </w:tc>
        <w:tc>
          <w:tcPr>
            <w:tcW w:w="703" w:type="pct"/>
            <w:vMerge w:val="continue"/>
            <w:tcBorders>
              <w:left w:val="single" w:color="auto" w:sz="4" w:space="0"/>
              <w:right w:val="single" w:color="auto" w:sz="4" w:space="0"/>
            </w:tcBorders>
            <w:vAlign w:val="center"/>
          </w:tcPr>
          <w:p w14:paraId="163DDB3D">
            <w:pPr>
              <w:rPr>
                <w:rFonts w:ascii="Times New Roman" w:hAnsi="Times New Roman" w:cs="Times New Roman"/>
                <w:sz w:val="20"/>
                <w:szCs w:val="20"/>
              </w:rPr>
            </w:pPr>
          </w:p>
        </w:tc>
        <w:tc>
          <w:tcPr>
            <w:tcW w:w="3880" w:type="pct"/>
            <w:tcBorders>
              <w:top w:val="single" w:color="auto" w:sz="4" w:space="0"/>
              <w:left w:val="single" w:color="auto" w:sz="4" w:space="0"/>
              <w:bottom w:val="single" w:color="auto" w:sz="4" w:space="0"/>
              <w:right w:val="single" w:color="auto" w:sz="4" w:space="0"/>
            </w:tcBorders>
            <w:vAlign w:val="center"/>
          </w:tcPr>
          <w:p w14:paraId="10519C13">
            <w:pPr>
              <w:widowControl/>
              <w:snapToGrid w:val="0"/>
              <w:spacing w:line="440" w:lineRule="exact"/>
              <w:jc w:val="left"/>
              <w:rPr>
                <w:rFonts w:ascii="宋体" w:hAnsi="宋体" w:eastAsia="宋体" w:cs="宋体"/>
                <w:color w:val="000000"/>
                <w:sz w:val="24"/>
                <w:szCs w:val="22"/>
              </w:rPr>
            </w:pPr>
            <w:r>
              <w:rPr>
                <w:rFonts w:hint="eastAsia" w:ascii="宋体" w:hAnsi="宋体" w:eastAsia="宋体" w:cs="宋体"/>
                <w:color w:val="000000"/>
                <w:sz w:val="24"/>
                <w:szCs w:val="22"/>
              </w:rPr>
              <w:t>投标人必须为本项目的食堂服务人员购买工伤和意外伤害保险，</w:t>
            </w:r>
            <w:r>
              <w:rPr>
                <w:rFonts w:hint="eastAsia" w:ascii="宋体" w:hAnsi="宋体" w:eastAsia="宋体" w:cs="仿宋_GB2312"/>
                <w:sz w:val="24"/>
                <w:szCs w:val="22"/>
              </w:rPr>
              <w:t>不得低于政府规定的最低标准。</w:t>
            </w:r>
            <w:r>
              <w:rPr>
                <w:rFonts w:hint="eastAsia" w:ascii="宋体" w:hAnsi="宋体" w:eastAsia="宋体" w:cs="宋体"/>
                <w:color w:val="000000"/>
                <w:sz w:val="24"/>
                <w:szCs w:val="22"/>
              </w:rPr>
              <w:t>采购人不承担合同范围内因管理服务造成的工伤责任及后果。</w:t>
            </w:r>
          </w:p>
        </w:tc>
      </w:tr>
      <w:tr w14:paraId="4BD9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pct"/>
            <w:vMerge w:val="continue"/>
            <w:tcBorders>
              <w:left w:val="single" w:color="auto" w:sz="4" w:space="0"/>
              <w:right w:val="single" w:color="auto" w:sz="4" w:space="0"/>
            </w:tcBorders>
            <w:vAlign w:val="center"/>
          </w:tcPr>
          <w:p w14:paraId="7BDCB0CA">
            <w:pPr>
              <w:rPr>
                <w:rFonts w:ascii="Times New Roman" w:hAnsi="Times New Roman" w:cs="Times New Roman"/>
                <w:sz w:val="20"/>
                <w:szCs w:val="20"/>
              </w:rPr>
            </w:pPr>
          </w:p>
        </w:tc>
        <w:tc>
          <w:tcPr>
            <w:tcW w:w="703" w:type="pct"/>
            <w:vMerge w:val="continue"/>
            <w:tcBorders>
              <w:left w:val="single" w:color="auto" w:sz="4" w:space="0"/>
              <w:right w:val="single" w:color="auto" w:sz="4" w:space="0"/>
            </w:tcBorders>
            <w:vAlign w:val="center"/>
          </w:tcPr>
          <w:p w14:paraId="3463C5BF">
            <w:pPr>
              <w:rPr>
                <w:rFonts w:ascii="Times New Roman" w:hAnsi="Times New Roman" w:cs="Times New Roman"/>
                <w:sz w:val="20"/>
                <w:szCs w:val="20"/>
              </w:rPr>
            </w:pPr>
          </w:p>
        </w:tc>
        <w:tc>
          <w:tcPr>
            <w:tcW w:w="3880" w:type="pct"/>
            <w:tcBorders>
              <w:top w:val="single" w:color="auto" w:sz="4" w:space="0"/>
              <w:left w:val="single" w:color="auto" w:sz="4" w:space="0"/>
              <w:bottom w:val="single" w:color="auto" w:sz="4" w:space="0"/>
              <w:right w:val="single" w:color="auto" w:sz="4" w:space="0"/>
            </w:tcBorders>
            <w:vAlign w:val="center"/>
          </w:tcPr>
          <w:p w14:paraId="1ADF13AE">
            <w:pPr>
              <w:widowControl/>
              <w:snapToGrid w:val="0"/>
              <w:spacing w:line="440" w:lineRule="exact"/>
              <w:jc w:val="left"/>
              <w:rPr>
                <w:rFonts w:ascii="宋体" w:hAnsi="宋体" w:eastAsia="宋体" w:cs="宋体"/>
                <w:color w:val="000000"/>
                <w:sz w:val="24"/>
                <w:szCs w:val="22"/>
              </w:rPr>
            </w:pPr>
            <w:r>
              <w:rPr>
                <w:rFonts w:hint="eastAsia" w:ascii="宋体" w:hAnsi="宋体" w:eastAsia="宋体" w:cs="宋体"/>
                <w:color w:val="000000"/>
                <w:sz w:val="24"/>
                <w:szCs w:val="22"/>
              </w:rPr>
              <w:t>投标人须为员工建立规范的工资和奖励机制，须按规定计发员工超时、加班工资等，须自行解决员工食宿。</w:t>
            </w:r>
          </w:p>
        </w:tc>
      </w:tr>
      <w:tr w14:paraId="0298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pct"/>
            <w:vMerge w:val="continue"/>
            <w:tcBorders>
              <w:left w:val="single" w:color="auto" w:sz="4" w:space="0"/>
              <w:right w:val="single" w:color="auto" w:sz="4" w:space="0"/>
            </w:tcBorders>
            <w:vAlign w:val="center"/>
          </w:tcPr>
          <w:p w14:paraId="111E7512">
            <w:pPr>
              <w:rPr>
                <w:rFonts w:ascii="Times New Roman" w:hAnsi="Times New Roman" w:cs="Times New Roman"/>
                <w:sz w:val="20"/>
                <w:szCs w:val="20"/>
              </w:rPr>
            </w:pPr>
          </w:p>
        </w:tc>
        <w:tc>
          <w:tcPr>
            <w:tcW w:w="703" w:type="pct"/>
            <w:vMerge w:val="continue"/>
            <w:tcBorders>
              <w:left w:val="single" w:color="auto" w:sz="4" w:space="0"/>
              <w:right w:val="single" w:color="auto" w:sz="4" w:space="0"/>
            </w:tcBorders>
            <w:vAlign w:val="center"/>
          </w:tcPr>
          <w:p w14:paraId="0EC1AC3A">
            <w:pPr>
              <w:rPr>
                <w:rFonts w:ascii="Times New Roman" w:hAnsi="Times New Roman" w:cs="Times New Roman"/>
                <w:sz w:val="20"/>
                <w:szCs w:val="20"/>
              </w:rPr>
            </w:pPr>
          </w:p>
        </w:tc>
        <w:tc>
          <w:tcPr>
            <w:tcW w:w="3880" w:type="pct"/>
            <w:tcBorders>
              <w:top w:val="single" w:color="auto" w:sz="4" w:space="0"/>
              <w:left w:val="single" w:color="auto" w:sz="4" w:space="0"/>
              <w:bottom w:val="single" w:color="auto" w:sz="4" w:space="0"/>
              <w:right w:val="single" w:color="auto" w:sz="4" w:space="0"/>
            </w:tcBorders>
            <w:vAlign w:val="center"/>
          </w:tcPr>
          <w:p w14:paraId="2F44CBCC">
            <w:pPr>
              <w:widowControl/>
              <w:snapToGrid w:val="0"/>
              <w:spacing w:line="440" w:lineRule="exact"/>
              <w:jc w:val="left"/>
              <w:rPr>
                <w:rFonts w:ascii="宋体" w:hAnsi="宋体" w:eastAsia="宋体" w:cs="宋体"/>
                <w:color w:val="000000"/>
                <w:sz w:val="24"/>
                <w:szCs w:val="22"/>
              </w:rPr>
            </w:pPr>
            <w:r>
              <w:rPr>
                <w:rFonts w:hint="eastAsia" w:ascii="宋体" w:hAnsi="宋体" w:eastAsia="宋体" w:cs="宋体"/>
                <w:color w:val="000000"/>
                <w:sz w:val="24"/>
                <w:szCs w:val="22"/>
              </w:rPr>
              <w:t>投标人应承担低值耗品费用。如消毒消杀药物、扫帚、拖把、去污粉、垃圾袋、抹布、不锈钢去污剂、尘推、</w:t>
            </w:r>
            <w:r>
              <w:rPr>
                <w:rFonts w:hint="eastAsia" w:ascii="宋体" w:hAnsi="宋体" w:eastAsia="宋体" w:cs="宋体"/>
                <w:color w:val="000000"/>
                <w:kern w:val="0"/>
                <w:sz w:val="24"/>
                <w:lang w:bidi="ar"/>
              </w:rPr>
              <w:t>洗涤用品、</w:t>
            </w:r>
            <w:r>
              <w:rPr>
                <w:rFonts w:hint="eastAsia" w:ascii="宋体" w:hAnsi="宋体" w:eastAsia="宋体" w:cs="宋体"/>
                <w:kern w:val="0"/>
                <w:sz w:val="24"/>
                <w:lang w:bidi="ar"/>
              </w:rPr>
              <w:t>一次性</w:t>
            </w:r>
            <w:r>
              <w:rPr>
                <w:rFonts w:hint="eastAsia" w:ascii="宋体" w:hAnsi="宋体" w:eastAsia="宋体" w:cs="宋体"/>
                <w:color w:val="000000"/>
                <w:kern w:val="0"/>
                <w:sz w:val="24"/>
                <w:lang w:bidi="ar"/>
              </w:rPr>
              <w:t>进餐用品（包括餐具、餐巾纸、口罩、手套等用品）</w:t>
            </w:r>
            <w:r>
              <w:rPr>
                <w:rFonts w:hint="eastAsia" w:ascii="宋体" w:hAnsi="宋体" w:eastAsia="宋体" w:cs="宋体"/>
                <w:color w:val="000000"/>
                <w:sz w:val="24"/>
                <w:szCs w:val="22"/>
              </w:rPr>
              <w:t>。</w:t>
            </w:r>
          </w:p>
        </w:tc>
      </w:tr>
      <w:tr w14:paraId="32E5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pct"/>
            <w:vMerge w:val="continue"/>
            <w:tcBorders>
              <w:left w:val="single" w:color="auto" w:sz="4" w:space="0"/>
              <w:right w:val="single" w:color="auto" w:sz="4" w:space="0"/>
            </w:tcBorders>
            <w:vAlign w:val="center"/>
          </w:tcPr>
          <w:p w14:paraId="59E10B80">
            <w:pPr>
              <w:rPr>
                <w:rFonts w:ascii="Times New Roman" w:hAnsi="Times New Roman" w:cs="Times New Roman"/>
                <w:sz w:val="20"/>
                <w:szCs w:val="20"/>
              </w:rPr>
            </w:pPr>
          </w:p>
        </w:tc>
        <w:tc>
          <w:tcPr>
            <w:tcW w:w="703" w:type="pct"/>
            <w:vMerge w:val="continue"/>
            <w:tcBorders>
              <w:left w:val="single" w:color="auto" w:sz="4" w:space="0"/>
              <w:right w:val="single" w:color="auto" w:sz="4" w:space="0"/>
            </w:tcBorders>
            <w:vAlign w:val="center"/>
          </w:tcPr>
          <w:p w14:paraId="0725822B">
            <w:pPr>
              <w:rPr>
                <w:rFonts w:ascii="Times New Roman" w:hAnsi="Times New Roman" w:cs="Times New Roman"/>
                <w:sz w:val="20"/>
                <w:szCs w:val="20"/>
              </w:rPr>
            </w:pPr>
          </w:p>
        </w:tc>
        <w:tc>
          <w:tcPr>
            <w:tcW w:w="3880" w:type="pct"/>
            <w:tcBorders>
              <w:top w:val="single" w:color="auto" w:sz="4" w:space="0"/>
              <w:left w:val="single" w:color="auto" w:sz="4" w:space="0"/>
              <w:bottom w:val="single" w:color="auto" w:sz="4" w:space="0"/>
              <w:right w:val="single" w:color="auto" w:sz="4" w:space="0"/>
            </w:tcBorders>
            <w:vAlign w:val="center"/>
          </w:tcPr>
          <w:p w14:paraId="1965B9D6">
            <w:pPr>
              <w:widowControl/>
              <w:snapToGrid w:val="0"/>
              <w:spacing w:line="440" w:lineRule="exact"/>
              <w:jc w:val="left"/>
              <w:rPr>
                <w:rFonts w:ascii="宋体" w:hAnsi="宋体" w:eastAsia="宋体" w:cs="宋体"/>
                <w:color w:val="000000"/>
                <w:sz w:val="24"/>
                <w:szCs w:val="22"/>
              </w:rPr>
            </w:pPr>
            <w:r>
              <w:rPr>
                <w:rFonts w:hint="eastAsia" w:ascii="宋体" w:hAnsi="宋体" w:eastAsia="宋体" w:cs="宋体"/>
                <w:color w:val="000000"/>
                <w:kern w:val="0"/>
                <w:sz w:val="24"/>
              </w:rPr>
              <w:t>中标人接到通知后与采购人签订合同，如不能完成招投标文件承诺的服务指标，或不能遵守服务合同，采购人将根据考核情况以及合同约定，扣除相应</w:t>
            </w:r>
            <w:r>
              <w:rPr>
                <w:rFonts w:hint="eastAsia" w:ascii="宋体" w:hAnsi="宋体" w:cs="宋体"/>
                <w:color w:val="000000"/>
                <w:kern w:val="0"/>
                <w:sz w:val="24"/>
              </w:rPr>
              <w:t>服务费用</w:t>
            </w:r>
            <w:r>
              <w:rPr>
                <w:rFonts w:hint="eastAsia" w:ascii="宋体" w:hAnsi="宋体" w:eastAsia="宋体" w:cs="宋体"/>
                <w:color w:val="000000"/>
                <w:kern w:val="0"/>
                <w:sz w:val="24"/>
              </w:rPr>
              <w:t>（扣除标准在签订合同时具体约定）。</w:t>
            </w:r>
          </w:p>
        </w:tc>
      </w:tr>
      <w:tr w14:paraId="73A0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pct"/>
            <w:vMerge w:val="continue"/>
            <w:tcBorders>
              <w:left w:val="single" w:color="auto" w:sz="4" w:space="0"/>
              <w:right w:val="single" w:color="auto" w:sz="4" w:space="0"/>
            </w:tcBorders>
            <w:vAlign w:val="center"/>
          </w:tcPr>
          <w:p w14:paraId="019480AA">
            <w:pPr>
              <w:rPr>
                <w:rFonts w:ascii="Times New Roman" w:hAnsi="Times New Roman" w:cs="Times New Roman"/>
                <w:sz w:val="20"/>
                <w:szCs w:val="20"/>
              </w:rPr>
            </w:pPr>
          </w:p>
        </w:tc>
        <w:tc>
          <w:tcPr>
            <w:tcW w:w="703" w:type="pct"/>
            <w:vMerge w:val="continue"/>
            <w:tcBorders>
              <w:left w:val="single" w:color="auto" w:sz="4" w:space="0"/>
              <w:right w:val="single" w:color="auto" w:sz="4" w:space="0"/>
            </w:tcBorders>
            <w:vAlign w:val="center"/>
          </w:tcPr>
          <w:p w14:paraId="210B5A6F">
            <w:pPr>
              <w:rPr>
                <w:rFonts w:ascii="Times New Roman" w:hAnsi="Times New Roman" w:cs="Times New Roman"/>
                <w:sz w:val="20"/>
                <w:szCs w:val="20"/>
              </w:rPr>
            </w:pPr>
          </w:p>
        </w:tc>
        <w:tc>
          <w:tcPr>
            <w:tcW w:w="3880" w:type="pct"/>
            <w:tcBorders>
              <w:top w:val="single" w:color="auto" w:sz="4" w:space="0"/>
              <w:left w:val="single" w:color="auto" w:sz="4" w:space="0"/>
              <w:bottom w:val="single" w:color="auto" w:sz="4" w:space="0"/>
              <w:right w:val="single" w:color="auto" w:sz="4" w:space="0"/>
            </w:tcBorders>
            <w:vAlign w:val="center"/>
          </w:tcPr>
          <w:p w14:paraId="731F0AFF">
            <w:pPr>
              <w:widowControl/>
              <w:snapToGrid w:val="0"/>
              <w:spacing w:line="440" w:lineRule="exact"/>
              <w:jc w:val="left"/>
              <w:rPr>
                <w:rFonts w:ascii="宋体" w:hAnsi="宋体" w:eastAsia="宋体" w:cs="宋体"/>
                <w:color w:val="000000"/>
                <w:sz w:val="24"/>
                <w:szCs w:val="22"/>
              </w:rPr>
            </w:pPr>
            <w:r>
              <w:rPr>
                <w:rFonts w:hint="eastAsia" w:ascii="宋体" w:hAnsi="宋体" w:eastAsia="宋体" w:cs="宋体"/>
                <w:color w:val="000000"/>
                <w:sz w:val="24"/>
                <w:szCs w:val="22"/>
              </w:rPr>
              <w:t>中标人应在签订合同后立即进场，保证食堂正常运转，中标人应做好对接并平稳过渡。</w:t>
            </w:r>
          </w:p>
        </w:tc>
      </w:tr>
      <w:tr w14:paraId="484E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pct"/>
            <w:vMerge w:val="continue"/>
            <w:tcBorders>
              <w:left w:val="single" w:color="auto" w:sz="4" w:space="0"/>
              <w:right w:val="single" w:color="auto" w:sz="4" w:space="0"/>
            </w:tcBorders>
            <w:vAlign w:val="center"/>
          </w:tcPr>
          <w:p w14:paraId="4DB9787C">
            <w:pPr>
              <w:rPr>
                <w:rFonts w:ascii="Times New Roman" w:hAnsi="Times New Roman" w:cs="Times New Roman"/>
                <w:sz w:val="20"/>
                <w:szCs w:val="20"/>
              </w:rPr>
            </w:pPr>
          </w:p>
        </w:tc>
        <w:tc>
          <w:tcPr>
            <w:tcW w:w="703" w:type="pct"/>
            <w:vMerge w:val="continue"/>
            <w:tcBorders>
              <w:left w:val="single" w:color="auto" w:sz="4" w:space="0"/>
              <w:right w:val="single" w:color="auto" w:sz="4" w:space="0"/>
            </w:tcBorders>
            <w:vAlign w:val="center"/>
          </w:tcPr>
          <w:p w14:paraId="7DA29175">
            <w:pPr>
              <w:rPr>
                <w:rFonts w:ascii="Times New Roman" w:hAnsi="Times New Roman" w:cs="Times New Roman"/>
                <w:sz w:val="20"/>
                <w:szCs w:val="20"/>
              </w:rPr>
            </w:pPr>
          </w:p>
        </w:tc>
        <w:tc>
          <w:tcPr>
            <w:tcW w:w="3880" w:type="pct"/>
            <w:tcBorders>
              <w:top w:val="single" w:color="auto" w:sz="4" w:space="0"/>
              <w:left w:val="single" w:color="auto" w:sz="4" w:space="0"/>
              <w:bottom w:val="single" w:color="auto" w:sz="4" w:space="0"/>
              <w:right w:val="single" w:color="auto" w:sz="4" w:space="0"/>
            </w:tcBorders>
            <w:vAlign w:val="center"/>
          </w:tcPr>
          <w:p w14:paraId="378F4251">
            <w:pPr>
              <w:widowControl/>
              <w:snapToGrid w:val="0"/>
              <w:spacing w:line="440" w:lineRule="exact"/>
              <w:jc w:val="left"/>
              <w:rPr>
                <w:rFonts w:ascii="宋体" w:hAnsi="宋体" w:eastAsia="宋体" w:cs="宋体"/>
                <w:color w:val="000000"/>
                <w:kern w:val="0"/>
                <w:sz w:val="24"/>
              </w:rPr>
            </w:pPr>
            <w:r>
              <w:rPr>
                <w:rFonts w:hint="eastAsia" w:ascii="宋体" w:hAnsi="宋体" w:eastAsia="宋体" w:cs="宋体"/>
                <w:color w:val="000000"/>
                <w:kern w:val="0"/>
                <w:sz w:val="24"/>
              </w:rPr>
              <w:t>中标人不得随意更换食堂管理人员，如有人员更换，需提前征求采购人意见, 并由持同等或高于原有技术等级的资格证人员替补上岗。严格执行“定岗、定责、定酬、采购人跟踪管理”的模式。</w:t>
            </w:r>
          </w:p>
        </w:tc>
      </w:tr>
      <w:tr w14:paraId="00FD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pct"/>
            <w:vMerge w:val="continue"/>
            <w:tcBorders>
              <w:left w:val="single" w:color="auto" w:sz="4" w:space="0"/>
              <w:bottom w:val="single" w:color="auto" w:sz="4" w:space="0"/>
              <w:right w:val="single" w:color="auto" w:sz="4" w:space="0"/>
            </w:tcBorders>
            <w:vAlign w:val="center"/>
          </w:tcPr>
          <w:p w14:paraId="221AC2E5">
            <w:pPr>
              <w:rPr>
                <w:rFonts w:ascii="Times New Roman" w:hAnsi="Times New Roman" w:cs="Times New Roman"/>
                <w:sz w:val="20"/>
                <w:szCs w:val="20"/>
              </w:rPr>
            </w:pPr>
          </w:p>
        </w:tc>
        <w:tc>
          <w:tcPr>
            <w:tcW w:w="703" w:type="pct"/>
            <w:vMerge w:val="continue"/>
            <w:tcBorders>
              <w:left w:val="single" w:color="auto" w:sz="4" w:space="0"/>
              <w:bottom w:val="single" w:color="auto" w:sz="4" w:space="0"/>
              <w:right w:val="single" w:color="auto" w:sz="4" w:space="0"/>
            </w:tcBorders>
            <w:vAlign w:val="center"/>
          </w:tcPr>
          <w:p w14:paraId="4AF55620">
            <w:pPr>
              <w:rPr>
                <w:rFonts w:ascii="Times New Roman" w:hAnsi="Times New Roman" w:cs="Times New Roman"/>
                <w:sz w:val="20"/>
                <w:szCs w:val="20"/>
              </w:rPr>
            </w:pPr>
          </w:p>
        </w:tc>
        <w:tc>
          <w:tcPr>
            <w:tcW w:w="3880" w:type="pct"/>
            <w:tcBorders>
              <w:top w:val="single" w:color="auto" w:sz="4" w:space="0"/>
              <w:left w:val="single" w:color="auto" w:sz="4" w:space="0"/>
              <w:bottom w:val="single" w:color="auto" w:sz="4" w:space="0"/>
              <w:right w:val="single" w:color="auto" w:sz="4" w:space="0"/>
            </w:tcBorders>
            <w:vAlign w:val="center"/>
          </w:tcPr>
          <w:p w14:paraId="28857D44">
            <w:pPr>
              <w:widowControl/>
              <w:snapToGrid w:val="0"/>
              <w:spacing w:line="440" w:lineRule="exact"/>
              <w:jc w:val="left"/>
              <w:rPr>
                <w:rFonts w:ascii="宋体" w:hAnsi="宋体" w:eastAsia="宋体" w:cs="宋体"/>
                <w:color w:val="000000"/>
                <w:sz w:val="24"/>
                <w:szCs w:val="22"/>
              </w:rPr>
            </w:pPr>
            <w:r>
              <w:rPr>
                <w:rFonts w:hint="eastAsia" w:ascii="宋体" w:hAnsi="宋体" w:eastAsia="宋体" w:cs="宋体"/>
                <w:color w:val="000000"/>
                <w:sz w:val="24"/>
                <w:szCs w:val="22"/>
              </w:rPr>
              <w:t>若中标人出现重大责任事故或造成采购人严重负面影响，应赔偿损失、追究法律责任，并且采购人有权解除合同。</w:t>
            </w:r>
          </w:p>
        </w:tc>
      </w:tr>
      <w:bookmarkEnd w:id="18"/>
      <w:bookmarkEnd w:id="19"/>
    </w:tbl>
    <w:p w14:paraId="273CD7F1">
      <w:pPr>
        <w:rPr>
          <w:rFonts w:ascii="Calibri" w:hAnsi="Calibri" w:eastAsia="宋体" w:cs="宋体"/>
        </w:rPr>
      </w:pPr>
    </w:p>
    <w:p w14:paraId="28A1BE82">
      <w:pPr>
        <w:pStyle w:val="15"/>
        <w:widowControl/>
        <w:spacing w:line="360" w:lineRule="auto"/>
        <w:ind w:firstLine="281" w:firstLineChars="100"/>
        <w:jc w:val="left"/>
        <w:rPr>
          <w:rFonts w:ascii="宋体" w:hAnsi="宋体" w:cs="宋体"/>
          <w:b/>
          <w:bCs/>
          <w:sz w:val="24"/>
          <w:szCs w:val="24"/>
        </w:rPr>
      </w:pPr>
      <w:r>
        <w:rPr>
          <w:rFonts w:hint="eastAsia" w:ascii="宋体" w:hAnsi="宋体"/>
          <w:b/>
          <w:sz w:val="28"/>
          <w:szCs w:val="28"/>
          <w:lang w:val="zh-CN"/>
        </w:rPr>
        <w:t>注：文件中“★”标注的技术、服务及商务要求为实质性要求，应满足或优于，如有不满足的，其投标按照无效投标处理。</w:t>
      </w:r>
    </w:p>
    <w:p w14:paraId="12834C9B"/>
    <w:p w14:paraId="76EC922E">
      <w:pPr>
        <w:pStyle w:val="3"/>
        <w:snapToGrid w:val="0"/>
        <w:spacing w:line="300" w:lineRule="auto"/>
        <w:ind w:firstLine="321" w:firstLineChars="100"/>
        <w:jc w:val="left"/>
        <w:rPr>
          <w:sz w:val="36"/>
          <w:szCs w:val="36"/>
        </w:rPr>
      </w:pPr>
      <w:bookmarkStart w:id="20" w:name="_Toc502736698"/>
      <w:bookmarkStart w:id="21" w:name="_Toc494561963"/>
      <w:r>
        <w:rPr>
          <w:rFonts w:hint="eastAsia" w:ascii="宋体" w:hAnsi="宋体" w:cs="Times New Roman"/>
          <w:sz w:val="32"/>
          <w:szCs w:val="32"/>
        </w:rPr>
        <w:t>五、评审因素及评分标准</w:t>
      </w:r>
      <w:bookmarkEnd w:id="20"/>
      <w:bookmarkEnd w:id="21"/>
    </w:p>
    <w:p w14:paraId="2B648738">
      <w:pPr>
        <w:pStyle w:val="5"/>
        <w:spacing w:after="40" w:line="380" w:lineRule="exact"/>
        <w:ind w:firstLine="480" w:firstLineChars="200"/>
      </w:pPr>
      <w:r>
        <w:rPr>
          <w:rFonts w:hint="eastAsia"/>
          <w:sz w:val="24"/>
        </w:rPr>
        <w:t>本次招标采用综合评分法，</w:t>
      </w:r>
      <w:r>
        <w:rPr>
          <w:rFonts w:hint="eastAsia"/>
          <w:sz w:val="24"/>
          <w:lang w:val="zh-CN"/>
        </w:rPr>
        <w:t>综合评分法是指投标文件满足招标文件全部实质性要求，且按照评审因素的量化指标评审得分最高的投标人为中标候选人的评标方法。</w:t>
      </w:r>
    </w:p>
    <w:p w14:paraId="45CF88C5">
      <w:pPr>
        <w:widowControl/>
        <w:spacing w:line="360" w:lineRule="auto"/>
        <w:ind w:firstLine="562" w:firstLineChars="200"/>
        <w:jc w:val="left"/>
        <w:rPr>
          <w:rFonts w:ascii="宋体" w:hAnsi="宋体" w:eastAsia="宋体" w:cs="宋体"/>
          <w:b/>
          <w:color w:val="000000"/>
          <w:kern w:val="0"/>
          <w:sz w:val="28"/>
          <w:szCs w:val="28"/>
          <w:lang w:bidi="ar"/>
        </w:rPr>
      </w:pPr>
    </w:p>
    <w:p w14:paraId="49B7777A">
      <w:pPr>
        <w:widowControl/>
        <w:spacing w:line="360" w:lineRule="auto"/>
        <w:ind w:firstLine="562" w:firstLineChars="200"/>
        <w:jc w:val="left"/>
        <w:rPr>
          <w:rFonts w:ascii="宋体" w:hAnsi="宋体" w:eastAsia="宋体" w:cs="宋体"/>
        </w:rPr>
      </w:pPr>
      <w:r>
        <w:rPr>
          <w:rFonts w:hint="eastAsia" w:ascii="宋体" w:hAnsi="宋体" w:eastAsia="宋体" w:cs="宋体"/>
          <w:b/>
          <w:color w:val="000000"/>
          <w:kern w:val="0"/>
          <w:sz w:val="28"/>
          <w:szCs w:val="28"/>
          <w:lang w:bidi="ar"/>
        </w:rPr>
        <w:t>1、 价格评议（</w:t>
      </w:r>
      <w:r>
        <w:rPr>
          <w:rFonts w:hint="eastAsia" w:ascii="宋体" w:hAnsi="宋体" w:cs="宋体"/>
          <w:b/>
          <w:kern w:val="0"/>
          <w:sz w:val="28"/>
          <w:szCs w:val="28"/>
          <w:lang w:bidi="ar"/>
        </w:rPr>
        <w:t>15</w:t>
      </w:r>
      <w:r>
        <w:rPr>
          <w:rFonts w:hint="eastAsia" w:ascii="宋体" w:hAnsi="宋体" w:eastAsia="宋体" w:cs="宋体"/>
          <w:b/>
          <w:kern w:val="0"/>
          <w:sz w:val="28"/>
          <w:szCs w:val="28"/>
          <w:lang w:bidi="ar"/>
        </w:rPr>
        <w:t xml:space="preserve"> </w:t>
      </w:r>
      <w:r>
        <w:rPr>
          <w:rFonts w:hint="eastAsia" w:ascii="宋体" w:hAnsi="宋体" w:eastAsia="宋体" w:cs="宋体"/>
          <w:b/>
          <w:color w:val="000000"/>
          <w:kern w:val="0"/>
          <w:sz w:val="28"/>
          <w:szCs w:val="28"/>
          <w:lang w:bidi="ar"/>
        </w:rPr>
        <w:t>分）</w:t>
      </w:r>
    </w:p>
    <w:tbl>
      <w:tblPr>
        <w:tblStyle w:val="10"/>
        <w:tblpPr w:leftFromText="180" w:rightFromText="180" w:vertAnchor="text" w:horzAnchor="page" w:tblpX="1527" w:tblpY="167"/>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295"/>
        <w:gridCol w:w="805"/>
        <w:gridCol w:w="6328"/>
      </w:tblGrid>
      <w:tr w14:paraId="166A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59" w:type="dxa"/>
            <w:tcBorders>
              <w:top w:val="single" w:color="auto" w:sz="4" w:space="0"/>
              <w:left w:val="single" w:color="auto" w:sz="4" w:space="0"/>
              <w:bottom w:val="single" w:color="auto" w:sz="4" w:space="0"/>
              <w:right w:val="single" w:color="auto" w:sz="4" w:space="0"/>
            </w:tcBorders>
            <w:vAlign w:val="center"/>
          </w:tcPr>
          <w:p w14:paraId="79D62883">
            <w:pPr>
              <w:widowControl/>
              <w:spacing w:line="360" w:lineRule="auto"/>
              <w:jc w:val="center"/>
              <w:rPr>
                <w:rFonts w:ascii="宋体" w:hAnsi="宋体" w:eastAsia="宋体" w:cs="宋体"/>
                <w:sz w:val="24"/>
                <w:szCs w:val="32"/>
              </w:rPr>
            </w:pPr>
            <w:r>
              <w:rPr>
                <w:rFonts w:hint="eastAsia" w:ascii="宋体" w:hAnsi="宋体" w:eastAsia="宋体" w:cs="宋体"/>
                <w:sz w:val="24"/>
                <w:szCs w:val="32"/>
                <w:lang w:bidi="ar"/>
              </w:rPr>
              <w:t>序号</w:t>
            </w:r>
          </w:p>
        </w:tc>
        <w:tc>
          <w:tcPr>
            <w:tcW w:w="1295" w:type="dxa"/>
            <w:tcBorders>
              <w:top w:val="single" w:color="auto" w:sz="4" w:space="0"/>
              <w:left w:val="single" w:color="auto" w:sz="4" w:space="0"/>
              <w:bottom w:val="single" w:color="auto" w:sz="4" w:space="0"/>
              <w:right w:val="single" w:color="auto" w:sz="4" w:space="0"/>
            </w:tcBorders>
            <w:vAlign w:val="center"/>
          </w:tcPr>
          <w:p w14:paraId="4CCE1566">
            <w:pPr>
              <w:widowControl/>
              <w:spacing w:line="360" w:lineRule="auto"/>
              <w:jc w:val="center"/>
              <w:rPr>
                <w:rFonts w:ascii="宋体" w:hAnsi="宋体" w:eastAsia="宋体" w:cs="宋体"/>
                <w:sz w:val="24"/>
                <w:szCs w:val="32"/>
              </w:rPr>
            </w:pPr>
            <w:r>
              <w:rPr>
                <w:rFonts w:hint="eastAsia" w:ascii="宋体" w:hAnsi="宋体" w:eastAsia="宋体" w:cs="宋体"/>
                <w:sz w:val="24"/>
                <w:szCs w:val="32"/>
                <w:lang w:bidi="ar"/>
              </w:rPr>
              <w:t>评审因素</w:t>
            </w:r>
          </w:p>
        </w:tc>
        <w:tc>
          <w:tcPr>
            <w:tcW w:w="805" w:type="dxa"/>
            <w:tcBorders>
              <w:top w:val="single" w:color="auto" w:sz="4" w:space="0"/>
              <w:left w:val="single" w:color="auto" w:sz="4" w:space="0"/>
              <w:bottom w:val="single" w:color="auto" w:sz="4" w:space="0"/>
              <w:right w:val="single" w:color="auto" w:sz="4" w:space="0"/>
            </w:tcBorders>
            <w:vAlign w:val="center"/>
          </w:tcPr>
          <w:p w14:paraId="2006A497">
            <w:pPr>
              <w:widowControl/>
              <w:spacing w:line="360" w:lineRule="auto"/>
              <w:jc w:val="center"/>
              <w:rPr>
                <w:rFonts w:ascii="宋体" w:hAnsi="宋体" w:eastAsia="宋体" w:cs="宋体"/>
                <w:sz w:val="24"/>
                <w:szCs w:val="32"/>
              </w:rPr>
            </w:pPr>
            <w:r>
              <w:rPr>
                <w:rFonts w:hint="eastAsia" w:ascii="宋体" w:hAnsi="宋体" w:eastAsia="宋体" w:cs="宋体"/>
                <w:sz w:val="24"/>
                <w:szCs w:val="32"/>
                <w:lang w:bidi="ar"/>
              </w:rPr>
              <w:t>分值</w:t>
            </w:r>
          </w:p>
        </w:tc>
        <w:tc>
          <w:tcPr>
            <w:tcW w:w="6328" w:type="dxa"/>
            <w:tcBorders>
              <w:top w:val="single" w:color="auto" w:sz="4" w:space="0"/>
              <w:left w:val="single" w:color="auto" w:sz="4" w:space="0"/>
              <w:bottom w:val="single" w:color="auto" w:sz="4" w:space="0"/>
              <w:right w:val="single" w:color="auto" w:sz="4" w:space="0"/>
            </w:tcBorders>
            <w:vAlign w:val="center"/>
          </w:tcPr>
          <w:p w14:paraId="76F28A83">
            <w:pPr>
              <w:widowControl/>
              <w:spacing w:line="360" w:lineRule="auto"/>
              <w:ind w:firstLine="480" w:firstLineChars="200"/>
              <w:jc w:val="center"/>
              <w:rPr>
                <w:rFonts w:ascii="宋体" w:hAnsi="宋体" w:eastAsia="宋体" w:cs="宋体"/>
                <w:sz w:val="24"/>
                <w:szCs w:val="32"/>
              </w:rPr>
            </w:pPr>
            <w:r>
              <w:rPr>
                <w:rFonts w:hint="eastAsia" w:ascii="宋体" w:hAnsi="宋体" w:eastAsia="宋体" w:cs="宋体"/>
                <w:sz w:val="24"/>
                <w:szCs w:val="32"/>
                <w:lang w:bidi="ar"/>
              </w:rPr>
              <w:t>评分标准</w:t>
            </w:r>
          </w:p>
        </w:tc>
      </w:tr>
      <w:tr w14:paraId="364A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59" w:type="dxa"/>
            <w:tcBorders>
              <w:top w:val="single" w:color="auto" w:sz="4" w:space="0"/>
              <w:left w:val="single" w:color="auto" w:sz="4" w:space="0"/>
              <w:bottom w:val="single" w:color="auto" w:sz="4" w:space="0"/>
              <w:right w:val="single" w:color="auto" w:sz="4" w:space="0"/>
            </w:tcBorders>
            <w:vAlign w:val="center"/>
          </w:tcPr>
          <w:p w14:paraId="41530A1A">
            <w:pPr>
              <w:widowControl/>
              <w:spacing w:line="360" w:lineRule="auto"/>
              <w:jc w:val="center"/>
              <w:rPr>
                <w:rFonts w:ascii="宋体" w:hAnsi="宋体" w:eastAsia="宋体" w:cs="宋体"/>
                <w:sz w:val="24"/>
                <w:szCs w:val="32"/>
              </w:rPr>
            </w:pPr>
            <w:r>
              <w:rPr>
                <w:rFonts w:hint="eastAsia" w:ascii="宋体" w:hAnsi="宋体" w:eastAsia="宋体" w:cs="宋体"/>
                <w:sz w:val="24"/>
                <w:szCs w:val="32"/>
                <w:lang w:bidi="ar"/>
              </w:rPr>
              <w:t>1.1</w:t>
            </w:r>
          </w:p>
        </w:tc>
        <w:tc>
          <w:tcPr>
            <w:tcW w:w="1295" w:type="dxa"/>
            <w:tcBorders>
              <w:top w:val="single" w:color="auto" w:sz="4" w:space="0"/>
              <w:left w:val="single" w:color="auto" w:sz="4" w:space="0"/>
              <w:bottom w:val="single" w:color="auto" w:sz="4" w:space="0"/>
              <w:right w:val="single" w:color="auto" w:sz="4" w:space="0"/>
            </w:tcBorders>
            <w:vAlign w:val="center"/>
          </w:tcPr>
          <w:p w14:paraId="7365E379">
            <w:pPr>
              <w:widowControl/>
              <w:spacing w:line="360" w:lineRule="auto"/>
              <w:jc w:val="center"/>
              <w:rPr>
                <w:rFonts w:ascii="宋体" w:hAnsi="宋体" w:eastAsia="宋体" w:cs="宋体"/>
                <w:sz w:val="24"/>
                <w:szCs w:val="32"/>
              </w:rPr>
            </w:pPr>
            <w:r>
              <w:rPr>
                <w:rFonts w:hint="eastAsia" w:ascii="宋体" w:hAnsi="宋体" w:eastAsia="宋体" w:cs="宋体"/>
                <w:sz w:val="24"/>
                <w:szCs w:val="32"/>
                <w:lang w:bidi="ar"/>
              </w:rPr>
              <w:t>价格评议</w:t>
            </w:r>
          </w:p>
        </w:tc>
        <w:tc>
          <w:tcPr>
            <w:tcW w:w="805" w:type="dxa"/>
            <w:tcBorders>
              <w:top w:val="single" w:color="auto" w:sz="4" w:space="0"/>
              <w:left w:val="single" w:color="auto" w:sz="4" w:space="0"/>
              <w:bottom w:val="single" w:color="auto" w:sz="4" w:space="0"/>
              <w:right w:val="single" w:color="auto" w:sz="4" w:space="0"/>
            </w:tcBorders>
            <w:vAlign w:val="center"/>
          </w:tcPr>
          <w:p w14:paraId="4C1987ED">
            <w:pPr>
              <w:widowControl/>
              <w:spacing w:line="360" w:lineRule="auto"/>
              <w:jc w:val="center"/>
              <w:rPr>
                <w:rFonts w:ascii="宋体" w:hAnsi="宋体" w:eastAsia="宋体" w:cs="宋体"/>
                <w:sz w:val="24"/>
                <w:szCs w:val="32"/>
              </w:rPr>
            </w:pPr>
            <w:r>
              <w:rPr>
                <w:rFonts w:hint="eastAsia" w:ascii="宋体" w:hAnsi="宋体" w:eastAsia="宋体" w:cs="宋体"/>
                <w:sz w:val="24"/>
                <w:szCs w:val="32"/>
                <w:lang w:bidi="ar"/>
              </w:rPr>
              <w:t>1</w:t>
            </w:r>
            <w:r>
              <w:rPr>
                <w:rFonts w:hint="eastAsia" w:ascii="宋体" w:hAnsi="宋体" w:cs="宋体"/>
                <w:sz w:val="24"/>
                <w:szCs w:val="32"/>
                <w:lang w:bidi="ar"/>
              </w:rPr>
              <w:t>5</w:t>
            </w:r>
          </w:p>
        </w:tc>
        <w:tc>
          <w:tcPr>
            <w:tcW w:w="6328" w:type="dxa"/>
            <w:tcBorders>
              <w:top w:val="single" w:color="auto" w:sz="4" w:space="0"/>
              <w:left w:val="single" w:color="auto" w:sz="4" w:space="0"/>
              <w:bottom w:val="single" w:color="auto" w:sz="4" w:space="0"/>
              <w:right w:val="single" w:color="auto" w:sz="4" w:space="0"/>
            </w:tcBorders>
            <w:vAlign w:val="center"/>
          </w:tcPr>
          <w:p w14:paraId="1CC2D561">
            <w:pPr>
              <w:widowControl/>
              <w:snapToGrid w:val="0"/>
              <w:spacing w:line="440" w:lineRule="exact"/>
              <w:jc w:val="left"/>
              <w:rPr>
                <w:rFonts w:ascii="宋体" w:hAnsi="宋体" w:eastAsia="宋体" w:cs="宋体"/>
                <w:sz w:val="24"/>
                <w:szCs w:val="32"/>
              </w:rPr>
            </w:pPr>
            <w:r>
              <w:rPr>
                <w:rFonts w:hint="eastAsia" w:ascii="宋体" w:hAnsi="宋体" w:eastAsia="宋体" w:cs="宋体"/>
                <w:color w:val="000000"/>
                <w:kern w:val="0"/>
                <w:sz w:val="24"/>
                <w:lang w:bidi="ar"/>
              </w:rPr>
              <w:t>评标委员会只对符合性审查合格的投标文件进行价格评议，报价分采用低价优先法计算，即满足招标文件要求且 投标价格</w:t>
            </w:r>
            <w:r>
              <w:rPr>
                <w:rFonts w:hint="eastAsia" w:ascii="宋体" w:hAnsi="宋体" w:eastAsia="宋体" w:cs="宋体"/>
                <w:b/>
                <w:color w:val="000000"/>
                <w:kern w:val="0"/>
                <w:sz w:val="24"/>
                <w:lang w:bidi="ar"/>
              </w:rPr>
              <w:t>（落实政府采购政策进行价格调整的，以调整后 的价格计算）</w:t>
            </w:r>
            <w:r>
              <w:rPr>
                <w:rFonts w:hint="eastAsia" w:ascii="宋体" w:hAnsi="宋体" w:eastAsia="宋体" w:cs="宋体"/>
                <w:color w:val="000000"/>
                <w:kern w:val="0"/>
                <w:sz w:val="24"/>
                <w:lang w:bidi="ar"/>
              </w:rPr>
              <w:t>最低的投标报价为评标基准价，其价格分为 满分。其他投标人的价格分按照下列公式计算：报价得分 =(评标基准价／投标报价</w:t>
            </w:r>
            <w:r>
              <w:rPr>
                <w:rFonts w:hint="eastAsia" w:ascii="宋体" w:hAnsi="宋体" w:eastAsia="宋体" w:cs="宋体"/>
                <w:kern w:val="0"/>
                <w:sz w:val="24"/>
                <w:lang w:bidi="ar"/>
              </w:rPr>
              <w:t>)×1</w:t>
            </w:r>
            <w:r>
              <w:rPr>
                <w:rFonts w:hint="eastAsia" w:ascii="宋体" w:hAnsi="宋体" w:cs="宋体"/>
                <w:kern w:val="0"/>
                <w:sz w:val="24"/>
                <w:lang w:bidi="ar"/>
              </w:rPr>
              <w:t>5</w:t>
            </w:r>
            <w:r>
              <w:rPr>
                <w:rFonts w:hint="eastAsia" w:ascii="宋体" w:hAnsi="宋体" w:eastAsia="宋体" w:cs="宋体"/>
                <w:kern w:val="0"/>
                <w:sz w:val="24"/>
                <w:lang w:bidi="ar"/>
              </w:rPr>
              <w:t>分×100%</w:t>
            </w:r>
          </w:p>
        </w:tc>
      </w:tr>
    </w:tbl>
    <w:p w14:paraId="45A45F69">
      <w:pPr>
        <w:pStyle w:val="5"/>
        <w:snapToGrid w:val="0"/>
        <w:spacing w:after="0"/>
        <w:rPr>
          <w:rFonts w:ascii="宋体" w:hAnsi="宋体"/>
          <w:bCs/>
          <w:sz w:val="24"/>
          <w:lang w:val="hr-HR"/>
        </w:rPr>
      </w:pPr>
    </w:p>
    <w:p w14:paraId="72BD8A81">
      <w:pPr>
        <w:pStyle w:val="5"/>
        <w:snapToGrid w:val="0"/>
        <w:spacing w:after="0" w:line="300" w:lineRule="auto"/>
        <w:rPr>
          <w:rFonts w:ascii="宋体" w:hAnsi="宋体"/>
          <w:bCs/>
          <w:sz w:val="24"/>
          <w:lang w:val="hr-HR"/>
        </w:rPr>
      </w:pPr>
    </w:p>
    <w:p w14:paraId="509A982F">
      <w:pPr>
        <w:pStyle w:val="5"/>
        <w:snapToGrid w:val="0"/>
        <w:spacing w:after="0" w:line="300" w:lineRule="auto"/>
        <w:rPr>
          <w:rFonts w:ascii="宋体" w:hAnsi="宋体"/>
          <w:bCs/>
          <w:sz w:val="24"/>
          <w:lang w:val="hr-HR"/>
        </w:rPr>
      </w:pPr>
    </w:p>
    <w:p w14:paraId="6D45BE0A">
      <w:pPr>
        <w:pStyle w:val="5"/>
        <w:snapToGrid w:val="0"/>
        <w:spacing w:after="0" w:line="300" w:lineRule="auto"/>
        <w:rPr>
          <w:rFonts w:ascii="宋体" w:hAnsi="宋体"/>
          <w:bCs/>
          <w:sz w:val="24"/>
          <w:lang w:val="hr-HR"/>
        </w:rPr>
      </w:pPr>
    </w:p>
    <w:p w14:paraId="53AE1AC0">
      <w:pPr>
        <w:widowControl/>
        <w:numPr>
          <w:ilvl w:val="0"/>
          <w:numId w:val="1"/>
        </w:numPr>
        <w:spacing w:line="360" w:lineRule="auto"/>
        <w:ind w:firstLine="562" w:firstLineChars="200"/>
        <w:jc w:val="left"/>
        <w:rPr>
          <w:rFonts w:ascii="宋体" w:hAnsi="宋体" w:eastAsia="宋体" w:cs="宋体"/>
          <w:b/>
          <w:sz w:val="28"/>
          <w:szCs w:val="28"/>
          <w:lang w:bidi="ar"/>
        </w:rPr>
      </w:pPr>
      <w:r>
        <w:rPr>
          <w:rFonts w:hint="eastAsia" w:ascii="宋体" w:hAnsi="宋体" w:eastAsia="宋体" w:cs="宋体"/>
          <w:b/>
          <w:sz w:val="28"/>
          <w:szCs w:val="28"/>
          <w:lang w:bidi="ar"/>
        </w:rPr>
        <w:t xml:space="preserve">商务评议（ </w:t>
      </w:r>
      <w:r>
        <w:rPr>
          <w:rFonts w:hint="eastAsia" w:ascii="宋体" w:hAnsi="宋体" w:cs="宋体"/>
          <w:b/>
          <w:sz w:val="28"/>
          <w:szCs w:val="28"/>
          <w:lang w:bidi="ar"/>
        </w:rPr>
        <w:t>26</w:t>
      </w:r>
      <w:r>
        <w:rPr>
          <w:rFonts w:hint="eastAsia" w:ascii="宋体" w:hAnsi="宋体" w:eastAsia="宋体" w:cs="宋体"/>
          <w:b/>
          <w:sz w:val="28"/>
          <w:szCs w:val="28"/>
          <w:lang w:bidi="ar"/>
        </w:rPr>
        <w:t>分）</w:t>
      </w:r>
    </w:p>
    <w:tbl>
      <w:tblPr>
        <w:tblStyle w:val="10"/>
        <w:tblpPr w:leftFromText="180" w:rightFromText="180" w:vertAnchor="text" w:horzAnchor="page" w:tblpX="1539" w:tblpY="507"/>
        <w:tblOverlap w:val="never"/>
        <w:tblW w:w="9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362"/>
        <w:gridCol w:w="791"/>
        <w:gridCol w:w="6327"/>
      </w:tblGrid>
      <w:tr w14:paraId="6472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92" w:type="dxa"/>
            <w:tcBorders>
              <w:top w:val="single" w:color="auto" w:sz="4" w:space="0"/>
              <w:left w:val="single" w:color="auto" w:sz="4" w:space="0"/>
              <w:bottom w:val="single" w:color="auto" w:sz="4" w:space="0"/>
              <w:right w:val="single" w:color="auto" w:sz="4" w:space="0"/>
            </w:tcBorders>
            <w:vAlign w:val="center"/>
          </w:tcPr>
          <w:p w14:paraId="353DBCF3">
            <w:pPr>
              <w:widowControl/>
              <w:spacing w:line="360" w:lineRule="auto"/>
              <w:jc w:val="center"/>
              <w:rPr>
                <w:rFonts w:ascii="宋体" w:hAnsi="宋体" w:eastAsia="宋体" w:cs="宋体"/>
                <w:sz w:val="24"/>
                <w:szCs w:val="32"/>
              </w:rPr>
            </w:pPr>
            <w:r>
              <w:rPr>
                <w:rFonts w:hint="eastAsia" w:ascii="宋体" w:hAnsi="宋体" w:eastAsia="宋体" w:cs="宋体"/>
                <w:sz w:val="24"/>
                <w:szCs w:val="32"/>
                <w:lang w:bidi="ar"/>
              </w:rPr>
              <w:t>序号</w:t>
            </w:r>
          </w:p>
        </w:tc>
        <w:tc>
          <w:tcPr>
            <w:tcW w:w="1362" w:type="dxa"/>
            <w:tcBorders>
              <w:top w:val="single" w:color="auto" w:sz="4" w:space="0"/>
              <w:left w:val="single" w:color="auto" w:sz="4" w:space="0"/>
              <w:bottom w:val="single" w:color="auto" w:sz="4" w:space="0"/>
              <w:right w:val="single" w:color="auto" w:sz="4" w:space="0"/>
            </w:tcBorders>
            <w:vAlign w:val="center"/>
          </w:tcPr>
          <w:p w14:paraId="2C18D154">
            <w:pPr>
              <w:widowControl/>
              <w:spacing w:line="360" w:lineRule="auto"/>
              <w:jc w:val="center"/>
              <w:rPr>
                <w:rFonts w:ascii="宋体" w:hAnsi="宋体" w:eastAsia="宋体" w:cs="宋体"/>
                <w:sz w:val="24"/>
                <w:szCs w:val="32"/>
              </w:rPr>
            </w:pPr>
            <w:r>
              <w:rPr>
                <w:rFonts w:hint="eastAsia" w:ascii="宋体" w:hAnsi="宋体" w:eastAsia="宋体" w:cs="宋体"/>
                <w:sz w:val="24"/>
                <w:szCs w:val="32"/>
                <w:lang w:bidi="ar"/>
              </w:rPr>
              <w:t>评审因素</w:t>
            </w:r>
          </w:p>
        </w:tc>
        <w:tc>
          <w:tcPr>
            <w:tcW w:w="791" w:type="dxa"/>
            <w:tcBorders>
              <w:top w:val="single" w:color="auto" w:sz="4" w:space="0"/>
              <w:left w:val="single" w:color="auto" w:sz="4" w:space="0"/>
              <w:bottom w:val="single" w:color="auto" w:sz="4" w:space="0"/>
              <w:right w:val="single" w:color="auto" w:sz="4" w:space="0"/>
            </w:tcBorders>
            <w:vAlign w:val="center"/>
          </w:tcPr>
          <w:p w14:paraId="7DB69690">
            <w:pPr>
              <w:widowControl/>
              <w:spacing w:line="360" w:lineRule="auto"/>
              <w:jc w:val="center"/>
              <w:rPr>
                <w:rFonts w:ascii="宋体" w:hAnsi="宋体" w:eastAsia="宋体" w:cs="宋体"/>
                <w:sz w:val="24"/>
                <w:szCs w:val="32"/>
              </w:rPr>
            </w:pPr>
            <w:r>
              <w:rPr>
                <w:rFonts w:hint="eastAsia" w:ascii="宋体" w:hAnsi="宋体" w:eastAsia="宋体" w:cs="宋体"/>
                <w:sz w:val="24"/>
                <w:szCs w:val="32"/>
                <w:lang w:bidi="ar"/>
              </w:rPr>
              <w:t>分值</w:t>
            </w:r>
          </w:p>
        </w:tc>
        <w:tc>
          <w:tcPr>
            <w:tcW w:w="6327" w:type="dxa"/>
            <w:tcBorders>
              <w:top w:val="single" w:color="auto" w:sz="4" w:space="0"/>
              <w:left w:val="single" w:color="auto" w:sz="4" w:space="0"/>
              <w:bottom w:val="single" w:color="auto" w:sz="4" w:space="0"/>
              <w:right w:val="single" w:color="auto" w:sz="4" w:space="0"/>
            </w:tcBorders>
            <w:vAlign w:val="center"/>
          </w:tcPr>
          <w:p w14:paraId="5EB0F5DB">
            <w:pPr>
              <w:widowControl/>
              <w:spacing w:line="360" w:lineRule="auto"/>
              <w:ind w:firstLine="480" w:firstLineChars="200"/>
              <w:jc w:val="center"/>
              <w:rPr>
                <w:rFonts w:ascii="宋体" w:hAnsi="宋体" w:eastAsia="宋体" w:cs="宋体"/>
                <w:sz w:val="24"/>
                <w:szCs w:val="32"/>
              </w:rPr>
            </w:pPr>
            <w:r>
              <w:rPr>
                <w:rFonts w:hint="eastAsia" w:ascii="宋体" w:hAnsi="宋体" w:eastAsia="宋体" w:cs="宋体"/>
                <w:sz w:val="24"/>
                <w:szCs w:val="32"/>
                <w:lang w:bidi="ar"/>
              </w:rPr>
              <w:t>评分标准</w:t>
            </w:r>
          </w:p>
        </w:tc>
      </w:tr>
      <w:tr w14:paraId="75CE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92" w:type="dxa"/>
            <w:tcBorders>
              <w:top w:val="single" w:color="auto" w:sz="4" w:space="0"/>
              <w:left w:val="single" w:color="auto" w:sz="4" w:space="0"/>
              <w:bottom w:val="single" w:color="auto" w:sz="4" w:space="0"/>
              <w:right w:val="single" w:color="auto" w:sz="4" w:space="0"/>
            </w:tcBorders>
            <w:vAlign w:val="center"/>
          </w:tcPr>
          <w:p w14:paraId="0DB70795">
            <w:pPr>
              <w:widowControl/>
              <w:spacing w:line="360" w:lineRule="auto"/>
              <w:jc w:val="center"/>
              <w:rPr>
                <w:rFonts w:ascii="宋体" w:hAnsi="宋体" w:eastAsia="宋体" w:cs="宋体"/>
                <w:b/>
                <w:color w:val="000000"/>
                <w:kern w:val="0"/>
                <w:sz w:val="28"/>
                <w:szCs w:val="28"/>
              </w:rPr>
            </w:pPr>
            <w:r>
              <w:rPr>
                <w:rFonts w:hint="eastAsia" w:ascii="宋体" w:hAnsi="宋体" w:eastAsia="宋体" w:cs="宋体"/>
                <w:b/>
                <w:color w:val="000000"/>
                <w:kern w:val="0"/>
                <w:sz w:val="24"/>
                <w:lang w:bidi="ar"/>
              </w:rPr>
              <w:t>2.</w:t>
            </w:r>
            <w:r>
              <w:rPr>
                <w:rFonts w:hint="eastAsia" w:ascii="宋体" w:hAnsi="宋体" w:cs="宋体"/>
                <w:b/>
                <w:color w:val="000000"/>
                <w:kern w:val="0"/>
                <w:sz w:val="24"/>
                <w:lang w:bidi="ar"/>
              </w:rPr>
              <w:t>1</w:t>
            </w:r>
          </w:p>
        </w:tc>
        <w:tc>
          <w:tcPr>
            <w:tcW w:w="1362" w:type="dxa"/>
            <w:tcBorders>
              <w:left w:val="single" w:color="auto" w:sz="4" w:space="0"/>
              <w:right w:val="single" w:color="auto" w:sz="4" w:space="0"/>
            </w:tcBorders>
            <w:vAlign w:val="center"/>
          </w:tcPr>
          <w:p w14:paraId="5B0F70DB">
            <w:pPr>
              <w:jc w:val="center"/>
              <w:rPr>
                <w:rFonts w:ascii="宋体" w:hAnsi="宋体" w:eastAsia="宋体" w:cs="宋体"/>
                <w:sz w:val="20"/>
                <w:szCs w:val="20"/>
              </w:rPr>
            </w:pPr>
            <w:r>
              <w:rPr>
                <w:rFonts w:hint="eastAsia" w:ascii="宋体" w:hAnsi="宋体" w:eastAsia="宋体" w:cs="宋体"/>
                <w:b/>
                <w:bCs/>
                <w:sz w:val="24"/>
              </w:rPr>
              <w:t>管理体系</w:t>
            </w:r>
          </w:p>
        </w:tc>
        <w:tc>
          <w:tcPr>
            <w:tcW w:w="791" w:type="dxa"/>
            <w:tcBorders>
              <w:top w:val="single" w:color="auto" w:sz="4" w:space="0"/>
              <w:left w:val="single" w:color="auto" w:sz="4" w:space="0"/>
              <w:bottom w:val="single" w:color="auto" w:sz="4" w:space="0"/>
              <w:right w:val="single" w:color="auto" w:sz="4" w:space="0"/>
            </w:tcBorders>
            <w:vAlign w:val="center"/>
          </w:tcPr>
          <w:p w14:paraId="3CF6560B">
            <w:pPr>
              <w:widowControl/>
              <w:spacing w:line="360" w:lineRule="auto"/>
              <w:jc w:val="center"/>
              <w:rPr>
                <w:rFonts w:ascii="宋体" w:hAnsi="宋体" w:eastAsia="宋体" w:cs="宋体"/>
                <w:sz w:val="24"/>
                <w:szCs w:val="32"/>
              </w:rPr>
            </w:pPr>
            <w:r>
              <w:rPr>
                <w:rFonts w:hint="eastAsia" w:ascii="宋体" w:hAnsi="宋体" w:eastAsia="宋体" w:cs="宋体"/>
                <w:sz w:val="24"/>
                <w:szCs w:val="32"/>
                <w:lang w:bidi="ar"/>
              </w:rPr>
              <w:t>5</w:t>
            </w:r>
          </w:p>
        </w:tc>
        <w:tc>
          <w:tcPr>
            <w:tcW w:w="6327" w:type="dxa"/>
            <w:tcBorders>
              <w:top w:val="single" w:color="auto" w:sz="4" w:space="0"/>
              <w:left w:val="single" w:color="auto" w:sz="4" w:space="0"/>
              <w:bottom w:val="single" w:color="auto" w:sz="4" w:space="0"/>
              <w:right w:val="single" w:color="auto" w:sz="4" w:space="0"/>
            </w:tcBorders>
            <w:vAlign w:val="center"/>
          </w:tcPr>
          <w:p w14:paraId="551695BB">
            <w:pPr>
              <w:widowControl/>
              <w:snapToGrid w:val="0"/>
              <w:spacing w:line="440" w:lineRule="exact"/>
              <w:jc w:val="left"/>
              <w:rPr>
                <w:rFonts w:ascii="宋体" w:hAnsi="宋体" w:eastAsia="宋体" w:cs="宋体"/>
                <w:sz w:val="24"/>
                <w:szCs w:val="32"/>
              </w:rPr>
            </w:pPr>
            <w:r>
              <w:rPr>
                <w:rFonts w:hint="eastAsia" w:ascii="宋体" w:hAnsi="宋体" w:eastAsia="宋体" w:cs="宋体"/>
                <w:color w:val="000000"/>
                <w:kern w:val="0"/>
                <w:sz w:val="24"/>
                <w:lang w:bidi="ar"/>
              </w:rPr>
              <w:t>投标人具有有效的 ISO9001质量管理体系认证证书、</w:t>
            </w:r>
            <w:r>
              <w:rPr>
                <w:rFonts w:hint="eastAsia" w:ascii="Arial" w:hAnsi="Arial" w:cs="Arial"/>
                <w:sz w:val="22"/>
              </w:rPr>
              <w:t>IS014001</w:t>
            </w:r>
            <w:r>
              <w:rPr>
                <w:rFonts w:hint="eastAsia" w:ascii="宋体" w:hAnsi="宋体" w:eastAsia="宋体" w:cs="宋体"/>
                <w:color w:val="000000"/>
                <w:kern w:val="0"/>
                <w:sz w:val="24"/>
                <w:lang w:bidi="ar"/>
              </w:rPr>
              <w:t>环境管理体系认证证书、</w:t>
            </w:r>
            <w:r>
              <w:rPr>
                <w:rFonts w:hint="eastAsia" w:ascii="Arial" w:hAnsi="Arial" w:cs="Arial"/>
                <w:sz w:val="22"/>
              </w:rPr>
              <w:t>ISO45001</w:t>
            </w:r>
            <w:r>
              <w:rPr>
                <w:rFonts w:hint="eastAsia" w:ascii="宋体" w:hAnsi="宋体" w:eastAsia="宋体" w:cs="宋体"/>
                <w:color w:val="000000"/>
                <w:kern w:val="0"/>
                <w:sz w:val="24"/>
                <w:lang w:bidi="ar"/>
              </w:rPr>
              <w:t>职业健康安全管理体系认证证书、ISO22000食品安全管理体系认证、HACCP危害分析与关键控制点体系，每提供一个有效证书的得1分，最高得5分，未提供的不得分。</w:t>
            </w:r>
          </w:p>
        </w:tc>
      </w:tr>
      <w:tr w14:paraId="6429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2" w:type="dxa"/>
            <w:tcBorders>
              <w:top w:val="single" w:color="auto" w:sz="4" w:space="0"/>
              <w:left w:val="single" w:color="auto" w:sz="4" w:space="0"/>
              <w:bottom w:val="single" w:color="auto" w:sz="4" w:space="0"/>
              <w:right w:val="single" w:color="auto" w:sz="4" w:space="0"/>
            </w:tcBorders>
            <w:vAlign w:val="center"/>
          </w:tcPr>
          <w:p w14:paraId="10963AA6">
            <w:pPr>
              <w:widowControl/>
              <w:spacing w:line="360" w:lineRule="auto"/>
              <w:jc w:val="center"/>
              <w:rPr>
                <w:rFonts w:ascii="宋体" w:hAnsi="宋体" w:eastAsia="宋体" w:cs="宋体"/>
                <w:b/>
                <w:color w:val="000000"/>
                <w:kern w:val="0"/>
                <w:sz w:val="28"/>
                <w:szCs w:val="28"/>
              </w:rPr>
            </w:pPr>
            <w:r>
              <w:rPr>
                <w:rFonts w:hint="eastAsia" w:ascii="宋体" w:hAnsi="宋体" w:eastAsia="宋体" w:cs="宋体"/>
                <w:b/>
                <w:color w:val="000000"/>
                <w:kern w:val="0"/>
                <w:sz w:val="24"/>
                <w:szCs w:val="28"/>
                <w:lang w:bidi="ar"/>
              </w:rPr>
              <w:t>2.</w:t>
            </w:r>
            <w:r>
              <w:rPr>
                <w:rFonts w:hint="eastAsia" w:ascii="宋体" w:hAnsi="宋体" w:cs="宋体"/>
                <w:b/>
                <w:color w:val="000000"/>
                <w:kern w:val="0"/>
                <w:sz w:val="24"/>
                <w:szCs w:val="28"/>
                <w:lang w:bidi="ar"/>
              </w:rPr>
              <w:t>2</w:t>
            </w:r>
          </w:p>
        </w:tc>
        <w:tc>
          <w:tcPr>
            <w:tcW w:w="1362" w:type="dxa"/>
            <w:tcBorders>
              <w:top w:val="single" w:color="auto" w:sz="4" w:space="0"/>
              <w:left w:val="single" w:color="auto" w:sz="4" w:space="0"/>
              <w:bottom w:val="single" w:color="auto" w:sz="4" w:space="0"/>
              <w:right w:val="single" w:color="auto" w:sz="4" w:space="0"/>
            </w:tcBorders>
            <w:vAlign w:val="center"/>
          </w:tcPr>
          <w:p w14:paraId="0FDB89A7">
            <w:pPr>
              <w:widowControl/>
              <w:spacing w:line="360" w:lineRule="auto"/>
              <w:jc w:val="center"/>
              <w:rPr>
                <w:rFonts w:ascii="宋体" w:hAnsi="宋体" w:eastAsia="宋体" w:cs="宋体"/>
                <w:sz w:val="24"/>
                <w:szCs w:val="32"/>
              </w:rPr>
            </w:pPr>
            <w:r>
              <w:rPr>
                <w:rFonts w:hint="eastAsia" w:ascii="宋体" w:hAnsi="宋体" w:eastAsia="宋体" w:cs="宋体"/>
                <w:b/>
                <w:color w:val="000000"/>
                <w:kern w:val="0"/>
                <w:sz w:val="24"/>
                <w:lang w:bidi="ar"/>
              </w:rPr>
              <w:t>类似业绩</w:t>
            </w:r>
          </w:p>
        </w:tc>
        <w:tc>
          <w:tcPr>
            <w:tcW w:w="791" w:type="dxa"/>
            <w:tcBorders>
              <w:top w:val="single" w:color="auto" w:sz="4" w:space="0"/>
              <w:left w:val="single" w:color="auto" w:sz="4" w:space="0"/>
              <w:bottom w:val="single" w:color="auto" w:sz="4" w:space="0"/>
              <w:right w:val="single" w:color="auto" w:sz="4" w:space="0"/>
            </w:tcBorders>
            <w:vAlign w:val="center"/>
          </w:tcPr>
          <w:p w14:paraId="4DDCD928">
            <w:pPr>
              <w:widowControl/>
              <w:spacing w:line="360" w:lineRule="auto"/>
              <w:jc w:val="center"/>
              <w:rPr>
                <w:rFonts w:ascii="宋体" w:hAnsi="宋体" w:eastAsia="宋体" w:cs="宋体"/>
                <w:sz w:val="24"/>
                <w:szCs w:val="32"/>
              </w:rPr>
            </w:pPr>
            <w:r>
              <w:rPr>
                <w:rFonts w:hint="eastAsia" w:ascii="宋体" w:hAnsi="宋体" w:cs="宋体"/>
                <w:sz w:val="24"/>
                <w:szCs w:val="32"/>
                <w:lang w:bidi="ar"/>
              </w:rPr>
              <w:t>14</w:t>
            </w:r>
          </w:p>
        </w:tc>
        <w:tc>
          <w:tcPr>
            <w:tcW w:w="6327" w:type="dxa"/>
            <w:tcBorders>
              <w:top w:val="single" w:color="auto" w:sz="4" w:space="0"/>
              <w:left w:val="single" w:color="auto" w:sz="4" w:space="0"/>
              <w:bottom w:val="single" w:color="auto" w:sz="4" w:space="0"/>
              <w:right w:val="single" w:color="auto" w:sz="4" w:space="0"/>
            </w:tcBorders>
            <w:vAlign w:val="center"/>
          </w:tcPr>
          <w:p w14:paraId="0DF3C450">
            <w:pPr>
              <w:widowControl/>
              <w:snapToGrid w:val="0"/>
              <w:spacing w:line="440" w:lineRule="exact"/>
              <w:jc w:val="left"/>
              <w:rPr>
                <w:rFonts w:ascii="宋体" w:hAnsi="宋体" w:eastAsia="宋体" w:cs="宋体"/>
                <w:sz w:val="24"/>
                <w:szCs w:val="32"/>
              </w:rPr>
            </w:pPr>
            <w:r>
              <w:rPr>
                <w:rFonts w:hint="eastAsia" w:ascii="宋体" w:hAnsi="宋体" w:eastAsia="宋体" w:cs="宋体"/>
                <w:kern w:val="0"/>
                <w:sz w:val="24"/>
                <w:lang w:bidi="ar"/>
              </w:rPr>
              <w:t>投标人自</w:t>
            </w:r>
            <w:bookmarkStart w:id="22" w:name="OLE_LINK9"/>
            <w:r>
              <w:rPr>
                <w:rFonts w:hint="eastAsia" w:ascii="宋体" w:hAnsi="宋体" w:eastAsia="宋体" w:cs="宋体"/>
                <w:kern w:val="0"/>
                <w:sz w:val="24"/>
                <w:lang w:bidi="ar"/>
              </w:rPr>
              <w:t xml:space="preserve"> </w:t>
            </w:r>
            <w:bookmarkStart w:id="23" w:name="OLE_LINK8"/>
            <w:r>
              <w:rPr>
                <w:rFonts w:hint="eastAsia" w:ascii="宋体" w:hAnsi="宋体" w:eastAsia="宋体" w:cs="宋体"/>
                <w:kern w:val="0"/>
                <w:sz w:val="24"/>
                <w:lang w:bidi="ar"/>
              </w:rPr>
              <w:t>202</w:t>
            </w:r>
            <w:r>
              <w:rPr>
                <w:rFonts w:hint="eastAsia" w:ascii="宋体" w:hAnsi="宋体" w:cs="宋体"/>
                <w:kern w:val="0"/>
                <w:sz w:val="24"/>
                <w:lang w:bidi="ar"/>
              </w:rPr>
              <w:t>2</w:t>
            </w:r>
            <w:r>
              <w:rPr>
                <w:rFonts w:hint="eastAsia" w:ascii="宋体" w:hAnsi="宋体" w:eastAsia="宋体" w:cs="宋体"/>
                <w:kern w:val="0"/>
                <w:sz w:val="24"/>
                <w:lang w:bidi="ar"/>
              </w:rPr>
              <w:t>年 1 月 1 日</w:t>
            </w:r>
            <w:bookmarkEnd w:id="23"/>
            <w:r>
              <w:rPr>
                <w:rFonts w:hint="eastAsia" w:ascii="宋体" w:hAnsi="宋体" w:eastAsia="宋体" w:cs="宋体"/>
                <w:kern w:val="0"/>
                <w:sz w:val="24"/>
                <w:lang w:bidi="ar"/>
              </w:rPr>
              <w:t>以来</w:t>
            </w:r>
            <w:bookmarkEnd w:id="22"/>
            <w:bookmarkStart w:id="24" w:name="OLE_LINK10"/>
            <w:r>
              <w:rPr>
                <w:rFonts w:hint="eastAsia" w:ascii="宋体" w:hAnsi="宋体" w:cs="宋体"/>
                <w:kern w:val="0"/>
                <w:sz w:val="24"/>
                <w:lang w:bidi="ar"/>
              </w:rPr>
              <w:t>类似</w:t>
            </w:r>
            <w:bookmarkEnd w:id="24"/>
            <w:r>
              <w:rPr>
                <w:rFonts w:hint="eastAsia" w:ascii="宋体" w:hAnsi="宋体" w:eastAsia="宋体" w:cs="宋体"/>
                <w:kern w:val="0"/>
                <w:sz w:val="24"/>
                <w:lang w:bidi="ar"/>
              </w:rPr>
              <w:t>业绩的提供 1个得</w:t>
            </w:r>
            <w:r>
              <w:rPr>
                <w:rFonts w:hint="eastAsia" w:ascii="宋体" w:hAnsi="宋体" w:cs="宋体"/>
                <w:kern w:val="0"/>
                <w:sz w:val="24"/>
                <w:lang w:bidi="ar"/>
              </w:rPr>
              <w:t>2</w:t>
            </w:r>
            <w:r>
              <w:rPr>
                <w:rFonts w:hint="eastAsia" w:ascii="宋体" w:hAnsi="宋体" w:eastAsia="宋体" w:cs="宋体"/>
                <w:kern w:val="0"/>
                <w:sz w:val="24"/>
                <w:lang w:bidi="ar"/>
              </w:rPr>
              <w:t>分，最多得</w:t>
            </w:r>
            <w:r>
              <w:rPr>
                <w:rFonts w:hint="eastAsia" w:ascii="宋体" w:hAnsi="宋体" w:cs="宋体"/>
                <w:kern w:val="0"/>
                <w:sz w:val="24"/>
                <w:lang w:bidi="ar"/>
              </w:rPr>
              <w:t>14</w:t>
            </w:r>
            <w:r>
              <w:rPr>
                <w:rFonts w:hint="eastAsia" w:ascii="宋体" w:hAnsi="宋体" w:eastAsia="宋体" w:cs="宋体"/>
                <w:kern w:val="0"/>
                <w:sz w:val="24"/>
                <w:lang w:bidi="ar"/>
              </w:rPr>
              <w:t xml:space="preserve">分，未提供不得分，业绩合同不重复计分 （以合同关键页和中标通知书复印件加盖公章为准，同一单位合同不重复计分）。 </w:t>
            </w:r>
          </w:p>
        </w:tc>
      </w:tr>
      <w:tr w14:paraId="2B11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2" w:type="dxa"/>
            <w:tcBorders>
              <w:top w:val="single" w:color="auto" w:sz="4" w:space="0"/>
              <w:left w:val="single" w:color="auto" w:sz="4" w:space="0"/>
              <w:bottom w:val="single" w:color="auto" w:sz="4" w:space="0"/>
              <w:right w:val="single" w:color="auto" w:sz="4" w:space="0"/>
            </w:tcBorders>
            <w:vAlign w:val="center"/>
          </w:tcPr>
          <w:p w14:paraId="5DFBB827">
            <w:pPr>
              <w:widowControl/>
              <w:spacing w:line="360" w:lineRule="auto"/>
              <w:jc w:val="center"/>
              <w:rPr>
                <w:rFonts w:ascii="宋体" w:hAnsi="宋体" w:eastAsia="宋体" w:cs="宋体"/>
                <w:b/>
                <w:color w:val="000000"/>
                <w:kern w:val="0"/>
                <w:sz w:val="24"/>
                <w:szCs w:val="28"/>
                <w:lang w:bidi="ar"/>
              </w:rPr>
            </w:pPr>
            <w:r>
              <w:rPr>
                <w:rFonts w:hint="eastAsia" w:ascii="宋体" w:hAnsi="宋体" w:eastAsia="宋体" w:cs="宋体"/>
                <w:b/>
                <w:color w:val="000000"/>
                <w:kern w:val="0"/>
                <w:sz w:val="24"/>
                <w:szCs w:val="28"/>
                <w:lang w:bidi="ar"/>
              </w:rPr>
              <w:t>2.</w:t>
            </w:r>
            <w:r>
              <w:rPr>
                <w:rFonts w:hint="eastAsia" w:ascii="宋体" w:hAnsi="宋体" w:cs="宋体"/>
                <w:b/>
                <w:color w:val="000000"/>
                <w:kern w:val="0"/>
                <w:sz w:val="24"/>
                <w:szCs w:val="28"/>
                <w:lang w:bidi="ar"/>
              </w:rPr>
              <w:t>3</w:t>
            </w:r>
          </w:p>
        </w:tc>
        <w:tc>
          <w:tcPr>
            <w:tcW w:w="1362" w:type="dxa"/>
            <w:tcBorders>
              <w:top w:val="single" w:color="auto" w:sz="4" w:space="0"/>
              <w:left w:val="single" w:color="auto" w:sz="4" w:space="0"/>
              <w:bottom w:val="single" w:color="auto" w:sz="4" w:space="0"/>
              <w:right w:val="single" w:color="auto" w:sz="4" w:space="0"/>
            </w:tcBorders>
            <w:vAlign w:val="center"/>
          </w:tcPr>
          <w:p w14:paraId="6D60ED62">
            <w:pPr>
              <w:widowControl/>
              <w:spacing w:line="360" w:lineRule="auto"/>
              <w:jc w:val="center"/>
              <w:rPr>
                <w:rFonts w:ascii="宋体" w:hAnsi="宋体" w:eastAsia="宋体" w:cs="宋体"/>
                <w:b/>
                <w:color w:val="000000"/>
                <w:kern w:val="0"/>
                <w:sz w:val="24"/>
                <w:lang w:bidi="ar"/>
              </w:rPr>
            </w:pPr>
            <w:r>
              <w:rPr>
                <w:rFonts w:hint="eastAsia" w:ascii="宋体" w:hAnsi="宋体" w:eastAsia="宋体" w:cs="宋体"/>
                <w:b/>
                <w:color w:val="000000"/>
                <w:kern w:val="0"/>
                <w:sz w:val="24"/>
                <w:lang w:bidi="ar"/>
              </w:rPr>
              <w:t>用户好评</w:t>
            </w:r>
          </w:p>
        </w:tc>
        <w:tc>
          <w:tcPr>
            <w:tcW w:w="791" w:type="dxa"/>
            <w:tcBorders>
              <w:top w:val="single" w:color="auto" w:sz="4" w:space="0"/>
              <w:left w:val="single" w:color="auto" w:sz="4" w:space="0"/>
              <w:bottom w:val="single" w:color="auto" w:sz="4" w:space="0"/>
              <w:right w:val="single" w:color="auto" w:sz="4" w:space="0"/>
            </w:tcBorders>
            <w:vAlign w:val="center"/>
          </w:tcPr>
          <w:p w14:paraId="7D16BFCE">
            <w:pPr>
              <w:widowControl/>
              <w:spacing w:line="360" w:lineRule="auto"/>
              <w:jc w:val="center"/>
              <w:rPr>
                <w:rFonts w:ascii="宋体" w:hAnsi="宋体" w:eastAsia="宋体" w:cs="宋体"/>
                <w:sz w:val="24"/>
                <w:szCs w:val="32"/>
                <w:lang w:bidi="ar"/>
              </w:rPr>
            </w:pPr>
            <w:r>
              <w:rPr>
                <w:rFonts w:hint="eastAsia" w:ascii="宋体" w:hAnsi="宋体" w:cs="宋体"/>
                <w:sz w:val="24"/>
                <w:szCs w:val="32"/>
                <w:lang w:bidi="ar"/>
              </w:rPr>
              <w:t>7</w:t>
            </w:r>
          </w:p>
        </w:tc>
        <w:tc>
          <w:tcPr>
            <w:tcW w:w="6327" w:type="dxa"/>
            <w:tcBorders>
              <w:top w:val="single" w:color="auto" w:sz="4" w:space="0"/>
              <w:left w:val="single" w:color="auto" w:sz="4" w:space="0"/>
              <w:bottom w:val="single" w:color="auto" w:sz="4" w:space="0"/>
              <w:right w:val="single" w:color="auto" w:sz="4" w:space="0"/>
            </w:tcBorders>
            <w:vAlign w:val="center"/>
          </w:tcPr>
          <w:p w14:paraId="42236732">
            <w:pPr>
              <w:widowControl/>
              <w:spacing w:line="360" w:lineRule="auto"/>
              <w:jc w:val="left"/>
              <w:rPr>
                <w:rFonts w:ascii="宋体" w:hAnsi="宋体" w:eastAsia="宋体" w:cs="宋体"/>
                <w:kern w:val="0"/>
                <w:sz w:val="24"/>
                <w:lang w:bidi="ar"/>
              </w:rPr>
            </w:pPr>
            <w:r>
              <w:rPr>
                <w:rFonts w:hint="eastAsia" w:ascii="宋体" w:hAnsi="宋体" w:eastAsia="宋体" w:cs="宋体"/>
                <w:kern w:val="0"/>
                <w:sz w:val="24"/>
                <w:lang w:bidi="ar"/>
              </w:rPr>
              <w:t>投标人提供 202</w:t>
            </w:r>
            <w:r>
              <w:rPr>
                <w:rFonts w:hint="eastAsia" w:ascii="宋体" w:hAnsi="宋体" w:cs="宋体"/>
                <w:kern w:val="0"/>
                <w:sz w:val="24"/>
                <w:lang w:bidi="ar"/>
              </w:rPr>
              <w:t>2</w:t>
            </w:r>
            <w:r>
              <w:rPr>
                <w:rFonts w:hint="eastAsia" w:ascii="宋体" w:hAnsi="宋体" w:eastAsia="宋体" w:cs="宋体"/>
                <w:kern w:val="0"/>
                <w:sz w:val="24"/>
                <w:lang w:bidi="ar"/>
              </w:rPr>
              <w:t>年 1 月 1 日以来承接的</w:t>
            </w:r>
            <w:r>
              <w:rPr>
                <w:rFonts w:hint="eastAsia" w:ascii="宋体" w:hAnsi="宋体" w:cs="宋体"/>
                <w:kern w:val="0"/>
                <w:sz w:val="24"/>
                <w:lang w:bidi="ar"/>
              </w:rPr>
              <w:t>类似</w:t>
            </w:r>
            <w:r>
              <w:rPr>
                <w:rFonts w:hint="eastAsia" w:ascii="宋体" w:hAnsi="宋体" w:eastAsia="宋体" w:cs="宋体"/>
                <w:kern w:val="0"/>
                <w:sz w:val="24"/>
                <w:lang w:bidi="ar"/>
              </w:rPr>
              <w:t>项目获得服务对象（采购人）评价意见为优秀，每提供一个得</w:t>
            </w:r>
            <w:r>
              <w:rPr>
                <w:rFonts w:hint="eastAsia" w:ascii="宋体" w:hAnsi="宋体" w:cs="宋体"/>
                <w:kern w:val="0"/>
                <w:sz w:val="24"/>
                <w:lang w:bidi="ar"/>
              </w:rPr>
              <w:t>1</w:t>
            </w:r>
            <w:r>
              <w:rPr>
                <w:rFonts w:hint="eastAsia" w:ascii="宋体" w:hAnsi="宋体" w:eastAsia="宋体" w:cs="宋体"/>
                <w:kern w:val="0"/>
                <w:sz w:val="24"/>
                <w:lang w:bidi="ar"/>
              </w:rPr>
              <w:t>分，最多得</w:t>
            </w:r>
            <w:r>
              <w:rPr>
                <w:rFonts w:hint="eastAsia" w:ascii="宋体" w:hAnsi="宋体" w:cs="宋体"/>
                <w:kern w:val="0"/>
                <w:sz w:val="24"/>
                <w:lang w:bidi="ar"/>
              </w:rPr>
              <w:t>7</w:t>
            </w:r>
            <w:r>
              <w:rPr>
                <w:rFonts w:hint="eastAsia" w:ascii="宋体" w:hAnsi="宋体" w:eastAsia="宋体" w:cs="宋体"/>
                <w:kern w:val="0"/>
                <w:sz w:val="24"/>
                <w:lang w:bidi="ar"/>
              </w:rPr>
              <w:t>分，未提供不得分（以合同关键页和中标通知书及服务对象（采购人）书面意见复印件加盖公章为准，同一单位合同不重复计分）</w:t>
            </w:r>
          </w:p>
        </w:tc>
      </w:tr>
    </w:tbl>
    <w:p w14:paraId="52824384">
      <w:pPr>
        <w:widowControl/>
        <w:spacing w:line="360" w:lineRule="auto"/>
        <w:jc w:val="left"/>
        <w:rPr>
          <w:rFonts w:ascii="宋体" w:hAnsi="宋体" w:eastAsia="宋体" w:cs="宋体"/>
          <w:b/>
          <w:sz w:val="28"/>
          <w:szCs w:val="28"/>
          <w:lang w:bidi="ar"/>
        </w:rPr>
      </w:pPr>
    </w:p>
    <w:p w14:paraId="0107DD32">
      <w:pPr>
        <w:widowControl/>
        <w:spacing w:line="360" w:lineRule="auto"/>
        <w:jc w:val="left"/>
        <w:rPr>
          <w:rFonts w:ascii="宋体" w:hAnsi="宋体" w:eastAsia="宋体" w:cs="宋体"/>
          <w:b/>
          <w:sz w:val="28"/>
          <w:szCs w:val="28"/>
          <w:lang w:bidi="ar"/>
        </w:rPr>
      </w:pPr>
    </w:p>
    <w:p w14:paraId="687D436C">
      <w:pPr>
        <w:widowControl/>
        <w:numPr>
          <w:ilvl w:val="0"/>
          <w:numId w:val="1"/>
        </w:numPr>
        <w:spacing w:line="360" w:lineRule="auto"/>
        <w:ind w:firstLine="562" w:firstLineChars="200"/>
        <w:jc w:val="left"/>
        <w:rPr>
          <w:rFonts w:ascii="宋体" w:hAnsi="宋体" w:eastAsia="宋体" w:cs="宋体"/>
          <w:b/>
          <w:color w:val="000000"/>
          <w:kern w:val="0"/>
          <w:sz w:val="28"/>
          <w:szCs w:val="28"/>
          <w:lang w:bidi="ar"/>
        </w:rPr>
      </w:pPr>
      <w:r>
        <w:rPr>
          <w:rFonts w:hint="eastAsia" w:ascii="宋体" w:hAnsi="宋体" w:eastAsia="宋体" w:cs="宋体"/>
          <w:b/>
          <w:color w:val="000000"/>
          <w:kern w:val="0"/>
          <w:sz w:val="28"/>
          <w:szCs w:val="28"/>
          <w:lang w:bidi="ar"/>
        </w:rPr>
        <w:t>技术评议（</w:t>
      </w:r>
      <w:r>
        <w:rPr>
          <w:rFonts w:hint="eastAsia" w:ascii="宋体" w:hAnsi="宋体" w:cs="宋体"/>
          <w:b/>
          <w:kern w:val="0"/>
          <w:sz w:val="28"/>
          <w:szCs w:val="28"/>
          <w:lang w:bidi="ar"/>
        </w:rPr>
        <w:t>59</w:t>
      </w:r>
      <w:r>
        <w:rPr>
          <w:rFonts w:hint="eastAsia" w:ascii="宋体" w:hAnsi="宋体" w:eastAsia="宋体" w:cs="宋体"/>
          <w:b/>
          <w:color w:val="000000"/>
          <w:kern w:val="0"/>
          <w:sz w:val="28"/>
          <w:szCs w:val="28"/>
          <w:lang w:bidi="ar"/>
        </w:rPr>
        <w:t>分）</w:t>
      </w:r>
    </w:p>
    <w:tbl>
      <w:tblPr>
        <w:tblStyle w:val="10"/>
        <w:tblpPr w:leftFromText="180" w:rightFromText="180" w:vertAnchor="text" w:horzAnchor="page" w:tblpX="1614" w:tblpY="255"/>
        <w:tblOverlap w:val="never"/>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213"/>
        <w:gridCol w:w="850"/>
        <w:gridCol w:w="6462"/>
      </w:tblGrid>
      <w:tr w14:paraId="1E43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70" w:type="dxa"/>
            <w:tcBorders>
              <w:top w:val="single" w:color="auto" w:sz="4" w:space="0"/>
              <w:left w:val="single" w:color="auto" w:sz="4" w:space="0"/>
              <w:bottom w:val="single" w:color="auto" w:sz="4" w:space="0"/>
              <w:right w:val="single" w:color="auto" w:sz="4" w:space="0"/>
            </w:tcBorders>
            <w:vAlign w:val="center"/>
          </w:tcPr>
          <w:p w14:paraId="638B26C3">
            <w:pPr>
              <w:widowControl/>
              <w:spacing w:line="360" w:lineRule="auto"/>
              <w:jc w:val="center"/>
              <w:rPr>
                <w:rFonts w:ascii="宋体" w:hAnsi="宋体" w:eastAsia="宋体" w:cs="宋体"/>
                <w:sz w:val="24"/>
                <w:szCs w:val="32"/>
              </w:rPr>
            </w:pPr>
            <w:r>
              <w:rPr>
                <w:rFonts w:hint="eastAsia" w:ascii="宋体" w:hAnsi="宋体" w:eastAsia="宋体" w:cs="宋体"/>
                <w:sz w:val="24"/>
                <w:szCs w:val="32"/>
                <w:lang w:bidi="ar"/>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1AD20F31">
            <w:pPr>
              <w:widowControl/>
              <w:spacing w:line="360" w:lineRule="auto"/>
              <w:jc w:val="center"/>
              <w:rPr>
                <w:rFonts w:ascii="宋体" w:hAnsi="宋体" w:eastAsia="宋体" w:cs="宋体"/>
                <w:sz w:val="24"/>
                <w:szCs w:val="32"/>
              </w:rPr>
            </w:pPr>
            <w:r>
              <w:rPr>
                <w:rFonts w:hint="eastAsia" w:ascii="宋体" w:hAnsi="宋体" w:eastAsia="宋体" w:cs="宋体"/>
                <w:sz w:val="24"/>
                <w:szCs w:val="32"/>
                <w:lang w:bidi="ar"/>
              </w:rPr>
              <w:t>评审因素</w:t>
            </w:r>
          </w:p>
        </w:tc>
        <w:tc>
          <w:tcPr>
            <w:tcW w:w="850" w:type="dxa"/>
            <w:tcBorders>
              <w:top w:val="single" w:color="auto" w:sz="4" w:space="0"/>
              <w:left w:val="single" w:color="auto" w:sz="4" w:space="0"/>
              <w:bottom w:val="single" w:color="auto" w:sz="4" w:space="0"/>
              <w:right w:val="single" w:color="auto" w:sz="4" w:space="0"/>
            </w:tcBorders>
            <w:vAlign w:val="center"/>
          </w:tcPr>
          <w:p w14:paraId="3BFA5176">
            <w:pPr>
              <w:widowControl/>
              <w:spacing w:line="360" w:lineRule="auto"/>
              <w:jc w:val="center"/>
              <w:rPr>
                <w:rFonts w:ascii="宋体" w:hAnsi="宋体" w:eastAsia="宋体" w:cs="宋体"/>
                <w:sz w:val="24"/>
                <w:szCs w:val="32"/>
              </w:rPr>
            </w:pPr>
            <w:r>
              <w:rPr>
                <w:rFonts w:hint="eastAsia" w:ascii="宋体" w:hAnsi="宋体" w:eastAsia="宋体" w:cs="宋体"/>
                <w:sz w:val="24"/>
                <w:szCs w:val="32"/>
                <w:lang w:bidi="ar"/>
              </w:rPr>
              <w:t>分值</w:t>
            </w:r>
          </w:p>
        </w:tc>
        <w:tc>
          <w:tcPr>
            <w:tcW w:w="6462" w:type="dxa"/>
            <w:tcBorders>
              <w:top w:val="single" w:color="auto" w:sz="4" w:space="0"/>
              <w:left w:val="single" w:color="auto" w:sz="4" w:space="0"/>
              <w:bottom w:val="single" w:color="auto" w:sz="4" w:space="0"/>
              <w:right w:val="single" w:color="auto" w:sz="4" w:space="0"/>
            </w:tcBorders>
            <w:vAlign w:val="center"/>
          </w:tcPr>
          <w:p w14:paraId="2768276B">
            <w:pPr>
              <w:widowControl/>
              <w:spacing w:line="360" w:lineRule="auto"/>
              <w:ind w:firstLine="480" w:firstLineChars="200"/>
              <w:jc w:val="center"/>
              <w:rPr>
                <w:rFonts w:ascii="宋体" w:hAnsi="宋体" w:eastAsia="宋体" w:cs="宋体"/>
                <w:sz w:val="24"/>
                <w:szCs w:val="32"/>
              </w:rPr>
            </w:pPr>
            <w:r>
              <w:rPr>
                <w:rFonts w:hint="eastAsia" w:ascii="宋体" w:hAnsi="宋体" w:eastAsia="宋体" w:cs="宋体"/>
                <w:sz w:val="24"/>
                <w:szCs w:val="32"/>
                <w:lang w:bidi="ar"/>
              </w:rPr>
              <w:t>评分标准</w:t>
            </w:r>
          </w:p>
        </w:tc>
      </w:tr>
      <w:tr w14:paraId="0029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Merge w:val="restart"/>
            <w:tcBorders>
              <w:top w:val="single" w:color="auto" w:sz="4" w:space="0"/>
              <w:left w:val="single" w:color="auto" w:sz="4" w:space="0"/>
              <w:right w:val="single" w:color="auto" w:sz="4" w:space="0"/>
            </w:tcBorders>
            <w:vAlign w:val="center"/>
          </w:tcPr>
          <w:p w14:paraId="10A09C4A">
            <w:pPr>
              <w:pStyle w:val="20"/>
            </w:pPr>
            <w:bookmarkStart w:id="25" w:name="OLE_LINK6" w:colFirst="2" w:colLast="2"/>
            <w:r>
              <w:rPr>
                <w:rFonts w:hint="eastAsia"/>
              </w:rPr>
              <w:t>3.1技术部分</w:t>
            </w:r>
          </w:p>
          <w:p w14:paraId="6AE50788">
            <w:pPr>
              <w:pStyle w:val="20"/>
              <w:rPr>
                <w:rFonts w:cs="宋体"/>
                <w:b/>
                <w:color w:val="000000"/>
                <w:kern w:val="0"/>
                <w:sz w:val="28"/>
                <w:szCs w:val="28"/>
              </w:rPr>
            </w:pPr>
          </w:p>
        </w:tc>
        <w:tc>
          <w:tcPr>
            <w:tcW w:w="1213" w:type="dxa"/>
            <w:tcBorders>
              <w:top w:val="single" w:color="auto" w:sz="4" w:space="0"/>
              <w:left w:val="single" w:color="auto" w:sz="4" w:space="0"/>
              <w:right w:val="single" w:color="auto" w:sz="4" w:space="0"/>
            </w:tcBorders>
            <w:vAlign w:val="center"/>
          </w:tcPr>
          <w:p w14:paraId="432F0480">
            <w:pPr>
              <w:jc w:val="center"/>
              <w:rPr>
                <w:rFonts w:ascii="宋体" w:hAnsi="宋体" w:eastAsia="宋体" w:cs="宋体"/>
                <w:sz w:val="24"/>
                <w:szCs w:val="32"/>
              </w:rPr>
            </w:pPr>
            <w:r>
              <w:rPr>
                <w:rFonts w:hint="eastAsia" w:ascii="宋体" w:hAnsi="宋体" w:cs="宋体"/>
                <w:color w:val="000000"/>
                <w:kern w:val="0"/>
                <w:sz w:val="24"/>
                <w:lang w:bidi="ar"/>
              </w:rPr>
              <w:t>总体</w:t>
            </w:r>
            <w:r>
              <w:rPr>
                <w:rFonts w:hint="eastAsia" w:ascii="宋体" w:hAnsi="宋体" w:eastAsia="宋体" w:cs="宋体"/>
                <w:color w:val="000000"/>
                <w:kern w:val="0"/>
                <w:sz w:val="24"/>
                <w:lang w:bidi="ar"/>
              </w:rPr>
              <w:t>服务</w:t>
            </w:r>
            <w:r>
              <w:rPr>
                <w:rFonts w:hint="eastAsia" w:ascii="宋体" w:hAnsi="宋体" w:cs="宋体"/>
                <w:color w:val="000000"/>
                <w:kern w:val="0"/>
                <w:sz w:val="24"/>
                <w:lang w:bidi="ar"/>
              </w:rPr>
              <w:t>方案</w:t>
            </w:r>
          </w:p>
        </w:tc>
        <w:tc>
          <w:tcPr>
            <w:tcW w:w="850" w:type="dxa"/>
            <w:tcBorders>
              <w:top w:val="single" w:color="auto" w:sz="4" w:space="0"/>
              <w:left w:val="single" w:color="auto" w:sz="4" w:space="0"/>
              <w:bottom w:val="single" w:color="auto" w:sz="4" w:space="0"/>
              <w:right w:val="single" w:color="auto" w:sz="4" w:space="0"/>
            </w:tcBorders>
            <w:vAlign w:val="center"/>
          </w:tcPr>
          <w:p w14:paraId="594E2A31">
            <w:pPr>
              <w:pStyle w:val="20"/>
              <w:jc w:val="center"/>
              <w:rPr>
                <w:rFonts w:cs="宋体"/>
                <w:szCs w:val="32"/>
              </w:rPr>
            </w:pPr>
            <w:r>
              <w:rPr>
                <w:rFonts w:hint="eastAsia" w:cs="宋体"/>
                <w:szCs w:val="32"/>
                <w:lang w:bidi="ar"/>
              </w:rPr>
              <w:t>10</w:t>
            </w:r>
          </w:p>
        </w:tc>
        <w:tc>
          <w:tcPr>
            <w:tcW w:w="6462" w:type="dxa"/>
            <w:tcBorders>
              <w:top w:val="single" w:color="auto" w:sz="4" w:space="0"/>
              <w:left w:val="single" w:color="auto" w:sz="4" w:space="0"/>
              <w:bottom w:val="single" w:color="auto" w:sz="4" w:space="0"/>
              <w:right w:val="single" w:color="auto" w:sz="4" w:space="0"/>
            </w:tcBorders>
            <w:vAlign w:val="center"/>
          </w:tcPr>
          <w:p w14:paraId="1B9ACC03">
            <w:pPr>
              <w:widowControl/>
              <w:snapToGrid w:val="0"/>
              <w:spacing w:line="440" w:lineRule="exact"/>
              <w:jc w:val="left"/>
              <w:rPr>
                <w:rFonts w:ascii="宋体" w:hAnsi="宋体" w:eastAsia="宋体" w:cs="宋体"/>
                <w:sz w:val="24"/>
                <w:szCs w:val="32"/>
              </w:rPr>
            </w:pPr>
            <w:r>
              <w:rPr>
                <w:rFonts w:hint="eastAsia" w:ascii="宋体" w:hAnsi="宋体" w:eastAsia="宋体" w:cs="宋体"/>
                <w:kern w:val="0"/>
                <w:sz w:val="24"/>
              </w:rPr>
              <w:t xml:space="preserve">投标人根据招标文件要求提供总体服务方案的包含但不限于：（1）项目概况、（2）总体管理服务方案、（3）管理思路及实施措施、（4）详细服务承诺（如食品安全事故、不使用转基因食品）、（5）质量管理标准和措施，包括但不限于：出品质量标准、服务质量标准和管理措施，有严格的投诉处理方案等；方案全面、科学合理且符合项目特点及需求的得10分；基本满足项目需求、内容得6分；有所欠缺的或内容不全面得3 分，不提供不得分。 </w:t>
            </w:r>
          </w:p>
        </w:tc>
      </w:tr>
      <w:tr w14:paraId="446F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70" w:type="dxa"/>
            <w:vMerge w:val="continue"/>
            <w:tcBorders>
              <w:left w:val="single" w:color="auto" w:sz="4" w:space="0"/>
              <w:bottom w:val="single" w:color="auto" w:sz="4" w:space="0"/>
              <w:right w:val="single" w:color="auto" w:sz="4" w:space="0"/>
            </w:tcBorders>
            <w:vAlign w:val="center"/>
          </w:tcPr>
          <w:p w14:paraId="4E0C45C0">
            <w:pPr>
              <w:pStyle w:val="20"/>
              <w:rPr>
                <w:rFonts w:cs="宋体"/>
                <w:b/>
                <w:color w:val="000000"/>
                <w:kern w:val="0"/>
                <w:szCs w:val="24"/>
                <w:lang w:bidi="ar"/>
              </w:rPr>
            </w:pPr>
          </w:p>
        </w:tc>
        <w:tc>
          <w:tcPr>
            <w:tcW w:w="1213" w:type="dxa"/>
            <w:tcBorders>
              <w:left w:val="single" w:color="auto" w:sz="4" w:space="0"/>
              <w:bottom w:val="single" w:color="auto" w:sz="4" w:space="0"/>
              <w:right w:val="single" w:color="auto" w:sz="4" w:space="0"/>
            </w:tcBorders>
            <w:vAlign w:val="center"/>
          </w:tcPr>
          <w:p w14:paraId="472D7655">
            <w:pPr>
              <w:jc w:val="center"/>
              <w:rPr>
                <w:rFonts w:ascii="宋体" w:hAnsi="宋体" w:eastAsia="宋体" w:cs="宋体"/>
                <w:b/>
                <w:color w:val="000000"/>
                <w:kern w:val="0"/>
                <w:sz w:val="24"/>
                <w:lang w:bidi="ar"/>
              </w:rPr>
            </w:pPr>
            <w:r>
              <w:rPr>
                <w:rFonts w:hint="eastAsia" w:ascii="宋体" w:hAnsi="宋体" w:cs="宋体"/>
                <w:color w:val="000000"/>
                <w:kern w:val="0"/>
                <w:sz w:val="24"/>
                <w:lang w:bidi="ar"/>
              </w:rPr>
              <w:t>食谱营养设计方案</w:t>
            </w:r>
          </w:p>
        </w:tc>
        <w:tc>
          <w:tcPr>
            <w:tcW w:w="850" w:type="dxa"/>
            <w:tcBorders>
              <w:top w:val="single" w:color="auto" w:sz="4" w:space="0"/>
              <w:left w:val="single" w:color="auto" w:sz="4" w:space="0"/>
              <w:bottom w:val="single" w:color="auto" w:sz="4" w:space="0"/>
              <w:right w:val="single" w:color="auto" w:sz="4" w:space="0"/>
            </w:tcBorders>
            <w:vAlign w:val="center"/>
          </w:tcPr>
          <w:p w14:paraId="4C5CCEDB">
            <w:pPr>
              <w:pStyle w:val="20"/>
              <w:jc w:val="center"/>
              <w:rPr>
                <w:rFonts w:cs="宋体"/>
                <w:szCs w:val="32"/>
                <w:lang w:bidi="ar"/>
              </w:rPr>
            </w:pPr>
            <w:r>
              <w:rPr>
                <w:rFonts w:hint="eastAsia" w:cs="宋体"/>
                <w:szCs w:val="32"/>
                <w:lang w:bidi="ar"/>
              </w:rPr>
              <w:t>6</w:t>
            </w:r>
          </w:p>
        </w:tc>
        <w:tc>
          <w:tcPr>
            <w:tcW w:w="6462" w:type="dxa"/>
            <w:tcBorders>
              <w:top w:val="single" w:color="auto" w:sz="4" w:space="0"/>
              <w:left w:val="single" w:color="auto" w:sz="4" w:space="0"/>
              <w:bottom w:val="single" w:color="auto" w:sz="4" w:space="0"/>
              <w:right w:val="single" w:color="auto" w:sz="4" w:space="0"/>
            </w:tcBorders>
            <w:vAlign w:val="center"/>
          </w:tcPr>
          <w:p w14:paraId="4D345E00">
            <w:pPr>
              <w:widowControl/>
              <w:snapToGrid w:val="0"/>
              <w:spacing w:line="440" w:lineRule="exact"/>
              <w:jc w:val="left"/>
              <w:rPr>
                <w:rFonts w:ascii="宋体" w:hAnsi="宋体" w:eastAsia="宋体" w:cs="宋体"/>
                <w:color w:val="000000"/>
                <w:kern w:val="0"/>
                <w:sz w:val="24"/>
                <w:lang w:bidi="ar"/>
              </w:rPr>
            </w:pPr>
            <w:r>
              <w:rPr>
                <w:rFonts w:hint="eastAsia" w:ascii="宋体" w:hAnsi="宋体" w:eastAsia="宋体" w:cs="宋体"/>
                <w:kern w:val="0"/>
                <w:sz w:val="24"/>
              </w:rPr>
              <w:t>食堂经营品种布局合理菜品荤素结构及菜谱营养设计方案：早餐提供蒸、煮、煎、炒、烤、饮品等系列多个品种；中餐提供特色菜、净荤菜、半荤菜、素菜、汤、两道主食等，不少于10个品种，每周更新菜谱。随机提供一个月，从周一到周五的早、中餐菜谱。综合比较，菜谱健康膳食、科学合理、操作性强的得6分，基本符合要求的得4分，有所欠缺的得2分，未提供不得分。</w:t>
            </w:r>
          </w:p>
        </w:tc>
      </w:tr>
      <w:tr w14:paraId="3A8D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770" w:type="dxa"/>
            <w:vMerge w:val="continue"/>
            <w:tcBorders>
              <w:left w:val="single" w:color="auto" w:sz="4" w:space="0"/>
              <w:bottom w:val="single" w:color="auto" w:sz="4" w:space="0"/>
              <w:right w:val="single" w:color="auto" w:sz="4" w:space="0"/>
            </w:tcBorders>
            <w:vAlign w:val="center"/>
          </w:tcPr>
          <w:p w14:paraId="046495BC">
            <w:pPr>
              <w:pStyle w:val="20"/>
              <w:rPr>
                <w:rFonts w:cs="宋体"/>
                <w:b/>
                <w:color w:val="000000"/>
                <w:kern w:val="0"/>
                <w:sz w:val="28"/>
                <w:szCs w:val="28"/>
              </w:rPr>
            </w:pPr>
          </w:p>
        </w:tc>
        <w:tc>
          <w:tcPr>
            <w:tcW w:w="1213" w:type="dxa"/>
            <w:tcBorders>
              <w:left w:val="single" w:color="auto" w:sz="4" w:space="0"/>
              <w:bottom w:val="single" w:color="auto" w:sz="4" w:space="0"/>
              <w:right w:val="single" w:color="auto" w:sz="4" w:space="0"/>
            </w:tcBorders>
            <w:vAlign w:val="center"/>
          </w:tcPr>
          <w:p w14:paraId="5D0819D4">
            <w:pPr>
              <w:widowControl/>
              <w:spacing w:line="360" w:lineRule="auto"/>
              <w:jc w:val="center"/>
              <w:rPr>
                <w:rFonts w:ascii="宋体" w:hAnsi="宋体" w:eastAsia="宋体" w:cs="宋体"/>
                <w:strike/>
                <w:sz w:val="24"/>
                <w:szCs w:val="32"/>
              </w:rPr>
            </w:pPr>
            <w:r>
              <w:rPr>
                <w:rFonts w:hint="eastAsia" w:ascii="宋体" w:hAnsi="宋体" w:eastAsia="宋体" w:cs="宋体"/>
                <w:color w:val="000000"/>
                <w:kern w:val="0"/>
                <w:sz w:val="24"/>
                <w:lang w:bidi="ar"/>
              </w:rPr>
              <w:t>人员配置</w:t>
            </w:r>
          </w:p>
        </w:tc>
        <w:tc>
          <w:tcPr>
            <w:tcW w:w="850" w:type="dxa"/>
            <w:tcBorders>
              <w:top w:val="single" w:color="auto" w:sz="4" w:space="0"/>
              <w:left w:val="single" w:color="auto" w:sz="4" w:space="0"/>
              <w:bottom w:val="single" w:color="auto" w:sz="4" w:space="0"/>
              <w:right w:val="single" w:color="auto" w:sz="4" w:space="0"/>
            </w:tcBorders>
            <w:vAlign w:val="center"/>
          </w:tcPr>
          <w:p w14:paraId="510F8E44">
            <w:pPr>
              <w:widowControl/>
              <w:spacing w:line="360" w:lineRule="auto"/>
              <w:jc w:val="center"/>
              <w:rPr>
                <w:rFonts w:ascii="宋体" w:hAnsi="宋体" w:eastAsia="宋体" w:cs="宋体"/>
                <w:strike/>
                <w:sz w:val="24"/>
                <w:szCs w:val="32"/>
              </w:rPr>
            </w:pPr>
            <w:r>
              <w:rPr>
                <w:rFonts w:hint="eastAsia" w:ascii="宋体" w:hAnsi="宋体" w:cs="宋体"/>
                <w:sz w:val="24"/>
                <w:szCs w:val="32"/>
                <w:lang w:bidi="ar"/>
              </w:rPr>
              <w:t>5</w:t>
            </w:r>
          </w:p>
        </w:tc>
        <w:tc>
          <w:tcPr>
            <w:tcW w:w="6462" w:type="dxa"/>
            <w:tcBorders>
              <w:top w:val="single" w:color="auto" w:sz="4" w:space="0"/>
              <w:left w:val="single" w:color="auto" w:sz="4" w:space="0"/>
              <w:bottom w:val="single" w:color="auto" w:sz="4" w:space="0"/>
              <w:right w:val="single" w:color="auto" w:sz="4" w:space="0"/>
            </w:tcBorders>
            <w:vAlign w:val="center"/>
          </w:tcPr>
          <w:p w14:paraId="768FA63F">
            <w:pPr>
              <w:widowControl/>
              <w:snapToGrid w:val="0"/>
              <w:spacing w:line="440" w:lineRule="exact"/>
              <w:jc w:val="left"/>
              <w:rPr>
                <w:rFonts w:ascii="宋体" w:hAnsi="宋体" w:eastAsia="宋体" w:cs="宋体"/>
                <w:strike/>
                <w:sz w:val="24"/>
                <w:szCs w:val="32"/>
              </w:rPr>
            </w:pPr>
            <w:r>
              <w:rPr>
                <w:rFonts w:hint="eastAsia" w:ascii="宋体" w:hAnsi="宋体" w:eastAsia="宋体" w:cs="宋体"/>
                <w:kern w:val="0"/>
                <w:sz w:val="24"/>
              </w:rPr>
              <w:t>投标人根据招标文件要求提供具体的、科学合理的人员组织架构及培训方案。根据投标人针对本项目设计的组织架构是否清晰、岗位职责设置是否明确，是否满足项目实际需求。综合评分，科学合理的得5分；管理架构及岗位职责基本合理、可行且能满足需求的得 3 分；方案有所欠缺的得1分，不提供不得分。</w:t>
            </w:r>
          </w:p>
        </w:tc>
      </w:tr>
      <w:tr w14:paraId="1729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770" w:type="dxa"/>
            <w:vMerge w:val="continue"/>
            <w:tcBorders>
              <w:top w:val="single" w:color="auto" w:sz="4" w:space="0"/>
              <w:left w:val="single" w:color="auto" w:sz="4" w:space="0"/>
              <w:right w:val="single" w:color="auto" w:sz="4" w:space="0"/>
            </w:tcBorders>
            <w:vAlign w:val="center"/>
          </w:tcPr>
          <w:p w14:paraId="251F7360">
            <w:pPr>
              <w:pStyle w:val="20"/>
              <w:rPr>
                <w:rFonts w:cs="宋体"/>
                <w:b/>
                <w:color w:val="000000"/>
                <w:kern w:val="0"/>
                <w:sz w:val="28"/>
                <w:szCs w:val="28"/>
              </w:rPr>
            </w:pPr>
          </w:p>
        </w:tc>
        <w:tc>
          <w:tcPr>
            <w:tcW w:w="1213" w:type="dxa"/>
            <w:tcBorders>
              <w:top w:val="single" w:color="auto" w:sz="4" w:space="0"/>
              <w:left w:val="single" w:color="auto" w:sz="4" w:space="0"/>
              <w:right w:val="single" w:color="auto" w:sz="4" w:space="0"/>
            </w:tcBorders>
            <w:vAlign w:val="center"/>
          </w:tcPr>
          <w:p w14:paraId="1D4DA004">
            <w:pPr>
              <w:widowControl/>
              <w:spacing w:line="360" w:lineRule="auto"/>
              <w:jc w:val="center"/>
              <w:rPr>
                <w:rFonts w:ascii="宋体" w:hAnsi="宋体" w:eastAsia="宋体" w:cs="宋体"/>
                <w:sz w:val="24"/>
                <w:szCs w:val="32"/>
              </w:rPr>
            </w:pPr>
            <w:r>
              <w:rPr>
                <w:rFonts w:hint="eastAsia" w:ascii="宋体" w:hAnsi="宋体" w:eastAsia="宋体" w:cs="宋体"/>
                <w:color w:val="000000"/>
                <w:kern w:val="0"/>
                <w:sz w:val="24"/>
                <w:lang w:bidi="ar"/>
              </w:rPr>
              <w:t>管理制度及措施</w:t>
            </w:r>
          </w:p>
        </w:tc>
        <w:tc>
          <w:tcPr>
            <w:tcW w:w="850" w:type="dxa"/>
            <w:tcBorders>
              <w:top w:val="single" w:color="auto" w:sz="4" w:space="0"/>
              <w:left w:val="single" w:color="auto" w:sz="4" w:space="0"/>
              <w:bottom w:val="single" w:color="auto" w:sz="4" w:space="0"/>
              <w:right w:val="single" w:color="auto" w:sz="4" w:space="0"/>
            </w:tcBorders>
            <w:vAlign w:val="center"/>
          </w:tcPr>
          <w:p w14:paraId="4BDFA388">
            <w:pPr>
              <w:widowControl/>
              <w:spacing w:line="360" w:lineRule="auto"/>
              <w:jc w:val="center"/>
              <w:rPr>
                <w:rFonts w:ascii="宋体" w:hAnsi="宋体" w:eastAsia="宋体" w:cs="宋体"/>
                <w:sz w:val="24"/>
                <w:szCs w:val="32"/>
              </w:rPr>
            </w:pPr>
            <w:r>
              <w:rPr>
                <w:rFonts w:hint="eastAsia" w:ascii="宋体" w:hAnsi="宋体" w:cs="宋体"/>
                <w:sz w:val="24"/>
                <w:szCs w:val="32"/>
                <w:lang w:bidi="ar"/>
              </w:rPr>
              <w:t>6</w:t>
            </w:r>
          </w:p>
        </w:tc>
        <w:tc>
          <w:tcPr>
            <w:tcW w:w="6462" w:type="dxa"/>
            <w:tcBorders>
              <w:top w:val="single" w:color="auto" w:sz="4" w:space="0"/>
              <w:left w:val="single" w:color="auto" w:sz="4" w:space="0"/>
              <w:bottom w:val="single" w:color="auto" w:sz="4" w:space="0"/>
              <w:right w:val="single" w:color="auto" w:sz="4" w:space="0"/>
            </w:tcBorders>
            <w:vAlign w:val="center"/>
          </w:tcPr>
          <w:p w14:paraId="3E8DB915">
            <w:pPr>
              <w:widowControl/>
              <w:snapToGrid w:val="0"/>
              <w:spacing w:line="440" w:lineRule="exact"/>
              <w:jc w:val="left"/>
              <w:rPr>
                <w:rFonts w:ascii="宋体" w:hAnsi="宋体" w:eastAsia="宋体" w:cs="宋体"/>
                <w:sz w:val="24"/>
                <w:szCs w:val="32"/>
              </w:rPr>
            </w:pPr>
            <w:r>
              <w:rPr>
                <w:rFonts w:hint="eastAsia" w:ascii="宋体" w:hAnsi="宋体" w:eastAsia="宋体" w:cs="宋体"/>
                <w:kern w:val="0"/>
                <w:sz w:val="24"/>
              </w:rPr>
              <w:t>投标人有系统的食品安全管理制度和安全生产管理制度，包括但不限于：从业人员健康管理和培训管理制度，食品安全自检自查与报告制度，场所及设施设备清洗消毒和维修保养制度，食品、食品添加剂、食品相关产品采购索证索票、进货查验和台账记录制度，食品加工操作规程，食品存储管理制度，食品留样制度，食品经营过程与控制制度，设备安全管理制度，厨余废弃物处置管理制度等。对拟定的制度方案进行综合评审，制度方案完整严密、科学有序、实际操作性强的得 6分；制度方案基本合理、可行且能满足需求的得4分；方案有所欠缺的得2分，未提供不得分。</w:t>
            </w:r>
          </w:p>
        </w:tc>
      </w:tr>
      <w:tr w14:paraId="6EAD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3C9ECB46">
            <w:pPr>
              <w:pStyle w:val="20"/>
              <w:rPr>
                <w:rFonts w:cs="宋体"/>
                <w:b/>
                <w:color w:val="000000"/>
                <w:kern w:val="0"/>
                <w:sz w:val="28"/>
                <w:szCs w:val="28"/>
              </w:rPr>
            </w:pPr>
          </w:p>
        </w:tc>
        <w:tc>
          <w:tcPr>
            <w:tcW w:w="1213" w:type="dxa"/>
            <w:tcBorders>
              <w:top w:val="single" w:color="auto" w:sz="4" w:space="0"/>
              <w:left w:val="single" w:color="auto" w:sz="4" w:space="0"/>
              <w:bottom w:val="single" w:color="auto" w:sz="4" w:space="0"/>
              <w:right w:val="single" w:color="auto" w:sz="4" w:space="0"/>
            </w:tcBorders>
            <w:vAlign w:val="center"/>
          </w:tcPr>
          <w:p w14:paraId="12CCE78C">
            <w:pPr>
              <w:widowControl/>
              <w:spacing w:line="360" w:lineRule="auto"/>
              <w:jc w:val="center"/>
              <w:rPr>
                <w:rFonts w:ascii="宋体" w:hAnsi="宋体" w:eastAsia="宋体" w:cs="宋体"/>
                <w:sz w:val="24"/>
                <w:szCs w:val="32"/>
              </w:rPr>
            </w:pPr>
            <w:r>
              <w:rPr>
                <w:rFonts w:hint="eastAsia" w:ascii="宋体" w:hAnsi="宋体" w:eastAsia="宋体" w:cs="宋体"/>
                <w:color w:val="000000"/>
                <w:kern w:val="0"/>
                <w:sz w:val="24"/>
                <w:lang w:bidi="ar"/>
              </w:rPr>
              <w:t>环境服务</w:t>
            </w:r>
          </w:p>
        </w:tc>
        <w:tc>
          <w:tcPr>
            <w:tcW w:w="850" w:type="dxa"/>
            <w:tcBorders>
              <w:top w:val="single" w:color="auto" w:sz="4" w:space="0"/>
              <w:left w:val="single" w:color="auto" w:sz="4" w:space="0"/>
              <w:bottom w:val="single" w:color="auto" w:sz="4" w:space="0"/>
              <w:right w:val="single" w:color="auto" w:sz="4" w:space="0"/>
            </w:tcBorders>
            <w:vAlign w:val="center"/>
          </w:tcPr>
          <w:p w14:paraId="79A49742">
            <w:pPr>
              <w:widowControl/>
              <w:spacing w:line="360" w:lineRule="auto"/>
              <w:jc w:val="center"/>
              <w:rPr>
                <w:rFonts w:ascii="宋体" w:hAnsi="宋体" w:eastAsia="宋体" w:cs="宋体"/>
                <w:sz w:val="24"/>
                <w:szCs w:val="32"/>
              </w:rPr>
            </w:pPr>
            <w:r>
              <w:rPr>
                <w:rFonts w:hint="eastAsia" w:ascii="宋体" w:hAnsi="宋体" w:cs="宋体"/>
                <w:sz w:val="24"/>
                <w:szCs w:val="32"/>
                <w:lang w:bidi="ar"/>
              </w:rPr>
              <w:t>6</w:t>
            </w:r>
          </w:p>
        </w:tc>
        <w:tc>
          <w:tcPr>
            <w:tcW w:w="6462" w:type="dxa"/>
            <w:tcBorders>
              <w:top w:val="single" w:color="auto" w:sz="4" w:space="0"/>
              <w:left w:val="single" w:color="auto" w:sz="4" w:space="0"/>
              <w:bottom w:val="single" w:color="auto" w:sz="4" w:space="0"/>
              <w:right w:val="single" w:color="auto" w:sz="4" w:space="0"/>
            </w:tcBorders>
            <w:vAlign w:val="center"/>
          </w:tcPr>
          <w:p w14:paraId="25C69CA8">
            <w:pPr>
              <w:widowControl/>
              <w:snapToGrid w:val="0"/>
              <w:spacing w:line="440" w:lineRule="exact"/>
              <w:jc w:val="left"/>
              <w:rPr>
                <w:rFonts w:ascii="宋体" w:hAnsi="宋体" w:eastAsia="宋体" w:cs="宋体"/>
                <w:sz w:val="24"/>
                <w:szCs w:val="32"/>
              </w:rPr>
            </w:pPr>
            <w:r>
              <w:rPr>
                <w:rFonts w:hint="eastAsia" w:ascii="宋体" w:hAnsi="宋体" w:eastAsia="宋体" w:cs="宋体"/>
                <w:kern w:val="0"/>
                <w:sz w:val="24"/>
              </w:rPr>
              <w:t>投标人根据招标文件要求提供环境服务方案，包含但不限于日常保洁、垃圾分类、消毒消杀、节能降耗等方案。根据投标人拟定的环境服务方案进行综合评审。方案进行综合评审，方案完整严密、科学有序、实际操作性强的得6分；方案基本合理、可行且能满足需求的得 4分；方案有所欠缺的得2分，未提供不得分。</w:t>
            </w:r>
          </w:p>
        </w:tc>
      </w:tr>
      <w:tr w14:paraId="001A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2FED28AF">
            <w:pPr>
              <w:pStyle w:val="20"/>
              <w:rPr>
                <w:rFonts w:cs="宋体"/>
                <w:b/>
                <w:color w:val="000000"/>
                <w:kern w:val="0"/>
                <w:sz w:val="28"/>
                <w:szCs w:val="28"/>
              </w:rPr>
            </w:pPr>
          </w:p>
        </w:tc>
        <w:tc>
          <w:tcPr>
            <w:tcW w:w="1213" w:type="dxa"/>
            <w:tcBorders>
              <w:top w:val="single" w:color="auto" w:sz="4" w:space="0"/>
              <w:left w:val="single" w:color="auto" w:sz="4" w:space="0"/>
              <w:bottom w:val="single" w:color="auto" w:sz="4" w:space="0"/>
              <w:right w:val="single" w:color="auto" w:sz="4" w:space="0"/>
            </w:tcBorders>
            <w:vAlign w:val="center"/>
          </w:tcPr>
          <w:p w14:paraId="49B5DC66">
            <w:pPr>
              <w:widowControl/>
              <w:spacing w:line="360" w:lineRule="auto"/>
              <w:jc w:val="center"/>
              <w:rPr>
                <w:rFonts w:ascii="宋体" w:hAnsi="宋体" w:eastAsia="宋体" w:cs="宋体"/>
                <w:sz w:val="24"/>
                <w:szCs w:val="32"/>
              </w:rPr>
            </w:pPr>
            <w:r>
              <w:rPr>
                <w:rFonts w:hint="eastAsia" w:ascii="宋体" w:hAnsi="宋体" w:eastAsia="宋体" w:cs="宋体"/>
                <w:sz w:val="24"/>
                <w:szCs w:val="32"/>
              </w:rPr>
              <w:t>应急预案</w:t>
            </w:r>
          </w:p>
        </w:tc>
        <w:tc>
          <w:tcPr>
            <w:tcW w:w="850" w:type="dxa"/>
            <w:tcBorders>
              <w:top w:val="single" w:color="auto" w:sz="4" w:space="0"/>
              <w:left w:val="single" w:color="auto" w:sz="4" w:space="0"/>
              <w:bottom w:val="single" w:color="auto" w:sz="4" w:space="0"/>
              <w:right w:val="single" w:color="auto" w:sz="4" w:space="0"/>
            </w:tcBorders>
            <w:vAlign w:val="center"/>
          </w:tcPr>
          <w:p w14:paraId="04D4D75B">
            <w:pPr>
              <w:widowControl/>
              <w:spacing w:line="360" w:lineRule="auto"/>
              <w:jc w:val="center"/>
              <w:rPr>
                <w:rFonts w:ascii="宋体" w:hAnsi="宋体" w:eastAsia="宋体" w:cs="宋体"/>
                <w:sz w:val="24"/>
                <w:szCs w:val="32"/>
              </w:rPr>
            </w:pPr>
            <w:r>
              <w:rPr>
                <w:rFonts w:hint="eastAsia" w:ascii="宋体" w:hAnsi="宋体" w:cs="宋体"/>
                <w:sz w:val="24"/>
                <w:szCs w:val="32"/>
              </w:rPr>
              <w:t>5</w:t>
            </w:r>
          </w:p>
        </w:tc>
        <w:tc>
          <w:tcPr>
            <w:tcW w:w="6462" w:type="dxa"/>
            <w:tcBorders>
              <w:top w:val="single" w:color="auto" w:sz="4" w:space="0"/>
              <w:left w:val="single" w:color="auto" w:sz="4" w:space="0"/>
              <w:bottom w:val="single" w:color="auto" w:sz="4" w:space="0"/>
              <w:right w:val="single" w:color="auto" w:sz="4" w:space="0"/>
            </w:tcBorders>
            <w:vAlign w:val="center"/>
          </w:tcPr>
          <w:p w14:paraId="232D20DA">
            <w:pPr>
              <w:widowControl/>
              <w:snapToGrid w:val="0"/>
              <w:spacing w:line="440" w:lineRule="exact"/>
              <w:jc w:val="left"/>
              <w:rPr>
                <w:rFonts w:ascii="宋体" w:hAnsi="宋体" w:eastAsia="宋体" w:cs="宋体"/>
                <w:sz w:val="24"/>
                <w:szCs w:val="32"/>
              </w:rPr>
            </w:pPr>
            <w:r>
              <w:rPr>
                <w:rFonts w:hint="eastAsia" w:ascii="宋体" w:hAnsi="宋体" w:eastAsia="宋体" w:cs="宋体"/>
                <w:kern w:val="0"/>
                <w:sz w:val="24"/>
              </w:rPr>
              <w:t>根据本项目特点，编制应对突发诸如：食品安全突发事件、生产安全突发事件、设备故障、停水、停电、停气、灾害天气、消防、治安事件等各类有效的突发事件的应急预案。综合比较，方案完整严密、科学有序、实际操作性强的得5分；方案基本合理、可行且能满足需求的得3分，有所欠缺的得1分，未提供不得分。</w:t>
            </w:r>
          </w:p>
        </w:tc>
      </w:tr>
      <w:tr w14:paraId="57FC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6D090594">
            <w:pPr>
              <w:pStyle w:val="20"/>
              <w:rPr>
                <w:rFonts w:cs="宋体"/>
                <w:b/>
                <w:color w:val="000000"/>
                <w:kern w:val="0"/>
                <w:sz w:val="28"/>
                <w:szCs w:val="28"/>
              </w:rPr>
            </w:pPr>
          </w:p>
        </w:tc>
        <w:tc>
          <w:tcPr>
            <w:tcW w:w="1213" w:type="dxa"/>
            <w:tcBorders>
              <w:top w:val="single" w:color="auto" w:sz="4" w:space="0"/>
              <w:left w:val="single" w:color="auto" w:sz="4" w:space="0"/>
              <w:bottom w:val="single" w:color="auto" w:sz="4" w:space="0"/>
              <w:right w:val="single" w:color="auto" w:sz="4" w:space="0"/>
            </w:tcBorders>
            <w:vAlign w:val="center"/>
          </w:tcPr>
          <w:p w14:paraId="24AC65D6">
            <w:pPr>
              <w:widowControl/>
              <w:spacing w:line="360" w:lineRule="auto"/>
              <w:jc w:val="center"/>
              <w:rPr>
                <w:rFonts w:ascii="宋体" w:eastAsia="宋体" w:cs="宋体"/>
                <w:kern w:val="0"/>
                <w:sz w:val="24"/>
              </w:rPr>
            </w:pPr>
            <w:r>
              <w:rPr>
                <w:rFonts w:hint="eastAsia" w:ascii="宋体" w:eastAsia="宋体" w:cs="宋体"/>
                <w:kern w:val="0"/>
                <w:sz w:val="24"/>
              </w:rPr>
              <w:t>原材料</w:t>
            </w:r>
          </w:p>
          <w:p w14:paraId="1AFAC321">
            <w:pPr>
              <w:widowControl/>
              <w:spacing w:line="360" w:lineRule="auto"/>
              <w:jc w:val="center"/>
              <w:rPr>
                <w:rFonts w:ascii="宋体" w:hAnsi="宋体" w:eastAsia="宋体" w:cs="宋体"/>
                <w:b/>
                <w:bCs/>
                <w:sz w:val="24"/>
                <w:szCs w:val="32"/>
              </w:rPr>
            </w:pPr>
            <w:r>
              <w:rPr>
                <w:rFonts w:hint="eastAsia" w:ascii="宋体" w:eastAsia="宋体" w:cs="宋体"/>
                <w:kern w:val="0"/>
                <w:sz w:val="24"/>
              </w:rPr>
              <w:t>组织管理</w:t>
            </w:r>
          </w:p>
        </w:tc>
        <w:tc>
          <w:tcPr>
            <w:tcW w:w="850" w:type="dxa"/>
            <w:tcBorders>
              <w:top w:val="single" w:color="auto" w:sz="4" w:space="0"/>
              <w:left w:val="single" w:color="auto" w:sz="4" w:space="0"/>
              <w:bottom w:val="single" w:color="auto" w:sz="4" w:space="0"/>
              <w:right w:val="single" w:color="auto" w:sz="4" w:space="0"/>
            </w:tcBorders>
            <w:vAlign w:val="center"/>
          </w:tcPr>
          <w:p w14:paraId="462C883B">
            <w:pPr>
              <w:widowControl/>
              <w:spacing w:line="360" w:lineRule="auto"/>
              <w:jc w:val="center"/>
              <w:rPr>
                <w:rFonts w:ascii="宋体" w:hAnsi="宋体" w:eastAsia="宋体" w:cs="宋体"/>
                <w:sz w:val="24"/>
                <w:szCs w:val="32"/>
              </w:rPr>
            </w:pPr>
            <w:r>
              <w:rPr>
                <w:rFonts w:hint="eastAsia" w:ascii="宋体" w:hAnsi="宋体" w:cs="宋体"/>
                <w:sz w:val="24"/>
                <w:szCs w:val="32"/>
              </w:rPr>
              <w:t>4</w:t>
            </w:r>
          </w:p>
        </w:tc>
        <w:tc>
          <w:tcPr>
            <w:tcW w:w="6462" w:type="dxa"/>
            <w:tcBorders>
              <w:top w:val="single" w:color="auto" w:sz="4" w:space="0"/>
              <w:left w:val="single" w:color="auto" w:sz="4" w:space="0"/>
              <w:bottom w:val="single" w:color="auto" w:sz="4" w:space="0"/>
              <w:right w:val="single" w:color="auto" w:sz="4" w:space="0"/>
            </w:tcBorders>
            <w:vAlign w:val="center"/>
          </w:tcPr>
          <w:p w14:paraId="240C297E">
            <w:pPr>
              <w:widowControl/>
              <w:snapToGrid w:val="0"/>
              <w:spacing w:line="440" w:lineRule="exact"/>
              <w:jc w:val="left"/>
              <w:rPr>
                <w:rFonts w:ascii="宋体" w:hAnsi="宋体" w:eastAsia="宋体" w:cs="宋体"/>
                <w:sz w:val="24"/>
                <w:szCs w:val="32"/>
              </w:rPr>
            </w:pPr>
            <w:r>
              <w:rPr>
                <w:rFonts w:hint="eastAsia" w:ascii="宋体" w:hAnsi="宋体" w:eastAsia="宋体" w:cs="宋体"/>
                <w:kern w:val="0"/>
                <w:sz w:val="24"/>
              </w:rPr>
              <w:t>针对本项目特点编制原材料的组织、保管、领用及流程监控方案，方案科学有效，内容全面、重点突出、针对性强的得4分，基本可行的得2分，有所欠缺的得1分，未提供不得分。</w:t>
            </w:r>
          </w:p>
        </w:tc>
      </w:tr>
      <w:tr w14:paraId="1AF4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01A9430F">
            <w:pPr>
              <w:pStyle w:val="20"/>
              <w:rPr>
                <w:rFonts w:cs="宋体"/>
                <w:b/>
                <w:color w:val="000000"/>
                <w:kern w:val="0"/>
                <w:sz w:val="28"/>
                <w:szCs w:val="28"/>
              </w:rPr>
            </w:pPr>
          </w:p>
        </w:tc>
        <w:tc>
          <w:tcPr>
            <w:tcW w:w="1213" w:type="dxa"/>
            <w:tcBorders>
              <w:top w:val="single" w:color="auto" w:sz="4" w:space="0"/>
              <w:left w:val="single" w:color="auto" w:sz="4" w:space="0"/>
              <w:bottom w:val="single" w:color="auto" w:sz="4" w:space="0"/>
              <w:right w:val="single" w:color="auto" w:sz="4" w:space="0"/>
            </w:tcBorders>
            <w:vAlign w:val="center"/>
          </w:tcPr>
          <w:p w14:paraId="1F8CB1DE">
            <w:pPr>
              <w:widowControl/>
              <w:spacing w:line="360" w:lineRule="auto"/>
              <w:jc w:val="center"/>
              <w:rPr>
                <w:rFonts w:ascii="宋体" w:hAnsi="宋体" w:eastAsia="宋体" w:cs="宋体"/>
                <w:b/>
                <w:bCs/>
                <w:sz w:val="24"/>
                <w:szCs w:val="32"/>
              </w:rPr>
            </w:pPr>
            <w:r>
              <w:rPr>
                <w:rFonts w:hint="eastAsia" w:ascii="宋体" w:cs="宋体"/>
                <w:kern w:val="0"/>
                <w:sz w:val="24"/>
              </w:rPr>
              <w:t>活动保障能力</w:t>
            </w:r>
          </w:p>
        </w:tc>
        <w:tc>
          <w:tcPr>
            <w:tcW w:w="850" w:type="dxa"/>
            <w:tcBorders>
              <w:top w:val="single" w:color="auto" w:sz="4" w:space="0"/>
              <w:left w:val="single" w:color="auto" w:sz="4" w:space="0"/>
              <w:bottom w:val="single" w:color="auto" w:sz="4" w:space="0"/>
              <w:right w:val="single" w:color="auto" w:sz="4" w:space="0"/>
            </w:tcBorders>
            <w:vAlign w:val="center"/>
          </w:tcPr>
          <w:p w14:paraId="37EAE0B2">
            <w:pPr>
              <w:widowControl/>
              <w:spacing w:line="360" w:lineRule="auto"/>
              <w:jc w:val="center"/>
              <w:rPr>
                <w:rFonts w:ascii="宋体" w:hAnsi="宋体" w:eastAsia="宋体" w:cs="宋体"/>
                <w:sz w:val="24"/>
                <w:szCs w:val="32"/>
              </w:rPr>
            </w:pPr>
            <w:r>
              <w:rPr>
                <w:rFonts w:hint="eastAsia" w:ascii="宋体" w:hAnsi="宋体" w:cs="宋体"/>
                <w:sz w:val="24"/>
                <w:szCs w:val="32"/>
              </w:rPr>
              <w:t>4</w:t>
            </w:r>
          </w:p>
        </w:tc>
        <w:tc>
          <w:tcPr>
            <w:tcW w:w="6462" w:type="dxa"/>
            <w:tcBorders>
              <w:top w:val="single" w:color="auto" w:sz="4" w:space="0"/>
              <w:left w:val="single" w:color="auto" w:sz="4" w:space="0"/>
              <w:bottom w:val="single" w:color="auto" w:sz="4" w:space="0"/>
              <w:right w:val="single" w:color="auto" w:sz="4" w:space="0"/>
            </w:tcBorders>
            <w:vAlign w:val="center"/>
          </w:tcPr>
          <w:p w14:paraId="4A123D34">
            <w:pPr>
              <w:widowControl/>
              <w:snapToGrid w:val="0"/>
              <w:spacing w:line="440" w:lineRule="exact"/>
              <w:jc w:val="left"/>
              <w:rPr>
                <w:rFonts w:ascii="宋体" w:hAnsi="宋体" w:eastAsia="宋体" w:cs="宋体"/>
                <w:sz w:val="24"/>
                <w:szCs w:val="32"/>
              </w:rPr>
            </w:pPr>
            <w:r>
              <w:rPr>
                <w:rFonts w:hint="eastAsia" w:ascii="宋体" w:hAnsi="宋体" w:eastAsia="宋体" w:cs="宋体"/>
                <w:kern w:val="0"/>
                <w:sz w:val="24"/>
              </w:rPr>
              <w:t>针对采购人临时</w:t>
            </w:r>
            <w:r>
              <w:rPr>
                <w:rFonts w:hint="eastAsia" w:ascii="宋体" w:hAnsi="宋体" w:cs="宋体"/>
                <w:sz w:val="24"/>
              </w:rPr>
              <w:t>中、小型活动、会议、突发性公共事件用餐</w:t>
            </w:r>
            <w:r>
              <w:rPr>
                <w:rFonts w:hint="eastAsia" w:ascii="宋体" w:hAnsi="宋体" w:eastAsia="宋体" w:cs="宋体"/>
                <w:kern w:val="0"/>
                <w:sz w:val="24"/>
              </w:rPr>
              <w:t>保障需求，提供现场餐饮保供方案。综合比较，方案齐全、合理、可行得4分，基本可行的得2分，有所欠缺的得1分，未提供不得分。</w:t>
            </w:r>
          </w:p>
        </w:tc>
      </w:tr>
      <w:tr w14:paraId="135C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5F561B03">
            <w:pPr>
              <w:pStyle w:val="20"/>
              <w:rPr>
                <w:rFonts w:cs="宋体"/>
                <w:b/>
                <w:color w:val="000000"/>
                <w:kern w:val="0"/>
                <w:sz w:val="28"/>
                <w:szCs w:val="28"/>
                <w:lang w:bidi="ar"/>
              </w:rPr>
            </w:pPr>
          </w:p>
        </w:tc>
        <w:tc>
          <w:tcPr>
            <w:tcW w:w="1213" w:type="dxa"/>
            <w:tcBorders>
              <w:top w:val="single" w:color="auto" w:sz="4" w:space="0"/>
              <w:left w:val="single" w:color="auto" w:sz="4" w:space="0"/>
              <w:bottom w:val="single" w:color="auto" w:sz="4" w:space="0"/>
              <w:right w:val="single" w:color="auto" w:sz="4" w:space="0"/>
            </w:tcBorders>
            <w:vAlign w:val="center"/>
          </w:tcPr>
          <w:p w14:paraId="6E8E118E">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特色服务</w:t>
            </w:r>
          </w:p>
        </w:tc>
        <w:tc>
          <w:tcPr>
            <w:tcW w:w="850" w:type="dxa"/>
            <w:tcBorders>
              <w:top w:val="single" w:color="auto" w:sz="4" w:space="0"/>
              <w:left w:val="single" w:color="auto" w:sz="4" w:space="0"/>
              <w:bottom w:val="single" w:color="auto" w:sz="4" w:space="0"/>
              <w:right w:val="single" w:color="auto" w:sz="4" w:space="0"/>
            </w:tcBorders>
            <w:vAlign w:val="center"/>
          </w:tcPr>
          <w:p w14:paraId="750EB822">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w:t>
            </w:r>
          </w:p>
        </w:tc>
        <w:tc>
          <w:tcPr>
            <w:tcW w:w="6462" w:type="dxa"/>
            <w:tcBorders>
              <w:top w:val="single" w:color="auto" w:sz="4" w:space="0"/>
              <w:left w:val="single" w:color="auto" w:sz="4" w:space="0"/>
              <w:bottom w:val="single" w:color="auto" w:sz="4" w:space="0"/>
              <w:right w:val="single" w:color="auto" w:sz="4" w:space="0"/>
            </w:tcBorders>
            <w:vAlign w:val="center"/>
          </w:tcPr>
          <w:p w14:paraId="3E88EE1E">
            <w:pPr>
              <w:widowControl/>
              <w:snapToGrid w:val="0"/>
              <w:spacing w:line="440" w:lineRule="exact"/>
              <w:jc w:val="left"/>
              <w:rPr>
                <w:rFonts w:ascii="宋体" w:hAnsi="宋体" w:eastAsia="宋体" w:cs="宋体"/>
                <w:kern w:val="0"/>
                <w:sz w:val="24"/>
              </w:rPr>
            </w:pPr>
            <w:r>
              <w:rPr>
                <w:rFonts w:hint="eastAsia" w:ascii="宋体" w:hAnsi="宋体" w:eastAsia="宋体" w:cs="宋体"/>
                <w:kern w:val="0"/>
                <w:sz w:val="24"/>
              </w:rPr>
              <w:t>提出具有针对性的特色服务，内容合理、可行，得5分；</w:t>
            </w:r>
          </w:p>
          <w:p w14:paraId="6E6BE710">
            <w:pPr>
              <w:widowControl/>
              <w:snapToGrid w:val="0"/>
              <w:spacing w:line="440" w:lineRule="exact"/>
              <w:jc w:val="left"/>
              <w:rPr>
                <w:rFonts w:ascii="宋体" w:hAnsi="宋体" w:eastAsia="宋体" w:cs="宋体"/>
                <w:kern w:val="0"/>
                <w:sz w:val="24"/>
              </w:rPr>
            </w:pPr>
            <w:r>
              <w:rPr>
                <w:rFonts w:hint="eastAsia" w:ascii="宋体" w:hAnsi="宋体" w:eastAsia="宋体" w:cs="宋体"/>
                <w:kern w:val="0"/>
                <w:sz w:val="24"/>
              </w:rPr>
              <w:t>提出具有针对性的特色服务，内容较合理、可行得3分；</w:t>
            </w:r>
          </w:p>
          <w:p w14:paraId="480F63A4">
            <w:pPr>
              <w:widowControl/>
              <w:snapToGrid w:val="0"/>
              <w:spacing w:line="440" w:lineRule="exact"/>
              <w:jc w:val="left"/>
              <w:rPr>
                <w:rFonts w:ascii="宋体" w:hAnsi="宋体" w:eastAsia="宋体" w:cs="宋体"/>
                <w:kern w:val="0"/>
                <w:sz w:val="24"/>
              </w:rPr>
            </w:pPr>
            <w:r>
              <w:rPr>
                <w:rFonts w:hint="eastAsia" w:ascii="宋体" w:hAnsi="宋体" w:eastAsia="宋体" w:cs="宋体"/>
                <w:kern w:val="0"/>
                <w:sz w:val="24"/>
              </w:rPr>
              <w:t>针对本项目提出具有针对性的特色服务基本合理、可行得1分。未提供或不合理，得0分。</w:t>
            </w:r>
          </w:p>
        </w:tc>
      </w:tr>
      <w:tr w14:paraId="70C8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0DB6DB21">
            <w:pPr>
              <w:pStyle w:val="20"/>
              <w:rPr>
                <w:rFonts w:cs="宋体"/>
                <w:b/>
                <w:color w:val="000000"/>
                <w:kern w:val="0"/>
                <w:sz w:val="28"/>
                <w:szCs w:val="28"/>
                <w:lang w:bidi="ar"/>
              </w:rPr>
            </w:pPr>
          </w:p>
        </w:tc>
        <w:tc>
          <w:tcPr>
            <w:tcW w:w="1213" w:type="dxa"/>
            <w:vMerge w:val="restart"/>
            <w:tcBorders>
              <w:top w:val="single" w:color="auto" w:sz="4" w:space="0"/>
              <w:left w:val="single" w:color="auto" w:sz="4" w:space="0"/>
              <w:bottom w:val="single" w:color="auto" w:sz="4" w:space="0"/>
              <w:right w:val="single" w:color="auto" w:sz="4" w:space="0"/>
            </w:tcBorders>
            <w:vAlign w:val="center"/>
          </w:tcPr>
          <w:p w14:paraId="5C2FBCD8">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售后服务方案</w:t>
            </w:r>
          </w:p>
        </w:tc>
        <w:tc>
          <w:tcPr>
            <w:tcW w:w="850" w:type="dxa"/>
            <w:tcBorders>
              <w:top w:val="single" w:color="auto" w:sz="4" w:space="0"/>
              <w:left w:val="single" w:color="auto" w:sz="4" w:space="0"/>
              <w:bottom w:val="single" w:color="auto" w:sz="4" w:space="0"/>
              <w:right w:val="single" w:color="auto" w:sz="4" w:space="0"/>
            </w:tcBorders>
            <w:vAlign w:val="center"/>
          </w:tcPr>
          <w:p w14:paraId="0EF9A863">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w:t>
            </w:r>
          </w:p>
        </w:tc>
        <w:tc>
          <w:tcPr>
            <w:tcW w:w="6462" w:type="dxa"/>
            <w:tcBorders>
              <w:top w:val="single" w:color="auto" w:sz="4" w:space="0"/>
              <w:left w:val="single" w:color="auto" w:sz="4" w:space="0"/>
              <w:bottom w:val="single" w:color="auto" w:sz="4" w:space="0"/>
              <w:right w:val="single" w:color="auto" w:sz="4" w:space="0"/>
            </w:tcBorders>
            <w:vAlign w:val="center"/>
          </w:tcPr>
          <w:p w14:paraId="4BC85BC5">
            <w:pPr>
              <w:widowControl/>
              <w:snapToGrid w:val="0"/>
              <w:spacing w:line="440" w:lineRule="exact"/>
              <w:jc w:val="left"/>
              <w:rPr>
                <w:rFonts w:ascii="宋体" w:hAnsi="宋体" w:eastAsia="宋体" w:cs="宋体"/>
                <w:kern w:val="0"/>
                <w:sz w:val="24"/>
              </w:rPr>
            </w:pPr>
            <w:r>
              <w:rPr>
                <w:rFonts w:hint="eastAsia" w:ascii="宋体" w:hAnsi="宋体" w:eastAsia="宋体" w:cs="宋体"/>
                <w:kern w:val="0"/>
                <w:sz w:val="24"/>
              </w:rPr>
              <w:t>根据供应商对紧急供货的处理措施及承诺综合评比，措施针对性强、有承诺及处罚，科学合理并切实可行得4分，</w:t>
            </w:r>
          </w:p>
          <w:p w14:paraId="19649B7D">
            <w:pPr>
              <w:widowControl/>
              <w:snapToGrid w:val="0"/>
              <w:spacing w:line="440" w:lineRule="exact"/>
              <w:jc w:val="left"/>
              <w:rPr>
                <w:rFonts w:ascii="宋体" w:hAnsi="宋体" w:eastAsia="宋体" w:cs="宋体"/>
                <w:kern w:val="0"/>
                <w:sz w:val="24"/>
              </w:rPr>
            </w:pPr>
            <w:r>
              <w:rPr>
                <w:rFonts w:hint="eastAsia" w:ascii="宋体" w:hAnsi="宋体" w:eastAsia="宋体" w:cs="宋体"/>
                <w:kern w:val="0"/>
                <w:sz w:val="24"/>
              </w:rPr>
              <w:t>措施具有针对性，基本合理基本可行得2分，</w:t>
            </w:r>
          </w:p>
          <w:p w14:paraId="6E76985E">
            <w:pPr>
              <w:widowControl/>
              <w:snapToGrid w:val="0"/>
              <w:spacing w:line="440" w:lineRule="exact"/>
              <w:jc w:val="left"/>
              <w:rPr>
                <w:rFonts w:ascii="宋体" w:hAnsi="宋体" w:eastAsia="宋体" w:cs="宋体"/>
                <w:kern w:val="0"/>
                <w:sz w:val="24"/>
              </w:rPr>
            </w:pPr>
            <w:r>
              <w:rPr>
                <w:rFonts w:hint="eastAsia" w:ascii="宋体" w:hAnsi="宋体" w:eastAsia="宋体" w:cs="宋体"/>
                <w:kern w:val="0"/>
                <w:sz w:val="24"/>
              </w:rPr>
              <w:t>措施缺乏针对性，缺乏合理性可行性得1分，</w:t>
            </w:r>
          </w:p>
          <w:p w14:paraId="725F3BD3">
            <w:pPr>
              <w:widowControl/>
              <w:snapToGrid w:val="0"/>
              <w:spacing w:line="440" w:lineRule="exact"/>
              <w:jc w:val="left"/>
              <w:rPr>
                <w:rFonts w:ascii="宋体" w:hAnsi="宋体" w:eastAsia="宋体" w:cs="宋体"/>
                <w:kern w:val="0"/>
                <w:sz w:val="24"/>
              </w:rPr>
            </w:pPr>
            <w:r>
              <w:rPr>
                <w:rFonts w:hint="eastAsia" w:ascii="宋体" w:hAnsi="宋体" w:eastAsia="宋体" w:cs="宋体"/>
                <w:kern w:val="0"/>
                <w:sz w:val="24"/>
              </w:rPr>
              <w:t>未提供或不合理，得0分。</w:t>
            </w:r>
          </w:p>
        </w:tc>
      </w:tr>
      <w:tr w14:paraId="7F5D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36D1B23E">
            <w:pPr>
              <w:pStyle w:val="20"/>
              <w:rPr>
                <w:rFonts w:cs="宋体"/>
                <w:b/>
                <w:color w:val="000000"/>
                <w:kern w:val="0"/>
                <w:sz w:val="28"/>
                <w:szCs w:val="28"/>
                <w:lang w:bidi="ar"/>
              </w:rPr>
            </w:pPr>
          </w:p>
        </w:tc>
        <w:tc>
          <w:tcPr>
            <w:tcW w:w="1213" w:type="dxa"/>
            <w:vMerge w:val="continue"/>
            <w:tcBorders>
              <w:top w:val="single" w:color="auto" w:sz="4" w:space="0"/>
              <w:left w:val="single" w:color="auto" w:sz="4" w:space="0"/>
              <w:bottom w:val="single" w:color="auto" w:sz="4" w:space="0"/>
              <w:right w:val="single" w:color="auto" w:sz="4" w:space="0"/>
            </w:tcBorders>
            <w:vAlign w:val="center"/>
          </w:tcPr>
          <w:p w14:paraId="64309EF0">
            <w:pPr>
              <w:jc w:val="center"/>
              <w:rPr>
                <w:rFonts w:ascii="宋体" w:hAnsi="宋体" w:eastAsia="宋体" w:cs="宋体"/>
                <w:color w:val="000000"/>
                <w:kern w:val="0"/>
                <w:sz w:val="24"/>
                <w:lang w:bidi="ar"/>
              </w:rPr>
            </w:pPr>
          </w:p>
        </w:tc>
        <w:tc>
          <w:tcPr>
            <w:tcW w:w="850" w:type="dxa"/>
            <w:tcBorders>
              <w:top w:val="single" w:color="auto" w:sz="4" w:space="0"/>
              <w:left w:val="single" w:color="auto" w:sz="4" w:space="0"/>
              <w:bottom w:val="single" w:color="auto" w:sz="4" w:space="0"/>
              <w:right w:val="single" w:color="auto" w:sz="4" w:space="0"/>
            </w:tcBorders>
            <w:vAlign w:val="center"/>
          </w:tcPr>
          <w:p w14:paraId="488F61E5">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w:t>
            </w:r>
          </w:p>
        </w:tc>
        <w:tc>
          <w:tcPr>
            <w:tcW w:w="6462" w:type="dxa"/>
            <w:tcBorders>
              <w:top w:val="single" w:color="auto" w:sz="4" w:space="0"/>
              <w:left w:val="single" w:color="auto" w:sz="4" w:space="0"/>
              <w:bottom w:val="single" w:color="auto" w:sz="4" w:space="0"/>
              <w:right w:val="single" w:color="auto" w:sz="4" w:space="0"/>
            </w:tcBorders>
            <w:vAlign w:val="center"/>
          </w:tcPr>
          <w:p w14:paraId="1B0D30E1">
            <w:pPr>
              <w:widowControl/>
              <w:snapToGrid w:val="0"/>
              <w:spacing w:line="440" w:lineRule="exact"/>
              <w:jc w:val="left"/>
              <w:rPr>
                <w:rFonts w:ascii="宋体" w:hAnsi="宋体" w:eastAsia="宋体" w:cs="宋体"/>
                <w:kern w:val="0"/>
                <w:sz w:val="24"/>
              </w:rPr>
            </w:pPr>
            <w:r>
              <w:rPr>
                <w:rFonts w:hint="eastAsia" w:ascii="宋体" w:hAnsi="宋体" w:eastAsia="宋体" w:cs="宋体"/>
                <w:kern w:val="0"/>
                <w:sz w:val="24"/>
              </w:rPr>
              <w:t>根据供应商对所供应的服务出现质量有问题的食物售后处理措施及承诺评分，措施针对性强、有承诺及处罚，科学合理并切实可行得4分，措施具有针对性，基本合理基本可行得2分，措施缺乏针对性，缺乏合理性可行性得1分，未提供或不合理，得0分。</w:t>
            </w:r>
          </w:p>
        </w:tc>
      </w:tr>
      <w:bookmarkEnd w:id="25"/>
    </w:tbl>
    <w:p w14:paraId="0F3FB2E3">
      <w:pPr>
        <w:jc w:val="center"/>
        <w:rPr>
          <w:rFonts w:ascii="黑体" w:hAnsi="黑体" w:eastAsia="黑体"/>
        </w:rPr>
      </w:pPr>
      <w:bookmarkStart w:id="26" w:name="_Toc502736701"/>
    </w:p>
    <w:p w14:paraId="078E1CFE">
      <w:pPr>
        <w:pStyle w:val="4"/>
        <w:jc w:val="center"/>
        <w:rPr>
          <w:rFonts w:ascii="黑体" w:hAnsi="黑体" w:eastAsia="黑体"/>
        </w:rPr>
      </w:pPr>
    </w:p>
    <w:p w14:paraId="1836C2FF">
      <w:pPr>
        <w:pStyle w:val="4"/>
        <w:jc w:val="center"/>
        <w:rPr>
          <w:rFonts w:ascii="黑体" w:hAnsi="黑体" w:eastAsia="黑体"/>
        </w:rPr>
      </w:pPr>
      <w:r>
        <w:rPr>
          <w:rFonts w:hint="eastAsia" w:ascii="黑体" w:hAnsi="黑体" w:eastAsia="黑体"/>
        </w:rPr>
        <w:t>合同书格式（参考）</w:t>
      </w:r>
      <w:bookmarkEnd w:id="26"/>
    </w:p>
    <w:p w14:paraId="0187FE34">
      <w:pPr>
        <w:spacing w:line="360" w:lineRule="auto"/>
        <w:ind w:firstLine="480" w:firstLineChars="200"/>
        <w:rPr>
          <w:sz w:val="24"/>
        </w:rPr>
      </w:pPr>
      <w:r>
        <w:rPr>
          <w:rFonts w:hint="eastAsia"/>
          <w:sz w:val="24"/>
        </w:rPr>
        <w:t>（根据《政府采购法》和《合同法》相关规定，采购人和中标人之间的权利和义务，应当按照平等、自愿的原则以合同方式约定。此合同书仅作为签订正式合同时的参考，正式合同书应包括本参考格式之内容。）</w:t>
      </w:r>
    </w:p>
    <w:p w14:paraId="19205A10">
      <w:pPr>
        <w:spacing w:before="167" w:line="219" w:lineRule="auto"/>
        <w:ind w:left="4321"/>
        <w:rPr>
          <w:rFonts w:ascii="宋体" w:hAnsi="宋体" w:eastAsia="宋体" w:cs="宋体"/>
          <w:sz w:val="34"/>
          <w:szCs w:val="34"/>
        </w:rPr>
      </w:pPr>
      <w:r>
        <w:rPr>
          <w:rFonts w:ascii="宋体" w:hAnsi="宋体" w:eastAsia="宋体" w:cs="宋体"/>
          <w:spacing w:val="-5"/>
          <w:sz w:val="34"/>
          <w:szCs w:val="34"/>
        </w:rPr>
        <w:t>合同书</w:t>
      </w:r>
    </w:p>
    <w:p w14:paraId="7211DDE3">
      <w:pPr>
        <w:pStyle w:val="5"/>
        <w:spacing w:line="351" w:lineRule="auto"/>
      </w:pPr>
    </w:p>
    <w:p w14:paraId="13E622F6">
      <w:pPr>
        <w:pStyle w:val="5"/>
        <w:spacing w:line="351" w:lineRule="auto"/>
      </w:pPr>
    </w:p>
    <w:p w14:paraId="694A49DA">
      <w:pPr>
        <w:spacing w:before="78" w:line="415" w:lineRule="auto"/>
        <w:ind w:left="480" w:right="8148" w:firstLine="3"/>
        <w:rPr>
          <w:rFonts w:ascii="宋体" w:hAnsi="宋体" w:eastAsia="宋体" w:cs="宋体"/>
          <w:spacing w:val="2"/>
          <w:sz w:val="24"/>
        </w:rPr>
      </w:pPr>
      <w:r>
        <w:rPr>
          <w:rFonts w:ascii="宋体" w:hAnsi="宋体" w:eastAsia="宋体" w:cs="宋体"/>
          <w:b/>
          <w:bCs/>
          <w:spacing w:val="-17"/>
          <w:sz w:val="24"/>
        </w:rPr>
        <w:t>项目名称：</w:t>
      </w:r>
      <w:r>
        <w:rPr>
          <w:rFonts w:ascii="宋体" w:hAnsi="宋体" w:eastAsia="宋体" w:cs="宋体"/>
          <w:spacing w:val="2"/>
          <w:sz w:val="24"/>
        </w:rPr>
        <w:t xml:space="preserve"> </w:t>
      </w:r>
    </w:p>
    <w:p w14:paraId="41D8C506">
      <w:pPr>
        <w:spacing w:before="78" w:line="415" w:lineRule="auto"/>
        <w:ind w:left="480" w:right="8148" w:firstLine="3"/>
        <w:rPr>
          <w:rFonts w:ascii="宋体" w:hAnsi="宋体" w:eastAsia="宋体" w:cs="宋体"/>
          <w:sz w:val="24"/>
        </w:rPr>
      </w:pPr>
      <w:r>
        <w:rPr>
          <w:rFonts w:ascii="宋体" w:hAnsi="宋体" w:eastAsia="宋体" w:cs="宋体"/>
          <w:b/>
          <w:bCs/>
          <w:spacing w:val="-16"/>
          <w:sz w:val="24"/>
        </w:rPr>
        <w:t>合同编号：</w:t>
      </w:r>
      <w:r>
        <w:rPr>
          <w:rFonts w:ascii="宋体" w:hAnsi="宋体" w:eastAsia="宋体" w:cs="宋体"/>
          <w:spacing w:val="1"/>
          <w:sz w:val="24"/>
        </w:rPr>
        <w:t xml:space="preserve"> </w:t>
      </w:r>
      <w:r>
        <w:rPr>
          <w:rFonts w:ascii="宋体" w:hAnsi="宋体" w:eastAsia="宋体" w:cs="宋体"/>
          <w:b/>
          <w:bCs/>
          <w:spacing w:val="-16"/>
          <w:sz w:val="24"/>
        </w:rPr>
        <w:t>签订日期：</w:t>
      </w:r>
    </w:p>
    <w:p w14:paraId="047449A8">
      <w:pPr>
        <w:spacing w:before="35" w:line="221" w:lineRule="auto"/>
        <w:ind w:left="480"/>
        <w:rPr>
          <w:rFonts w:ascii="宋体" w:hAnsi="宋体" w:eastAsia="宋体" w:cs="宋体"/>
          <w:sz w:val="24"/>
        </w:rPr>
      </w:pPr>
      <w:r>
        <w:rPr>
          <w:rFonts w:ascii="宋体" w:hAnsi="宋体" w:eastAsia="宋体" w:cs="宋体"/>
          <w:b/>
          <w:bCs/>
          <w:spacing w:val="-4"/>
          <w:sz w:val="24"/>
        </w:rPr>
        <w:t>签订合同地点：</w:t>
      </w:r>
    </w:p>
    <w:p w14:paraId="47770325">
      <w:pPr>
        <w:spacing w:before="232" w:line="440" w:lineRule="exact"/>
        <w:ind w:left="43" w:right="213" w:firstLine="438"/>
        <w:rPr>
          <w:rFonts w:ascii="宋体" w:hAnsi="宋体" w:eastAsia="宋体" w:cs="宋体"/>
          <w:sz w:val="28"/>
          <w:szCs w:val="28"/>
        </w:rPr>
      </w:pPr>
      <w:r>
        <w:rPr>
          <w:rFonts w:hint="eastAsia" w:ascii="宋体" w:hAnsi="宋体" w:eastAsia="宋体" w:cs="宋体"/>
          <w:spacing w:val="-4"/>
          <w:sz w:val="28"/>
          <w:szCs w:val="28"/>
        </w:rPr>
        <w:t>本合同由</w:t>
      </w:r>
      <w:r>
        <w:rPr>
          <w:rFonts w:hint="eastAsia" w:ascii="宋体" w:hAnsi="宋体" w:eastAsia="宋体" w:cs="宋体"/>
          <w:spacing w:val="-4"/>
          <w:sz w:val="28"/>
          <w:szCs w:val="28"/>
          <w:u w:val="single"/>
        </w:rPr>
        <w:t>（采购人</w:t>
      </w:r>
      <w:r>
        <w:rPr>
          <w:rFonts w:hint="eastAsia" w:ascii="宋体" w:hAnsi="宋体" w:eastAsia="宋体" w:cs="宋体"/>
          <w:spacing w:val="-14"/>
          <w:sz w:val="28"/>
          <w:szCs w:val="28"/>
          <w:u w:val="single"/>
        </w:rPr>
        <w:t>）</w:t>
      </w:r>
      <w:r>
        <w:rPr>
          <w:rFonts w:hint="eastAsia" w:ascii="宋体" w:hAnsi="宋体" w:eastAsia="宋体" w:cs="宋体"/>
          <w:spacing w:val="-14"/>
          <w:sz w:val="28"/>
          <w:szCs w:val="28"/>
        </w:rPr>
        <w:t>（</w:t>
      </w:r>
      <w:r>
        <w:rPr>
          <w:rFonts w:hint="eastAsia" w:ascii="宋体" w:hAnsi="宋体" w:eastAsia="宋体" w:cs="宋体"/>
          <w:spacing w:val="-4"/>
          <w:sz w:val="28"/>
          <w:szCs w:val="28"/>
        </w:rPr>
        <w:t>以下简称“</w:t>
      </w:r>
      <w:r>
        <w:rPr>
          <w:rFonts w:hint="eastAsia" w:ascii="宋体" w:hAnsi="宋体" w:eastAsia="宋体" w:cs="宋体"/>
          <w:spacing w:val="-76"/>
          <w:sz w:val="28"/>
          <w:szCs w:val="28"/>
        </w:rPr>
        <w:t xml:space="preserve"> </w:t>
      </w:r>
      <w:r>
        <w:rPr>
          <w:rFonts w:hint="eastAsia" w:ascii="宋体" w:hAnsi="宋体" w:eastAsia="宋体" w:cs="宋体"/>
          <w:spacing w:val="-4"/>
          <w:sz w:val="28"/>
          <w:szCs w:val="28"/>
        </w:rPr>
        <w:t>甲方</w:t>
      </w:r>
      <w:r>
        <w:rPr>
          <w:rFonts w:hint="eastAsia" w:ascii="宋体" w:hAnsi="宋体" w:eastAsia="宋体" w:cs="宋体"/>
          <w:spacing w:val="-88"/>
          <w:sz w:val="28"/>
          <w:szCs w:val="28"/>
        </w:rPr>
        <w:t xml:space="preserve"> </w:t>
      </w:r>
      <w:r>
        <w:rPr>
          <w:rFonts w:hint="eastAsia" w:ascii="宋体" w:hAnsi="宋体" w:eastAsia="宋体" w:cs="宋体"/>
          <w:spacing w:val="-4"/>
          <w:sz w:val="28"/>
          <w:szCs w:val="28"/>
        </w:rPr>
        <w:t>”）与</w:t>
      </w:r>
      <w:r>
        <w:rPr>
          <w:rFonts w:hint="eastAsia" w:ascii="宋体" w:hAnsi="宋体" w:eastAsia="宋体" w:cs="宋体"/>
          <w:spacing w:val="-4"/>
          <w:sz w:val="28"/>
          <w:szCs w:val="28"/>
          <w:u w:val="single"/>
        </w:rPr>
        <w:t>（中标人</w:t>
      </w:r>
      <w:r>
        <w:rPr>
          <w:rFonts w:hint="eastAsia" w:ascii="宋体" w:hAnsi="宋体" w:eastAsia="宋体" w:cs="宋体"/>
          <w:spacing w:val="-14"/>
          <w:sz w:val="28"/>
          <w:szCs w:val="28"/>
          <w:u w:val="single"/>
        </w:rPr>
        <w:t>）</w:t>
      </w:r>
      <w:r>
        <w:rPr>
          <w:rFonts w:hint="eastAsia" w:ascii="宋体" w:hAnsi="宋体" w:eastAsia="宋体" w:cs="宋体"/>
          <w:spacing w:val="-14"/>
          <w:sz w:val="28"/>
          <w:szCs w:val="28"/>
        </w:rPr>
        <w:t>（</w:t>
      </w:r>
      <w:r>
        <w:rPr>
          <w:rFonts w:hint="eastAsia" w:ascii="宋体" w:hAnsi="宋体" w:eastAsia="宋体" w:cs="宋体"/>
          <w:spacing w:val="-4"/>
          <w:sz w:val="28"/>
          <w:szCs w:val="28"/>
        </w:rPr>
        <w:t>以下简称“</w:t>
      </w:r>
      <w:r>
        <w:rPr>
          <w:rFonts w:hint="eastAsia" w:ascii="宋体" w:hAnsi="宋体" w:eastAsia="宋体" w:cs="宋体"/>
          <w:spacing w:val="-88"/>
          <w:sz w:val="28"/>
          <w:szCs w:val="28"/>
        </w:rPr>
        <w:t xml:space="preserve"> </w:t>
      </w:r>
      <w:r>
        <w:rPr>
          <w:rFonts w:hint="eastAsia" w:ascii="宋体" w:hAnsi="宋体" w:eastAsia="宋体" w:cs="宋体"/>
          <w:spacing w:val="-4"/>
          <w:sz w:val="28"/>
          <w:szCs w:val="28"/>
        </w:rPr>
        <w:t>乙方</w:t>
      </w:r>
      <w:r>
        <w:rPr>
          <w:rFonts w:hint="eastAsia" w:ascii="宋体" w:hAnsi="宋体" w:eastAsia="宋体" w:cs="宋体"/>
          <w:spacing w:val="-88"/>
          <w:sz w:val="28"/>
          <w:szCs w:val="28"/>
        </w:rPr>
        <w:t xml:space="preserve"> </w:t>
      </w:r>
      <w:r>
        <w:rPr>
          <w:rFonts w:hint="eastAsia" w:ascii="宋体" w:hAnsi="宋体" w:eastAsia="宋体" w:cs="宋体"/>
          <w:spacing w:val="-4"/>
          <w:sz w:val="28"/>
          <w:szCs w:val="28"/>
        </w:rPr>
        <w:t>”）签订。</w:t>
      </w:r>
      <w:r>
        <w:rPr>
          <w:rFonts w:hint="eastAsia" w:ascii="宋体" w:hAnsi="宋体" w:eastAsia="宋体" w:cs="宋体"/>
          <w:spacing w:val="-1"/>
          <w:sz w:val="28"/>
          <w:szCs w:val="28"/>
        </w:rPr>
        <w:t>乙方以总金额</w:t>
      </w:r>
      <w:r>
        <w:rPr>
          <w:rFonts w:hint="eastAsia" w:ascii="宋体" w:hAnsi="宋体" w:eastAsia="宋体" w:cs="宋体"/>
          <w:spacing w:val="-1"/>
          <w:sz w:val="28"/>
          <w:szCs w:val="28"/>
          <w:u w:val="single"/>
        </w:rPr>
        <w:t xml:space="preserve">            </w:t>
      </w:r>
      <w:r>
        <w:rPr>
          <w:rFonts w:hint="eastAsia" w:ascii="宋体" w:hAnsi="宋体" w:eastAsia="宋体" w:cs="宋体"/>
          <w:spacing w:val="-1"/>
          <w:sz w:val="28"/>
          <w:szCs w:val="28"/>
        </w:rPr>
        <w:t>万元人民币（用大写数字书写）向甲方提供如下服务（工程或货物</w:t>
      </w:r>
      <w:r>
        <w:rPr>
          <w:rFonts w:hint="eastAsia" w:ascii="宋体" w:hAnsi="宋体" w:eastAsia="宋体" w:cs="宋体"/>
          <w:sz w:val="28"/>
          <w:szCs w:val="28"/>
        </w:rPr>
        <w:t>）：</w:t>
      </w:r>
    </w:p>
    <w:p w14:paraId="6B2E70D7">
      <w:pPr>
        <w:spacing w:before="144" w:line="440" w:lineRule="exact"/>
        <w:ind w:left="502"/>
        <w:rPr>
          <w:rFonts w:ascii="宋体" w:hAnsi="宋体" w:eastAsia="宋体" w:cs="宋体"/>
          <w:sz w:val="28"/>
          <w:szCs w:val="28"/>
        </w:rPr>
      </w:pPr>
      <w:r>
        <w:rPr>
          <w:rFonts w:hint="eastAsia" w:ascii="宋体" w:hAnsi="宋体" w:eastAsia="宋体" w:cs="宋体"/>
          <w:b/>
          <w:bCs/>
          <w:spacing w:val="-3"/>
          <w:sz w:val="28"/>
          <w:szCs w:val="28"/>
        </w:rPr>
        <w:t>经双方协商，同意按下列条文执行：</w:t>
      </w:r>
    </w:p>
    <w:p w14:paraId="24CFB371">
      <w:pPr>
        <w:spacing w:before="198" w:line="440" w:lineRule="exact"/>
        <w:ind w:left="19" w:right="144" w:firstLine="550" w:firstLineChars="200"/>
        <w:rPr>
          <w:rFonts w:ascii="宋体" w:hAnsi="宋体" w:eastAsia="宋体" w:cs="宋体"/>
          <w:sz w:val="28"/>
          <w:szCs w:val="28"/>
        </w:rPr>
      </w:pPr>
      <w:r>
        <w:rPr>
          <w:rFonts w:hint="eastAsia" w:ascii="宋体" w:hAnsi="宋体" w:eastAsia="宋体" w:cs="宋体"/>
          <w:b/>
          <w:bCs/>
          <w:spacing w:val="-3"/>
          <w:sz w:val="28"/>
          <w:szCs w:val="28"/>
        </w:rPr>
        <w:t>1.</w:t>
      </w:r>
      <w:r>
        <w:rPr>
          <w:rFonts w:hint="eastAsia" w:ascii="宋体" w:hAnsi="宋体" w:eastAsia="宋体" w:cs="宋体"/>
          <w:spacing w:val="-3"/>
          <w:sz w:val="28"/>
          <w:szCs w:val="28"/>
        </w:rPr>
        <w:t>本合同甲、乙双方应遵守国家颁布的《</w:t>
      </w:r>
      <w:r>
        <w:rPr>
          <w:rFonts w:hint="eastAsia" w:ascii="宋体" w:hAnsi="宋体" w:eastAsia="宋体" w:cs="宋体"/>
          <w:spacing w:val="-4"/>
          <w:sz w:val="28"/>
          <w:szCs w:val="28"/>
        </w:rPr>
        <w:t>中华人民共和国民法典》、《中华人民共和国</w:t>
      </w:r>
      <w:r>
        <w:rPr>
          <w:rFonts w:hint="eastAsia" w:ascii="宋体" w:hAnsi="宋体" w:eastAsia="宋体" w:cs="宋体"/>
          <w:sz w:val="28"/>
          <w:szCs w:val="28"/>
        </w:rPr>
        <w:t xml:space="preserve"> </w:t>
      </w:r>
      <w:r>
        <w:rPr>
          <w:rFonts w:hint="eastAsia" w:ascii="宋体" w:hAnsi="宋体" w:eastAsia="宋体" w:cs="宋体"/>
          <w:spacing w:val="-1"/>
          <w:sz w:val="28"/>
          <w:szCs w:val="28"/>
        </w:rPr>
        <w:t>政府采购法》，并各自履行应负的全部责任和义务。</w:t>
      </w:r>
    </w:p>
    <w:p w14:paraId="556C20D9">
      <w:pPr>
        <w:spacing w:before="219" w:line="440" w:lineRule="exact"/>
        <w:ind w:left="19" w:right="144" w:firstLine="550" w:firstLineChars="200"/>
        <w:rPr>
          <w:rFonts w:ascii="宋体" w:hAnsi="宋体" w:eastAsia="宋体" w:cs="宋体"/>
          <w:sz w:val="28"/>
          <w:szCs w:val="28"/>
        </w:rPr>
      </w:pPr>
      <w:r>
        <w:rPr>
          <w:rFonts w:hint="eastAsia" w:ascii="宋体" w:hAnsi="宋体" w:eastAsia="宋体" w:cs="宋体"/>
          <w:b/>
          <w:bCs/>
          <w:spacing w:val="-3"/>
          <w:sz w:val="28"/>
          <w:szCs w:val="28"/>
        </w:rPr>
        <w:t>2.</w:t>
      </w:r>
      <w:r>
        <w:rPr>
          <w:rFonts w:hint="eastAsia" w:ascii="宋体" w:hAnsi="宋体" w:eastAsia="宋体" w:cs="宋体"/>
          <w:spacing w:val="-3"/>
          <w:sz w:val="28"/>
          <w:szCs w:val="28"/>
        </w:rPr>
        <w:t>甲方保证技合同条款规定的时间和方式付给乙方到期应付的合同款，</w:t>
      </w:r>
      <w:r>
        <w:rPr>
          <w:rFonts w:hint="eastAsia" w:ascii="宋体" w:hAnsi="宋体" w:eastAsia="宋体" w:cs="宋体"/>
          <w:spacing w:val="-4"/>
          <w:sz w:val="28"/>
          <w:szCs w:val="28"/>
        </w:rPr>
        <w:t>并承担应负的责</w:t>
      </w:r>
      <w:r>
        <w:rPr>
          <w:rFonts w:hint="eastAsia" w:ascii="宋体" w:hAnsi="宋体" w:eastAsia="宋体" w:cs="宋体"/>
          <w:sz w:val="28"/>
          <w:szCs w:val="28"/>
        </w:rPr>
        <w:t xml:space="preserve"> </w:t>
      </w:r>
      <w:r>
        <w:rPr>
          <w:rFonts w:hint="eastAsia" w:ascii="宋体" w:hAnsi="宋体" w:eastAsia="宋体" w:cs="宋体"/>
          <w:spacing w:val="-2"/>
          <w:sz w:val="28"/>
          <w:szCs w:val="28"/>
        </w:rPr>
        <w:t>任和义务。</w:t>
      </w:r>
    </w:p>
    <w:p w14:paraId="68909005">
      <w:pPr>
        <w:spacing w:before="219" w:line="440" w:lineRule="exact"/>
        <w:ind w:left="20" w:right="144" w:firstLine="550" w:firstLineChars="200"/>
        <w:rPr>
          <w:rFonts w:ascii="宋体" w:hAnsi="宋体" w:eastAsia="宋体" w:cs="宋体"/>
          <w:sz w:val="28"/>
          <w:szCs w:val="28"/>
        </w:rPr>
      </w:pPr>
      <w:r>
        <w:rPr>
          <w:rFonts w:hint="eastAsia" w:ascii="宋体" w:hAnsi="宋体" w:eastAsia="宋体" w:cs="宋体"/>
          <w:b/>
          <w:bCs/>
          <w:spacing w:val="-3"/>
          <w:sz w:val="28"/>
          <w:szCs w:val="28"/>
        </w:rPr>
        <w:t>3.</w:t>
      </w:r>
      <w:r>
        <w:rPr>
          <w:rFonts w:hint="eastAsia" w:ascii="宋体" w:hAnsi="宋体" w:eastAsia="宋体" w:cs="宋体"/>
          <w:spacing w:val="-2"/>
          <w:sz w:val="28"/>
          <w:szCs w:val="28"/>
        </w:rPr>
        <w:t>乙方保证技合同条款规定的内容和</w:t>
      </w:r>
      <w:r>
        <w:rPr>
          <w:rFonts w:hint="eastAsia" w:ascii="宋体" w:hAnsi="宋体" w:eastAsia="宋体" w:cs="宋体"/>
          <w:spacing w:val="-3"/>
          <w:sz w:val="28"/>
          <w:szCs w:val="28"/>
        </w:rPr>
        <w:t>工期（服务期限）向甲方提供合格的货物（工程或</w:t>
      </w:r>
      <w:r>
        <w:rPr>
          <w:rFonts w:hint="eastAsia" w:ascii="宋体" w:hAnsi="宋体" w:eastAsia="宋体" w:cs="宋体"/>
          <w:sz w:val="28"/>
          <w:szCs w:val="28"/>
        </w:rPr>
        <w:t xml:space="preserve"> </w:t>
      </w:r>
      <w:r>
        <w:rPr>
          <w:rFonts w:hint="eastAsia" w:ascii="宋体" w:hAnsi="宋体" w:eastAsia="宋体" w:cs="宋体"/>
          <w:spacing w:val="-2"/>
          <w:sz w:val="28"/>
          <w:szCs w:val="28"/>
        </w:rPr>
        <w:t>服务</w:t>
      </w:r>
      <w:r>
        <w:rPr>
          <w:rFonts w:hint="eastAsia" w:ascii="宋体" w:hAnsi="宋体" w:eastAsia="宋体" w:cs="宋体"/>
          <w:spacing w:val="8"/>
          <w:sz w:val="28"/>
          <w:szCs w:val="28"/>
        </w:rPr>
        <w:t>），</w:t>
      </w:r>
      <w:r>
        <w:rPr>
          <w:rFonts w:hint="eastAsia" w:ascii="宋体" w:hAnsi="宋体" w:eastAsia="宋体" w:cs="宋体"/>
          <w:spacing w:val="-2"/>
          <w:sz w:val="28"/>
          <w:szCs w:val="28"/>
        </w:rPr>
        <w:t>并承担应负的责任和义务。</w:t>
      </w:r>
    </w:p>
    <w:p w14:paraId="0D2EF600">
      <w:pPr>
        <w:spacing w:line="440" w:lineRule="exact"/>
        <w:ind w:firstLine="550" w:firstLineChars="200"/>
        <w:rPr>
          <w:rFonts w:ascii="宋体" w:hAnsi="宋体" w:eastAsia="宋体" w:cs="宋体"/>
          <w:sz w:val="28"/>
          <w:szCs w:val="28"/>
        </w:rPr>
      </w:pPr>
      <w:r>
        <w:rPr>
          <w:rFonts w:hint="eastAsia" w:ascii="宋体" w:hAnsi="宋体" w:eastAsia="宋体" w:cs="宋体"/>
          <w:b/>
          <w:bCs/>
          <w:spacing w:val="-3"/>
          <w:sz w:val="28"/>
          <w:szCs w:val="28"/>
        </w:rPr>
        <w:t>4.</w:t>
      </w:r>
      <w:r>
        <w:rPr>
          <w:rFonts w:hint="eastAsia" w:ascii="宋体" w:hAnsi="宋体" w:eastAsia="宋体" w:cs="宋体"/>
          <w:sz w:val="28"/>
          <w:szCs w:val="28"/>
        </w:rPr>
        <w:t xml:space="preserve"> 合同文件。下列文件为本合同不可分割的部分：</w:t>
      </w:r>
    </w:p>
    <w:p w14:paraId="6D61DBF7">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4-1 招标文件（项目编号：                     ）;</w:t>
      </w:r>
    </w:p>
    <w:p w14:paraId="150B52A3">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4-2 中标的投标文件； 4-3 合同书；</w:t>
      </w:r>
    </w:p>
    <w:p w14:paraId="1CFE6B1A">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4.4 合同条款；</w:t>
      </w:r>
    </w:p>
    <w:p w14:paraId="5451247B">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4-5 釆购代理机构发岀的中标通知书; </w:t>
      </w:r>
    </w:p>
    <w:p w14:paraId="0B701153">
      <w:pPr>
        <w:spacing w:line="440" w:lineRule="exact"/>
        <w:ind w:firstLine="560" w:firstLineChars="200"/>
        <w:rPr>
          <w:rFonts w:ascii="宋体" w:hAnsi="宋体" w:eastAsia="宋体" w:cs="宋体"/>
          <w:sz w:val="28"/>
          <w:szCs w:val="28"/>
        </w:rPr>
        <w:sectPr>
          <w:footerReference r:id="rId9" w:type="default"/>
          <w:pgSz w:w="11900" w:h="16840"/>
          <w:pgMar w:top="1122" w:right="1000" w:bottom="749" w:left="998" w:header="0" w:footer="504" w:gutter="0"/>
          <w:pgNumType w:start="1"/>
          <w:cols w:space="720" w:num="1"/>
        </w:sectPr>
      </w:pPr>
      <w:r>
        <w:rPr>
          <w:rFonts w:hint="eastAsia" w:ascii="宋体" w:hAnsi="宋体" w:eastAsia="宋体" w:cs="宋体"/>
          <w:sz w:val="28"/>
          <w:szCs w:val="28"/>
        </w:rPr>
        <w:t>4-6 附件；</w:t>
      </w:r>
    </w:p>
    <w:p w14:paraId="37E2F143">
      <w:pPr>
        <w:spacing w:before="47" w:line="440" w:lineRule="exact"/>
        <w:rPr>
          <w:rFonts w:ascii="宋体" w:hAnsi="宋体" w:eastAsia="宋体" w:cs="宋体"/>
          <w:sz w:val="28"/>
          <w:szCs w:val="28"/>
        </w:rPr>
      </w:pPr>
      <w:r>
        <w:rPr>
          <w:rFonts w:hint="eastAsia" w:ascii="宋体" w:hAnsi="宋体" w:eastAsia="宋体" w:cs="宋体"/>
          <w:spacing w:val="-2"/>
          <w:sz w:val="28"/>
          <w:szCs w:val="28"/>
        </w:rPr>
        <w:t>4.6.1甲方在招标期间发布的所有补充通知；</w:t>
      </w:r>
    </w:p>
    <w:p w14:paraId="3E49D209">
      <w:pPr>
        <w:spacing w:before="249" w:line="440" w:lineRule="exact"/>
        <w:rPr>
          <w:rFonts w:ascii="宋体" w:hAnsi="宋体" w:eastAsia="宋体" w:cs="宋体"/>
          <w:sz w:val="28"/>
          <w:szCs w:val="28"/>
        </w:rPr>
      </w:pPr>
      <w:r>
        <w:rPr>
          <w:rFonts w:hint="eastAsia" w:ascii="宋体" w:hAnsi="宋体" w:eastAsia="宋体" w:cs="宋体"/>
          <w:spacing w:val="-2"/>
          <w:sz w:val="28"/>
          <w:szCs w:val="28"/>
        </w:rPr>
        <w:t>4.6.2乙方在投标期内补充的所有文件；</w:t>
      </w:r>
    </w:p>
    <w:p w14:paraId="7D43B521">
      <w:pPr>
        <w:spacing w:before="244" w:line="440" w:lineRule="exact"/>
        <w:rPr>
          <w:rFonts w:ascii="宋体" w:hAnsi="宋体" w:eastAsia="宋体" w:cs="宋体"/>
          <w:sz w:val="28"/>
          <w:szCs w:val="28"/>
        </w:rPr>
      </w:pPr>
      <w:r>
        <w:rPr>
          <w:rFonts w:hint="eastAsia" w:ascii="宋体" w:hAnsi="宋体" w:eastAsia="宋体" w:cs="宋体"/>
          <w:spacing w:val="-1"/>
          <w:sz w:val="28"/>
          <w:szCs w:val="28"/>
        </w:rPr>
        <w:t>4.6.3乙方在投标时随同投标文件一起递</w:t>
      </w:r>
      <w:r>
        <w:rPr>
          <w:rFonts w:hint="eastAsia" w:ascii="宋体" w:hAnsi="宋体" w:eastAsia="宋体" w:cs="宋体"/>
          <w:spacing w:val="-2"/>
          <w:sz w:val="28"/>
          <w:szCs w:val="28"/>
        </w:rPr>
        <w:t>送的资料及附图；</w:t>
      </w:r>
    </w:p>
    <w:p w14:paraId="1FF8D447">
      <w:pPr>
        <w:spacing w:before="248" w:line="440" w:lineRule="exact"/>
        <w:rPr>
          <w:rFonts w:ascii="宋体" w:hAnsi="宋体" w:eastAsia="宋体" w:cs="宋体"/>
          <w:sz w:val="28"/>
          <w:szCs w:val="28"/>
        </w:rPr>
      </w:pPr>
      <w:r>
        <w:rPr>
          <w:rFonts w:hint="eastAsia" w:ascii="宋体" w:hAnsi="宋体" w:eastAsia="宋体" w:cs="宋体"/>
          <w:sz w:val="28"/>
          <w:szCs w:val="28"/>
        </w:rPr>
        <w:t>4.6.4在商洽本合同时，双方澄清、确认并共同签字的补充文件、</w:t>
      </w:r>
      <w:r>
        <w:rPr>
          <w:rFonts w:hint="eastAsia" w:ascii="宋体" w:hAnsi="宋体" w:eastAsia="宋体" w:cs="宋体"/>
          <w:spacing w:val="-1"/>
          <w:sz w:val="28"/>
          <w:szCs w:val="28"/>
        </w:rPr>
        <w:t>技术协议。</w:t>
      </w:r>
    </w:p>
    <w:p w14:paraId="44D020C6">
      <w:pPr>
        <w:spacing w:before="188" w:line="440" w:lineRule="exact"/>
        <w:rPr>
          <w:rFonts w:ascii="宋体" w:hAnsi="宋体" w:eastAsia="宋体" w:cs="宋体"/>
          <w:sz w:val="28"/>
          <w:szCs w:val="28"/>
        </w:rPr>
      </w:pPr>
      <w:r>
        <w:rPr>
          <w:rFonts w:hint="eastAsia" w:ascii="宋体" w:hAnsi="宋体" w:eastAsia="宋体" w:cs="宋体"/>
          <w:b/>
          <w:bCs/>
          <w:spacing w:val="-3"/>
          <w:sz w:val="28"/>
          <w:szCs w:val="28"/>
        </w:rPr>
        <w:t>5.</w:t>
      </w:r>
      <w:r>
        <w:rPr>
          <w:rFonts w:hint="eastAsia" w:ascii="宋体" w:hAnsi="宋体" w:eastAsia="宋体" w:cs="宋体"/>
          <w:spacing w:val="1"/>
          <w:sz w:val="28"/>
          <w:szCs w:val="28"/>
        </w:rPr>
        <w:t>合同范围和条件。本合同的范围和条件应</w:t>
      </w:r>
      <w:r>
        <w:rPr>
          <w:rFonts w:hint="eastAsia" w:ascii="宋体" w:hAnsi="宋体" w:eastAsia="宋体" w:cs="宋体"/>
          <w:sz w:val="28"/>
          <w:szCs w:val="28"/>
        </w:rPr>
        <w:t>与上述规定的合同文件内容相一致。</w:t>
      </w:r>
    </w:p>
    <w:p w14:paraId="5F754F9B">
      <w:pPr>
        <w:spacing w:before="184" w:line="440" w:lineRule="exact"/>
        <w:ind w:right="144"/>
        <w:rPr>
          <w:rFonts w:ascii="宋体" w:hAnsi="宋体" w:eastAsia="宋体" w:cs="宋体"/>
          <w:sz w:val="28"/>
          <w:szCs w:val="28"/>
        </w:rPr>
      </w:pPr>
      <w:r>
        <w:rPr>
          <w:rFonts w:hint="eastAsia" w:ascii="宋体" w:hAnsi="宋体" w:eastAsia="宋体" w:cs="宋体"/>
          <w:b/>
          <w:bCs/>
          <w:spacing w:val="-3"/>
          <w:sz w:val="28"/>
          <w:szCs w:val="28"/>
        </w:rPr>
        <w:t>6.</w:t>
      </w:r>
      <w:r>
        <w:rPr>
          <w:rFonts w:hint="eastAsia" w:ascii="宋体" w:hAnsi="宋体" w:eastAsia="宋体" w:cs="宋体"/>
          <w:spacing w:val="-2"/>
          <w:sz w:val="28"/>
          <w:szCs w:val="28"/>
        </w:rPr>
        <w:t>货物（工程或服务）及数量。本合同所提供的货物（工程或服务）及</w:t>
      </w:r>
      <w:r>
        <w:rPr>
          <w:rFonts w:hint="eastAsia" w:ascii="宋体" w:hAnsi="宋体" w:eastAsia="宋体" w:cs="宋体"/>
          <w:spacing w:val="-3"/>
          <w:sz w:val="28"/>
          <w:szCs w:val="28"/>
        </w:rPr>
        <w:t>数量详见招标文</w:t>
      </w:r>
      <w:r>
        <w:rPr>
          <w:rFonts w:hint="eastAsia" w:ascii="宋体" w:hAnsi="宋体" w:eastAsia="宋体" w:cs="宋体"/>
          <w:sz w:val="28"/>
          <w:szCs w:val="28"/>
        </w:rPr>
        <w:t xml:space="preserve"> </w:t>
      </w:r>
      <w:r>
        <w:rPr>
          <w:rFonts w:hint="eastAsia" w:ascii="宋体" w:hAnsi="宋体" w:eastAsia="宋体" w:cs="宋体"/>
          <w:spacing w:val="-1"/>
          <w:sz w:val="28"/>
          <w:szCs w:val="28"/>
        </w:rPr>
        <w:t>件的要求及乙方投标文件中的承诺。</w:t>
      </w:r>
    </w:p>
    <w:p w14:paraId="2DDA45ED">
      <w:pPr>
        <w:spacing w:before="187" w:line="440" w:lineRule="exact"/>
        <w:rPr>
          <w:rFonts w:ascii="宋体" w:hAnsi="宋体" w:eastAsia="宋体" w:cs="宋体"/>
          <w:sz w:val="28"/>
          <w:szCs w:val="28"/>
        </w:rPr>
      </w:pPr>
      <w:r>
        <w:rPr>
          <w:rFonts w:hint="eastAsia" w:ascii="宋体" w:hAnsi="宋体" w:eastAsia="宋体" w:cs="宋体"/>
          <w:b/>
          <w:bCs/>
          <w:spacing w:val="-3"/>
          <w:sz w:val="28"/>
          <w:szCs w:val="28"/>
        </w:rPr>
        <w:t>7.</w:t>
      </w:r>
      <w:r>
        <w:rPr>
          <w:rFonts w:hint="eastAsia" w:ascii="宋体" w:hAnsi="宋体" w:eastAsia="宋体" w:cs="宋体"/>
          <w:spacing w:val="1"/>
          <w:sz w:val="28"/>
          <w:szCs w:val="28"/>
        </w:rPr>
        <w:t>付款条件。本合同的付款条件按招标文件规定</w:t>
      </w:r>
      <w:r>
        <w:rPr>
          <w:rFonts w:hint="eastAsia" w:ascii="宋体" w:hAnsi="宋体" w:eastAsia="宋体" w:cs="宋体"/>
          <w:sz w:val="28"/>
          <w:szCs w:val="28"/>
        </w:rPr>
        <w:t>执行。</w:t>
      </w:r>
    </w:p>
    <w:p w14:paraId="7E5A1355">
      <w:pPr>
        <w:spacing w:before="186" w:line="440" w:lineRule="exact"/>
        <w:rPr>
          <w:rFonts w:ascii="宋体" w:hAnsi="宋体" w:eastAsia="宋体" w:cs="宋体"/>
          <w:sz w:val="28"/>
          <w:szCs w:val="28"/>
        </w:rPr>
      </w:pPr>
      <w:r>
        <w:rPr>
          <w:rFonts w:hint="eastAsia" w:ascii="宋体" w:hAnsi="宋体" w:eastAsia="宋体" w:cs="宋体"/>
          <w:b/>
          <w:bCs/>
          <w:spacing w:val="-3"/>
          <w:sz w:val="28"/>
          <w:szCs w:val="28"/>
        </w:rPr>
        <w:t>8.</w:t>
      </w:r>
      <w:r>
        <w:rPr>
          <w:rFonts w:hint="eastAsia" w:ascii="宋体" w:hAnsi="宋体" w:eastAsia="宋体" w:cs="宋体"/>
          <w:sz w:val="28"/>
          <w:szCs w:val="28"/>
        </w:rPr>
        <w:t>合同金额。合同总金额见合同书，分项价</w:t>
      </w:r>
      <w:r>
        <w:rPr>
          <w:rFonts w:hint="eastAsia" w:ascii="宋体" w:hAnsi="宋体" w:eastAsia="宋体" w:cs="宋体"/>
          <w:spacing w:val="-1"/>
          <w:sz w:val="28"/>
          <w:szCs w:val="28"/>
        </w:rPr>
        <w:t>格在乙方的投标报价表中有明确规定。</w:t>
      </w:r>
    </w:p>
    <w:p w14:paraId="454672C8">
      <w:pPr>
        <w:spacing w:before="188" w:line="440" w:lineRule="exact"/>
        <w:ind w:right="144"/>
        <w:rPr>
          <w:rFonts w:ascii="宋体" w:hAnsi="宋体" w:eastAsia="宋体" w:cs="宋体"/>
          <w:sz w:val="28"/>
          <w:szCs w:val="28"/>
        </w:rPr>
      </w:pPr>
      <w:r>
        <w:rPr>
          <w:rFonts w:hint="eastAsia" w:ascii="宋体" w:hAnsi="宋体" w:eastAsia="宋体" w:cs="宋体"/>
          <w:b/>
          <w:bCs/>
          <w:spacing w:val="-3"/>
          <w:sz w:val="28"/>
          <w:szCs w:val="28"/>
        </w:rPr>
        <w:t>9.</w:t>
      </w:r>
      <w:r>
        <w:rPr>
          <w:rFonts w:hint="eastAsia" w:ascii="宋体" w:hAnsi="宋体" w:eastAsia="宋体" w:cs="宋体"/>
          <w:spacing w:val="-2"/>
          <w:sz w:val="28"/>
          <w:szCs w:val="28"/>
        </w:rPr>
        <w:t>工期和交货（服务）地点。本合同中货物（工程或服务）的工期、交货</w:t>
      </w:r>
      <w:r>
        <w:rPr>
          <w:rFonts w:hint="eastAsia" w:ascii="宋体" w:hAnsi="宋体" w:eastAsia="宋体" w:cs="宋体"/>
          <w:spacing w:val="-3"/>
          <w:sz w:val="28"/>
          <w:szCs w:val="28"/>
        </w:rPr>
        <w:t>（服务）地点</w:t>
      </w:r>
      <w:r>
        <w:rPr>
          <w:rFonts w:hint="eastAsia" w:ascii="宋体" w:hAnsi="宋体" w:eastAsia="宋体" w:cs="宋体"/>
          <w:sz w:val="28"/>
          <w:szCs w:val="28"/>
        </w:rPr>
        <w:t xml:space="preserve"> </w:t>
      </w:r>
      <w:r>
        <w:rPr>
          <w:rFonts w:hint="eastAsia" w:ascii="宋体" w:hAnsi="宋体" w:eastAsia="宋体" w:cs="宋体"/>
          <w:spacing w:val="-1"/>
          <w:sz w:val="28"/>
          <w:szCs w:val="28"/>
        </w:rPr>
        <w:t>在招标文件中有明确规定。</w:t>
      </w:r>
    </w:p>
    <w:p w14:paraId="04A101EE">
      <w:pPr>
        <w:spacing w:before="186" w:line="440" w:lineRule="exact"/>
        <w:ind w:right="64"/>
        <w:rPr>
          <w:rFonts w:ascii="宋体" w:hAnsi="宋体" w:eastAsia="宋体" w:cs="宋体"/>
          <w:sz w:val="28"/>
          <w:szCs w:val="28"/>
        </w:rPr>
      </w:pPr>
      <w:r>
        <w:rPr>
          <w:rFonts w:hint="eastAsia" w:ascii="宋体" w:hAnsi="宋体" w:eastAsia="宋体" w:cs="宋体"/>
          <w:b/>
          <w:bCs/>
          <w:spacing w:val="-3"/>
          <w:sz w:val="28"/>
          <w:szCs w:val="28"/>
        </w:rPr>
        <w:t>10.</w:t>
      </w:r>
      <w:r>
        <w:rPr>
          <w:rFonts w:hint="eastAsia" w:ascii="宋体" w:hAnsi="宋体" w:eastAsia="宋体" w:cs="宋体"/>
          <w:spacing w:val="-2"/>
          <w:sz w:val="28"/>
          <w:szCs w:val="28"/>
        </w:rPr>
        <w:t>合同生效。本合同经甲、乙双方授权代表签字和加</w:t>
      </w:r>
      <w:r>
        <w:rPr>
          <w:rFonts w:hint="eastAsia" w:ascii="宋体" w:hAnsi="宋体" w:eastAsia="宋体" w:cs="宋体"/>
          <w:spacing w:val="-3"/>
          <w:sz w:val="28"/>
          <w:szCs w:val="28"/>
        </w:rPr>
        <w:t>盖公章（或合同专用章）后生效。</w:t>
      </w:r>
      <w:r>
        <w:rPr>
          <w:rFonts w:hint="eastAsia" w:ascii="宋体" w:hAnsi="宋体" w:eastAsia="宋体" w:cs="宋体"/>
          <w:sz w:val="28"/>
          <w:szCs w:val="28"/>
        </w:rPr>
        <w:t xml:space="preserve"> </w:t>
      </w:r>
      <w:r>
        <w:rPr>
          <w:rFonts w:hint="eastAsia" w:ascii="宋体" w:hAnsi="宋体" w:eastAsia="宋体" w:cs="宋体"/>
          <w:spacing w:val="-1"/>
          <w:sz w:val="28"/>
          <w:szCs w:val="28"/>
        </w:rPr>
        <w:t>如招标申请公证的，合同需经公证机构公证后生效。</w:t>
      </w:r>
    </w:p>
    <w:p w14:paraId="69FA812B">
      <w:pPr>
        <w:spacing w:before="226" w:line="440" w:lineRule="exact"/>
        <w:ind w:right="334"/>
        <w:rPr>
          <w:rFonts w:ascii="宋体" w:hAnsi="宋体" w:eastAsia="宋体" w:cs="宋体"/>
          <w:sz w:val="28"/>
          <w:szCs w:val="28"/>
        </w:rPr>
      </w:pPr>
      <w:r>
        <w:rPr>
          <w:rFonts w:hint="eastAsia" w:ascii="宋体" w:hAnsi="宋体" w:eastAsia="宋体" w:cs="宋体"/>
          <w:b/>
          <w:bCs/>
          <w:spacing w:val="-3"/>
          <w:sz w:val="28"/>
          <w:szCs w:val="28"/>
        </w:rPr>
        <w:t>11.</w:t>
      </w:r>
      <w:r>
        <w:rPr>
          <w:rFonts w:hint="eastAsia" w:ascii="宋体" w:hAnsi="宋体" w:eastAsia="宋体" w:cs="宋体"/>
          <w:spacing w:val="-1"/>
          <w:sz w:val="28"/>
          <w:szCs w:val="28"/>
        </w:rPr>
        <w:t>合同的份数。本合同正本一式—份，甲方执—份，乙方执—份；副本一式—份，甲</w:t>
      </w:r>
      <w:r>
        <w:rPr>
          <w:rFonts w:hint="eastAsia" w:ascii="宋体" w:hAnsi="宋体" w:eastAsia="宋体" w:cs="宋体"/>
          <w:spacing w:val="9"/>
          <w:sz w:val="28"/>
          <w:szCs w:val="28"/>
        </w:rPr>
        <w:t xml:space="preserve"> </w:t>
      </w:r>
      <w:r>
        <w:rPr>
          <w:rFonts w:hint="eastAsia" w:ascii="宋体" w:hAnsi="宋体" w:eastAsia="宋体" w:cs="宋体"/>
          <w:spacing w:val="-1"/>
          <w:sz w:val="28"/>
          <w:szCs w:val="28"/>
        </w:rPr>
        <w:t>方执—份，乙方执—份。</w:t>
      </w:r>
    </w:p>
    <w:p w14:paraId="7523C581">
      <w:pPr>
        <w:spacing w:before="1" w:line="440" w:lineRule="exact"/>
        <w:rPr>
          <w:rFonts w:ascii="宋体" w:hAnsi="宋体" w:eastAsia="宋体" w:cs="宋体"/>
          <w:sz w:val="28"/>
          <w:szCs w:val="28"/>
        </w:rPr>
      </w:pPr>
      <w:r>
        <w:rPr>
          <w:rFonts w:hint="eastAsia" w:ascii="宋体" w:hAnsi="宋体" w:eastAsia="宋体" w:cs="宋体"/>
          <w:b/>
          <w:bCs/>
          <w:spacing w:val="-3"/>
          <w:sz w:val="28"/>
          <w:szCs w:val="28"/>
        </w:rPr>
        <w:t>12.</w:t>
      </w:r>
      <w:r>
        <w:rPr>
          <w:rFonts w:hint="eastAsia" w:ascii="宋体" w:hAnsi="宋体" w:eastAsia="宋体" w:cs="宋体"/>
          <w:spacing w:val="-1"/>
          <w:sz w:val="28"/>
          <w:szCs w:val="28"/>
        </w:rPr>
        <w:t>合同的失效。本合同在合同价款全部结</w:t>
      </w:r>
      <w:r>
        <w:rPr>
          <w:rFonts w:hint="eastAsia" w:ascii="宋体" w:hAnsi="宋体" w:eastAsia="宋体" w:cs="宋体"/>
          <w:spacing w:val="-2"/>
          <w:sz w:val="28"/>
          <w:szCs w:val="28"/>
        </w:rPr>
        <w:t>清后失效。</w:t>
      </w:r>
    </w:p>
    <w:p w14:paraId="4C5DFF8E">
      <w:pPr>
        <w:spacing w:before="187" w:line="440" w:lineRule="exact"/>
        <w:ind w:left="531"/>
        <w:rPr>
          <w:rFonts w:ascii="宋体" w:hAnsi="宋体" w:eastAsia="宋体" w:cs="宋体"/>
          <w:sz w:val="28"/>
          <w:szCs w:val="28"/>
        </w:rPr>
      </w:pPr>
      <w:r>
        <w:rPr>
          <w:rFonts w:hint="eastAsia" w:ascii="宋体" w:hAnsi="宋体" w:eastAsia="宋体" w:cs="宋体"/>
          <w:spacing w:val="-21"/>
          <w:sz w:val="28"/>
          <w:szCs w:val="28"/>
        </w:rPr>
        <w:t>甲</w:t>
      </w:r>
      <w:r>
        <w:rPr>
          <w:rFonts w:hint="eastAsia" w:ascii="宋体" w:hAnsi="宋体" w:eastAsia="宋体" w:cs="宋体"/>
          <w:spacing w:val="11"/>
          <w:sz w:val="28"/>
          <w:szCs w:val="28"/>
        </w:rPr>
        <w:t xml:space="preserve"> </w:t>
      </w:r>
      <w:r>
        <w:rPr>
          <w:rFonts w:hint="eastAsia" w:ascii="宋体" w:hAnsi="宋体" w:eastAsia="宋体" w:cs="宋体"/>
          <w:spacing w:val="-21"/>
          <w:sz w:val="28"/>
          <w:szCs w:val="28"/>
        </w:rPr>
        <w:t>方</w:t>
      </w:r>
      <w:r>
        <w:rPr>
          <w:rFonts w:hint="eastAsia" w:ascii="宋体" w:hAnsi="宋体" w:eastAsia="宋体" w:cs="宋体"/>
          <w:spacing w:val="-90"/>
          <w:sz w:val="28"/>
          <w:szCs w:val="28"/>
        </w:rPr>
        <w:t xml:space="preserve"> </w:t>
      </w:r>
      <w:r>
        <w:rPr>
          <w:rFonts w:hint="eastAsia" w:ascii="宋体" w:hAnsi="宋体" w:eastAsia="宋体" w:cs="宋体"/>
          <w:spacing w:val="-21"/>
          <w:sz w:val="28"/>
          <w:szCs w:val="28"/>
        </w:rPr>
        <w:t>：</w:t>
      </w:r>
      <w:r>
        <w:rPr>
          <w:rFonts w:hint="eastAsia" w:ascii="宋体" w:hAnsi="宋体" w:eastAsia="宋体" w:cs="宋体"/>
          <w:spacing w:val="1"/>
          <w:sz w:val="28"/>
          <w:szCs w:val="28"/>
        </w:rPr>
        <w:t xml:space="preserve">                            </w:t>
      </w:r>
      <w:r>
        <w:rPr>
          <w:rFonts w:hint="eastAsia" w:ascii="宋体" w:hAnsi="宋体" w:eastAsia="宋体" w:cs="宋体"/>
          <w:spacing w:val="-21"/>
          <w:sz w:val="28"/>
          <w:szCs w:val="28"/>
        </w:rPr>
        <w:t>乙</w:t>
      </w:r>
      <w:r>
        <w:rPr>
          <w:rFonts w:hint="eastAsia" w:ascii="宋体" w:hAnsi="宋体" w:eastAsia="宋体" w:cs="宋体"/>
          <w:spacing w:val="20"/>
          <w:sz w:val="28"/>
          <w:szCs w:val="28"/>
        </w:rPr>
        <w:t xml:space="preserve"> </w:t>
      </w:r>
      <w:r>
        <w:rPr>
          <w:rFonts w:hint="eastAsia" w:ascii="宋体" w:hAnsi="宋体" w:eastAsia="宋体" w:cs="宋体"/>
          <w:spacing w:val="-21"/>
          <w:sz w:val="28"/>
          <w:szCs w:val="28"/>
        </w:rPr>
        <w:t>方：</w:t>
      </w:r>
    </w:p>
    <w:p w14:paraId="540DB07A">
      <w:pPr>
        <w:spacing w:before="178" w:line="440" w:lineRule="exact"/>
        <w:ind w:left="502"/>
        <w:rPr>
          <w:rFonts w:ascii="宋体" w:hAnsi="宋体" w:eastAsia="宋体" w:cs="宋体"/>
          <w:sz w:val="28"/>
          <w:szCs w:val="28"/>
        </w:rPr>
      </w:pPr>
      <w:r>
        <w:rPr>
          <w:rFonts w:hint="eastAsia" w:ascii="宋体" w:hAnsi="宋体" w:eastAsia="宋体" w:cs="宋体"/>
          <w:spacing w:val="-2"/>
          <w:sz w:val="28"/>
          <w:szCs w:val="28"/>
        </w:rPr>
        <w:t>单位名称（盖章</w:t>
      </w:r>
      <w:r>
        <w:rPr>
          <w:rFonts w:hint="eastAsia" w:ascii="宋体" w:hAnsi="宋体" w:eastAsia="宋体" w:cs="宋体"/>
          <w:spacing w:val="1"/>
          <w:sz w:val="28"/>
          <w:szCs w:val="28"/>
        </w:rPr>
        <w:t>）：</w:t>
      </w:r>
      <w:r>
        <w:rPr>
          <w:rFonts w:hint="eastAsia" w:ascii="宋体" w:hAnsi="宋体" w:eastAsia="宋体" w:cs="宋体"/>
          <w:sz w:val="28"/>
          <w:szCs w:val="28"/>
        </w:rPr>
        <w:t xml:space="preserve">                  </w:t>
      </w:r>
      <w:r>
        <w:rPr>
          <w:rFonts w:hint="eastAsia" w:ascii="宋体" w:hAnsi="宋体" w:eastAsia="宋体" w:cs="宋体"/>
          <w:spacing w:val="-2"/>
          <w:sz w:val="28"/>
          <w:szCs w:val="28"/>
        </w:rPr>
        <w:t>单位名称（盖章</w:t>
      </w:r>
      <w:r>
        <w:rPr>
          <w:rFonts w:hint="eastAsia" w:ascii="宋体" w:hAnsi="宋体" w:eastAsia="宋体" w:cs="宋体"/>
          <w:spacing w:val="1"/>
          <w:sz w:val="28"/>
          <w:szCs w:val="28"/>
        </w:rPr>
        <w:t>）：</w:t>
      </w:r>
    </w:p>
    <w:p w14:paraId="7B16C1E2">
      <w:pPr>
        <w:spacing w:before="181" w:line="440" w:lineRule="exact"/>
        <w:ind w:left="502"/>
        <w:rPr>
          <w:rFonts w:ascii="宋体" w:hAnsi="宋体" w:eastAsia="宋体" w:cs="宋体"/>
          <w:sz w:val="28"/>
          <w:szCs w:val="28"/>
        </w:rPr>
      </w:pPr>
      <w:r>
        <w:rPr>
          <w:rFonts w:hint="eastAsia" w:ascii="宋体" w:hAnsi="宋体" w:eastAsia="宋体" w:cs="宋体"/>
          <w:sz w:val="28"/>
          <w:szCs w:val="28"/>
        </w:rPr>
        <w:t xml:space="preserve">单位地址：                      </w:t>
      </w:r>
      <w:r>
        <w:rPr>
          <w:rFonts w:hint="eastAsia" w:ascii="宋体" w:hAnsi="宋体" w:eastAsia="宋体" w:cs="宋体"/>
          <w:spacing w:val="-1"/>
          <w:sz w:val="28"/>
          <w:szCs w:val="28"/>
        </w:rPr>
        <w:t xml:space="preserve">   单位地址：</w:t>
      </w:r>
    </w:p>
    <w:p w14:paraId="7D2B4808">
      <w:pPr>
        <w:spacing w:before="195" w:line="440" w:lineRule="exact"/>
        <w:ind w:left="501"/>
        <w:rPr>
          <w:rFonts w:ascii="宋体" w:hAnsi="宋体" w:eastAsia="宋体" w:cs="宋体"/>
          <w:sz w:val="28"/>
          <w:szCs w:val="28"/>
        </w:rPr>
      </w:pPr>
      <w:r>
        <w:rPr>
          <w:rFonts w:hint="eastAsia" w:ascii="宋体" w:hAnsi="宋体" w:eastAsia="宋体" w:cs="宋体"/>
          <w:spacing w:val="-4"/>
          <w:sz w:val="28"/>
          <w:szCs w:val="28"/>
        </w:rPr>
        <w:t>法人代表授权人</w:t>
      </w:r>
      <w:bookmarkStart w:id="27" w:name="OLE_LINK5"/>
      <w:r>
        <w:rPr>
          <w:rFonts w:hint="eastAsia" w:ascii="宋体" w:hAnsi="宋体" w:eastAsia="宋体" w:cs="宋体"/>
          <w:spacing w:val="-4"/>
          <w:sz w:val="28"/>
          <w:szCs w:val="28"/>
        </w:rPr>
        <w:t>（签字</w:t>
      </w:r>
      <w:r>
        <w:rPr>
          <w:rFonts w:hint="eastAsia" w:ascii="宋体" w:hAnsi="宋体" w:eastAsia="宋体" w:cs="宋体"/>
          <w:spacing w:val="2"/>
          <w:sz w:val="28"/>
          <w:szCs w:val="28"/>
        </w:rPr>
        <w:t>）</w:t>
      </w:r>
      <w:bookmarkEnd w:id="27"/>
      <w:r>
        <w:rPr>
          <w:rFonts w:hint="eastAsia" w:ascii="宋体" w:hAnsi="宋体" w:eastAsia="宋体" w:cs="宋体"/>
          <w:spacing w:val="2"/>
          <w:sz w:val="28"/>
          <w:szCs w:val="28"/>
        </w:rPr>
        <w:t>：</w:t>
      </w:r>
      <w:r>
        <w:rPr>
          <w:rFonts w:hint="eastAsia" w:ascii="宋体" w:hAnsi="宋体" w:eastAsia="宋体" w:cs="宋体"/>
          <w:spacing w:val="1"/>
          <w:sz w:val="28"/>
          <w:szCs w:val="28"/>
        </w:rPr>
        <w:t xml:space="preserve">           </w:t>
      </w:r>
      <w:r>
        <w:rPr>
          <w:rFonts w:hint="eastAsia" w:ascii="宋体" w:hAnsi="宋体" w:eastAsia="宋体" w:cs="宋体"/>
          <w:spacing w:val="-4"/>
          <w:sz w:val="28"/>
          <w:szCs w:val="28"/>
        </w:rPr>
        <w:t>法</w:t>
      </w:r>
      <w:r>
        <w:rPr>
          <w:rFonts w:hint="eastAsia" w:ascii="宋体" w:hAnsi="宋体" w:eastAsia="宋体" w:cs="宋体"/>
          <w:spacing w:val="-64"/>
          <w:sz w:val="28"/>
          <w:szCs w:val="28"/>
        </w:rPr>
        <w:t xml:space="preserve"> </w:t>
      </w:r>
      <w:r>
        <w:rPr>
          <w:rFonts w:hint="eastAsia" w:ascii="宋体" w:hAnsi="宋体" w:eastAsia="宋体" w:cs="宋体"/>
          <w:spacing w:val="-4"/>
          <w:sz w:val="28"/>
          <w:szCs w:val="28"/>
        </w:rPr>
        <w:t>人</w:t>
      </w:r>
      <w:r>
        <w:rPr>
          <w:rFonts w:hint="eastAsia" w:ascii="宋体" w:hAnsi="宋体" w:eastAsia="宋体" w:cs="宋体"/>
          <w:spacing w:val="-69"/>
          <w:sz w:val="28"/>
          <w:szCs w:val="28"/>
        </w:rPr>
        <w:t xml:space="preserve"> </w:t>
      </w:r>
      <w:r>
        <w:rPr>
          <w:rFonts w:hint="eastAsia" w:ascii="宋体" w:hAnsi="宋体" w:eastAsia="宋体" w:cs="宋体"/>
          <w:spacing w:val="-4"/>
          <w:sz w:val="28"/>
          <w:szCs w:val="28"/>
        </w:rPr>
        <w:t>代</w:t>
      </w:r>
      <w:r>
        <w:rPr>
          <w:rFonts w:hint="eastAsia" w:ascii="宋体" w:hAnsi="宋体" w:eastAsia="宋体" w:cs="宋体"/>
          <w:spacing w:val="-70"/>
          <w:sz w:val="28"/>
          <w:szCs w:val="28"/>
        </w:rPr>
        <w:t xml:space="preserve"> </w:t>
      </w:r>
      <w:r>
        <w:rPr>
          <w:rFonts w:hint="eastAsia" w:ascii="宋体" w:hAnsi="宋体" w:eastAsia="宋体" w:cs="宋体"/>
          <w:spacing w:val="-4"/>
          <w:sz w:val="28"/>
          <w:szCs w:val="28"/>
        </w:rPr>
        <w:t>表</w:t>
      </w:r>
      <w:r>
        <w:rPr>
          <w:rFonts w:hint="eastAsia" w:ascii="宋体" w:hAnsi="宋体" w:eastAsia="宋体" w:cs="宋体"/>
          <w:spacing w:val="-69"/>
          <w:sz w:val="28"/>
          <w:szCs w:val="28"/>
        </w:rPr>
        <w:t xml:space="preserve"> </w:t>
      </w:r>
      <w:r>
        <w:rPr>
          <w:rFonts w:hint="eastAsia" w:ascii="宋体" w:hAnsi="宋体" w:eastAsia="宋体" w:cs="宋体"/>
          <w:spacing w:val="-4"/>
          <w:sz w:val="28"/>
          <w:szCs w:val="28"/>
        </w:rPr>
        <w:t>授</w:t>
      </w:r>
      <w:r>
        <w:rPr>
          <w:rFonts w:hint="eastAsia" w:ascii="宋体" w:hAnsi="宋体" w:eastAsia="宋体" w:cs="宋体"/>
          <w:spacing w:val="-71"/>
          <w:sz w:val="28"/>
          <w:szCs w:val="28"/>
        </w:rPr>
        <w:t xml:space="preserve"> </w:t>
      </w:r>
      <w:r>
        <w:rPr>
          <w:rFonts w:hint="eastAsia" w:ascii="宋体" w:hAnsi="宋体" w:eastAsia="宋体" w:cs="宋体"/>
          <w:spacing w:val="-4"/>
          <w:sz w:val="28"/>
          <w:szCs w:val="28"/>
        </w:rPr>
        <w:t>权</w:t>
      </w:r>
      <w:r>
        <w:rPr>
          <w:rFonts w:hint="eastAsia" w:ascii="宋体" w:hAnsi="宋体" w:eastAsia="宋体" w:cs="宋体"/>
          <w:spacing w:val="-65"/>
          <w:sz w:val="28"/>
          <w:szCs w:val="28"/>
        </w:rPr>
        <w:t xml:space="preserve"> </w:t>
      </w:r>
      <w:r>
        <w:rPr>
          <w:rFonts w:hint="eastAsia" w:ascii="宋体" w:hAnsi="宋体" w:eastAsia="宋体" w:cs="宋体"/>
          <w:spacing w:val="-4"/>
          <w:sz w:val="28"/>
          <w:szCs w:val="28"/>
        </w:rPr>
        <w:t>人（签字</w:t>
      </w:r>
      <w:r>
        <w:rPr>
          <w:rFonts w:hint="eastAsia" w:ascii="宋体" w:hAnsi="宋体" w:eastAsia="宋体" w:cs="宋体"/>
          <w:spacing w:val="2"/>
          <w:sz w:val="28"/>
          <w:szCs w:val="28"/>
        </w:rPr>
        <w:t>）:</w:t>
      </w:r>
    </w:p>
    <w:p w14:paraId="5E840A07">
      <w:pPr>
        <w:spacing w:before="181" w:line="440" w:lineRule="exact"/>
        <w:ind w:left="501"/>
        <w:rPr>
          <w:rFonts w:ascii="宋体" w:hAnsi="宋体" w:eastAsia="宋体" w:cs="宋体"/>
          <w:sz w:val="28"/>
          <w:szCs w:val="28"/>
        </w:rPr>
      </w:pPr>
      <w:r>
        <w:rPr>
          <w:rFonts w:hint="eastAsia" w:ascii="宋体" w:hAnsi="宋体" w:eastAsia="宋体" w:cs="宋体"/>
          <w:spacing w:val="-3"/>
          <w:sz w:val="28"/>
          <w:szCs w:val="28"/>
        </w:rPr>
        <w:t>联系人：</w:t>
      </w:r>
      <w:r>
        <w:rPr>
          <w:rFonts w:hint="eastAsia" w:ascii="宋体" w:hAnsi="宋体" w:eastAsia="宋体" w:cs="宋体"/>
          <w:sz w:val="28"/>
          <w:szCs w:val="28"/>
        </w:rPr>
        <w:t xml:space="preserve">                           </w:t>
      </w:r>
      <w:r>
        <w:rPr>
          <w:rFonts w:hint="eastAsia" w:ascii="宋体" w:hAnsi="宋体" w:eastAsia="宋体" w:cs="宋体"/>
          <w:spacing w:val="-3"/>
          <w:sz w:val="28"/>
          <w:szCs w:val="28"/>
        </w:rPr>
        <w:t>联系人：</w:t>
      </w:r>
    </w:p>
    <w:p w14:paraId="16D0EDCD">
      <w:pPr>
        <w:spacing w:before="176" w:line="440" w:lineRule="exact"/>
        <w:ind w:left="528"/>
        <w:rPr>
          <w:rFonts w:ascii="宋体" w:hAnsi="宋体" w:eastAsia="宋体" w:cs="宋体"/>
          <w:sz w:val="28"/>
          <w:szCs w:val="28"/>
        </w:rPr>
      </w:pPr>
      <w:r>
        <w:rPr>
          <w:rFonts w:hint="eastAsia" w:ascii="宋体" w:hAnsi="宋体" w:eastAsia="宋体" w:cs="宋体"/>
          <w:spacing w:val="-13"/>
          <w:sz w:val="28"/>
          <w:szCs w:val="28"/>
        </w:rPr>
        <w:t>电话：</w:t>
      </w:r>
      <w:r>
        <w:rPr>
          <w:rFonts w:hint="eastAsia" w:ascii="宋体" w:hAnsi="宋体" w:eastAsia="宋体" w:cs="宋体"/>
          <w:spacing w:val="1"/>
          <w:sz w:val="28"/>
          <w:szCs w:val="28"/>
        </w:rPr>
        <w:t xml:space="preserve">                             </w:t>
      </w:r>
      <w:r>
        <w:rPr>
          <w:rFonts w:hint="eastAsia" w:ascii="宋体" w:hAnsi="宋体" w:eastAsia="宋体" w:cs="宋体"/>
          <w:spacing w:val="-13"/>
          <w:sz w:val="28"/>
          <w:szCs w:val="28"/>
        </w:rPr>
        <w:t>电话：</w:t>
      </w:r>
    </w:p>
    <w:p w14:paraId="3EA49960">
      <w:pPr>
        <w:spacing w:before="177" w:line="440" w:lineRule="exact"/>
        <w:ind w:left="498"/>
        <w:rPr>
          <w:rFonts w:ascii="宋体" w:hAnsi="宋体" w:eastAsia="宋体" w:cs="宋体"/>
          <w:sz w:val="28"/>
          <w:szCs w:val="28"/>
        </w:rPr>
      </w:pPr>
      <w:r>
        <w:rPr>
          <w:rFonts w:hint="eastAsia" w:ascii="宋体" w:hAnsi="宋体" w:eastAsia="宋体" w:cs="宋体"/>
          <w:spacing w:val="-3"/>
          <w:sz w:val="28"/>
          <w:szCs w:val="28"/>
        </w:rPr>
        <w:t>传真：</w:t>
      </w:r>
      <w:r>
        <w:rPr>
          <w:rFonts w:hint="eastAsia" w:ascii="宋体" w:hAnsi="宋体" w:eastAsia="宋体" w:cs="宋体"/>
          <w:sz w:val="28"/>
          <w:szCs w:val="28"/>
        </w:rPr>
        <w:t xml:space="preserve">                             </w:t>
      </w:r>
      <w:r>
        <w:rPr>
          <w:rFonts w:hint="eastAsia" w:ascii="宋体" w:hAnsi="宋体" w:eastAsia="宋体" w:cs="宋体"/>
          <w:spacing w:val="-3"/>
          <w:sz w:val="28"/>
          <w:szCs w:val="28"/>
        </w:rPr>
        <w:t>传真：</w:t>
      </w:r>
    </w:p>
    <w:p w14:paraId="57A63405">
      <w:pPr>
        <w:spacing w:before="182" w:line="440" w:lineRule="exact"/>
        <w:ind w:left="517"/>
        <w:rPr>
          <w:rFonts w:ascii="宋体" w:hAnsi="宋体" w:eastAsia="宋体" w:cs="宋体"/>
          <w:sz w:val="28"/>
          <w:szCs w:val="28"/>
        </w:rPr>
      </w:pPr>
      <w:r>
        <w:rPr>
          <w:rFonts w:hint="eastAsia" w:ascii="宋体" w:hAnsi="宋体" w:eastAsia="宋体" w:cs="宋体"/>
          <w:spacing w:val="-6"/>
          <w:sz w:val="28"/>
          <w:szCs w:val="28"/>
        </w:rPr>
        <w:t>邮政编码：</w:t>
      </w:r>
      <w:r>
        <w:rPr>
          <w:rFonts w:hint="eastAsia" w:ascii="宋体" w:hAnsi="宋体" w:eastAsia="宋体" w:cs="宋体"/>
          <w:spacing w:val="1"/>
          <w:sz w:val="28"/>
          <w:szCs w:val="28"/>
        </w:rPr>
        <w:t xml:space="preserve">                         </w:t>
      </w:r>
      <w:r>
        <w:rPr>
          <w:rFonts w:hint="eastAsia" w:ascii="宋体" w:hAnsi="宋体" w:eastAsia="宋体" w:cs="宋体"/>
          <w:spacing w:val="-6"/>
          <w:sz w:val="28"/>
          <w:szCs w:val="28"/>
        </w:rPr>
        <w:t>邮政编码：</w:t>
      </w:r>
    </w:p>
    <w:p w14:paraId="0933D7C5">
      <w:pPr>
        <w:spacing w:before="195" w:line="440" w:lineRule="exact"/>
        <w:ind w:left="501"/>
        <w:rPr>
          <w:rFonts w:ascii="宋体" w:hAnsi="宋体" w:eastAsia="宋体" w:cs="宋体"/>
          <w:sz w:val="28"/>
          <w:szCs w:val="28"/>
        </w:rPr>
      </w:pPr>
      <w:r>
        <w:rPr>
          <w:rFonts w:hint="eastAsia" w:ascii="宋体" w:hAnsi="宋体" w:eastAsia="宋体" w:cs="宋体"/>
          <w:sz w:val="28"/>
          <w:szCs w:val="28"/>
        </w:rPr>
        <w:t xml:space="preserve">开户银行：                       </w:t>
      </w:r>
      <w:r>
        <w:rPr>
          <w:rFonts w:hint="eastAsia" w:ascii="宋体" w:hAnsi="宋体" w:eastAsia="宋体" w:cs="宋体"/>
          <w:spacing w:val="-1"/>
          <w:sz w:val="28"/>
          <w:szCs w:val="28"/>
        </w:rPr>
        <w:t xml:space="preserve">  开户银行：</w:t>
      </w:r>
    </w:p>
    <w:p w14:paraId="55F65272">
      <w:pPr>
        <w:spacing w:before="172" w:line="440" w:lineRule="exact"/>
        <w:ind w:left="509"/>
        <w:rPr>
          <w:rFonts w:ascii="宋体" w:hAnsi="宋体" w:eastAsia="宋体" w:cs="宋体"/>
          <w:sz w:val="28"/>
          <w:szCs w:val="28"/>
        </w:rPr>
      </w:pPr>
      <w:r>
        <w:rPr>
          <w:rFonts w:hint="eastAsia" w:ascii="宋体" w:hAnsi="宋体" w:eastAsia="宋体" w:cs="宋体"/>
          <w:spacing w:val="-7"/>
          <w:sz w:val="28"/>
          <w:szCs w:val="28"/>
        </w:rPr>
        <w:t>账号：</w:t>
      </w:r>
      <w:r>
        <w:rPr>
          <w:rFonts w:hint="eastAsia" w:ascii="宋体" w:hAnsi="宋体" w:eastAsia="宋体" w:cs="宋体"/>
          <w:spacing w:val="1"/>
          <w:sz w:val="28"/>
          <w:szCs w:val="28"/>
        </w:rPr>
        <w:t xml:space="preserve">                          </w:t>
      </w:r>
      <w:r>
        <w:rPr>
          <w:rFonts w:hint="eastAsia" w:ascii="宋体" w:hAnsi="宋体" w:eastAsia="宋体" w:cs="宋体"/>
          <w:sz w:val="28"/>
          <w:szCs w:val="28"/>
        </w:rPr>
        <w:t xml:space="preserve">   账</w:t>
      </w:r>
      <w:r>
        <w:rPr>
          <w:rFonts w:hint="eastAsia" w:ascii="宋体" w:hAnsi="宋体" w:eastAsia="宋体" w:cs="宋体"/>
          <w:spacing w:val="-7"/>
          <w:sz w:val="28"/>
          <w:szCs w:val="28"/>
        </w:rPr>
        <w:t>号：</w:t>
      </w:r>
    </w:p>
    <w:p w14:paraId="7E22A345">
      <w:pPr>
        <w:spacing w:before="163" w:line="440" w:lineRule="exact"/>
        <w:ind w:left="499"/>
        <w:rPr>
          <w:rFonts w:ascii="宋体" w:hAnsi="宋体" w:eastAsia="宋体" w:cs="宋体"/>
          <w:sz w:val="28"/>
          <w:szCs w:val="28"/>
        </w:rPr>
      </w:pPr>
      <w:r>
        <w:rPr>
          <w:rFonts w:hint="eastAsia" w:ascii="宋体" w:hAnsi="宋体" w:eastAsia="宋体" w:cs="宋体"/>
          <w:spacing w:val="-3"/>
          <w:sz w:val="28"/>
          <w:szCs w:val="28"/>
        </w:rPr>
        <w:t>税号：</w:t>
      </w:r>
      <w:r>
        <w:rPr>
          <w:rFonts w:hint="eastAsia" w:ascii="宋体" w:hAnsi="宋体" w:eastAsia="宋体" w:cs="宋体"/>
          <w:sz w:val="28"/>
          <w:szCs w:val="28"/>
        </w:rPr>
        <w:t xml:space="preserve">                             </w:t>
      </w:r>
      <w:r>
        <w:rPr>
          <w:rFonts w:hint="eastAsia" w:ascii="宋体" w:hAnsi="宋体" w:eastAsia="宋体" w:cs="宋体"/>
          <w:spacing w:val="-3"/>
          <w:sz w:val="28"/>
          <w:szCs w:val="28"/>
        </w:rPr>
        <w:t>税号：</w:t>
      </w:r>
    </w:p>
    <w:p w14:paraId="66D97C4F"/>
    <w:p w14:paraId="548A5F88">
      <w:pPr>
        <w:jc w:val="center"/>
      </w:pPr>
    </w:p>
    <w:p w14:paraId="0F515EF3">
      <w:pPr>
        <w:jc w:val="center"/>
      </w:pPr>
    </w:p>
    <w:p w14:paraId="56B7E49A">
      <w:pPr>
        <w:jc w:val="center"/>
      </w:pPr>
    </w:p>
    <w:p w14:paraId="1A52EBD5">
      <w:pPr>
        <w:jc w:val="center"/>
      </w:pPr>
    </w:p>
    <w:p w14:paraId="46A45CBE">
      <w:pPr>
        <w:jc w:val="center"/>
      </w:pPr>
    </w:p>
    <w:p w14:paraId="145F9E0E">
      <w:pPr>
        <w:jc w:val="center"/>
      </w:pPr>
    </w:p>
    <w:p w14:paraId="7A765ED4">
      <w:pPr>
        <w:jc w:val="center"/>
      </w:pPr>
    </w:p>
    <w:p w14:paraId="203D5ABA">
      <w:pPr>
        <w:jc w:val="center"/>
      </w:pPr>
    </w:p>
    <w:p w14:paraId="000A8744">
      <w:pPr>
        <w:jc w:val="center"/>
      </w:pPr>
    </w:p>
    <w:p w14:paraId="11C9A083">
      <w:pPr>
        <w:jc w:val="center"/>
      </w:pPr>
    </w:p>
    <w:p w14:paraId="6351F973">
      <w:pPr>
        <w:jc w:val="center"/>
      </w:pPr>
    </w:p>
    <w:p w14:paraId="447BE155">
      <w:pPr>
        <w:jc w:val="center"/>
      </w:pPr>
    </w:p>
    <w:p w14:paraId="2579C27C">
      <w:pPr>
        <w:jc w:val="center"/>
      </w:pPr>
    </w:p>
    <w:p w14:paraId="580AF025">
      <w:pPr>
        <w:pStyle w:val="7"/>
      </w:pPr>
    </w:p>
    <w:p w14:paraId="5B9FB73E">
      <w:pPr>
        <w:pStyle w:val="7"/>
      </w:pPr>
    </w:p>
    <w:sectPr>
      <w:headerReference r:id="rId10" w:type="default"/>
      <w:foot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C07C5">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2C860">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0B6C1">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865E6">
    <w:pPr>
      <w:spacing w:before="82" w:line="177" w:lineRule="auto"/>
      <w:ind w:left="4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125F5B">
                          <w:pPr>
                            <w:pStyle w:val="7"/>
                          </w:pPr>
                          <w:r>
                            <w:fldChar w:fldCharType="begin"/>
                          </w:r>
                          <w:r>
                            <w:instrText xml:space="preserve"> PAGE  \* MERGEFORMAT </w:instrText>
                          </w:r>
                          <w:r>
                            <w:fldChar w:fldCharType="separate"/>
                          </w:r>
                          <w:r>
                            <w:t>13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0125F5B">
                    <w:pPr>
                      <w:pStyle w:val="7"/>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4FBFE8">
                          <w:pPr>
                            <w:pStyle w:val="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34FBFE8">
                    <w:pPr>
                      <w:pStyle w:val="7"/>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182A">
    <w:pPr>
      <w:spacing w:line="1" w:lineRule="exac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97143">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0B497143">
                    <w:pPr>
                      <w:pStyle w:val="7"/>
                    </w:pPr>
                    <w:r>
                      <w:fldChar w:fldCharType="begin"/>
                    </w:r>
                    <w:r>
                      <w:instrText xml:space="preserve"> PAGE  \* MERGEFORMAT </w:instrText>
                    </w:r>
                    <w:r>
                      <w:fldChar w:fldCharType="separate"/>
                    </w:r>
                    <w:r>
                      <w:t>15</w:t>
                    </w:r>
                    <w: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720090</wp:posOffset>
              </wp:positionH>
              <wp:positionV relativeFrom="page">
                <wp:posOffset>10224135</wp:posOffset>
              </wp:positionV>
              <wp:extent cx="6200775" cy="0"/>
              <wp:effectExtent l="0" t="0" r="0" b="0"/>
              <wp:wrapNone/>
              <wp:docPr id="69" name="Shape 69"/>
              <wp:cNvGraphicFramePr/>
              <a:graphic xmlns:a="http://schemas.openxmlformats.org/drawingml/2006/main">
                <a:graphicData uri="http://schemas.microsoft.com/office/word/2010/wordprocessingShape">
                  <wps:wsp>
                    <wps:cNvCnPr/>
                    <wps:spPr>
                      <a:xfrm>
                        <a:off x="0" y="0"/>
                        <a:ext cx="6200775" cy="0"/>
                      </a:xfrm>
                      <a:prstGeom prst="straightConnector1">
                        <a:avLst/>
                      </a:prstGeom>
                      <a:ln w="12700">
                        <a:solidFill>
                          <a:srgbClr val="FFFFFF"/>
                        </a:solidFill>
                      </a:ln>
                    </wps:spPr>
                    <wps:bodyPr/>
                  </wps:wsp>
                </a:graphicData>
              </a:graphic>
            </wp:anchor>
          </w:drawing>
        </mc:Choice>
        <mc:Fallback>
          <w:pict>
            <v:shape id="Shape 69" o:spid="_x0000_s1026" o:spt="32" type="#_x0000_t32" style="position:absolute;left:0pt;margin-left:56.7pt;margin-top:805.05pt;height:0pt;width:488.25pt;mso-position-horizontal-relative:page;mso-position-vertical-relative:page;z-index:-251656192;mso-width-relative:page;mso-height-relative:page;" filled="f" stroked="t" coordsize="21600,21600" o:gfxdata="UEsDBAoAAAAAAIdO4kAAAAAAAAAAAAAAAAAEAAAAZHJzL1BLAwQUAAAACACHTuJAykQwytgAAAAO&#10;AQAADwAAAGRycy9kb3ducmV2LnhtbE2PwU7DMBBE70j8g7VI3KhtgkqbxqlQJQ4cqFSXD3DjbRwR&#10;r6PYTdu/xz0guO3sjmbfVOuL79mEY+wCKZAzAQypCbajVsHX/v1pASwmQ9b0gVDBFSOs6/u7ypQ2&#10;nGmHk04tyyEUS6PApTSUnMfGoTdxFgakfDuG0ZuU5dhyO5pzDvc9fxZizr3pKH9wZsCNw+Zbn7wC&#10;UbxpvdXF6+5j2rpP3lw5jRulHh+kWAFLeEl/ZrjhZ3SoM9MhnMhG1mcti5dszcNcCgnsZhGL5RLY&#10;4XfH64r/r1H/AFBLAwQUAAAACACHTuJA8jsRQqUBAABcAwAADgAAAGRycy9lMm9Eb2MueG1srVNN&#10;j9sgEL1X6n9A3Dd2Im3SWnH2kCi9VG2ktj+AYGwjAYNm2Dj59x1INrvaXvZQH/B8MG94b2D9dPZO&#10;nAyShdDK+ayWwgQNnQ1DK//83j98kYKSCp1yEEwrL4bk0+bzp/UUG7OAEVxnUDBIoGaKrRxTik1V&#10;kR6NVzSDaAIne0CvErs4VB2qidG9qxZ1vawmwC4iaEPE0d01KW+I+BFA6HurzQ70szchXVHROJWY&#10;Eo02ktyU0/a90eln35NJwrWSmaaychO2j3mtNmvVDKjiaPXtCOojR3jHySsbuOkdaqeSEs9o/4Hy&#10;ViMQ9GmmwVdXIkURZjGv32nza1TRFC4sNcW76PT/YPWP0wGF7Vq5/CpFUJ4nXtoK9lmcKVLDe7bh&#10;gDeP4gEz03OPPv+ZgzgXQS93Qc05Cc3BJQ98tXqUQr/kqtfCiJS+GfAiG62khMoOY9pCCDw2wHkR&#10;VJ2+U+LWXPhSkLu6ICa+vYtVXZdtBM52e+tcThIOx61DcVI89X35MheGeLONPRc4mBleOWXrCN2l&#10;UC1xFr2U3S5Inupbv1S/PorN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pEMMrYAAAADgEAAA8A&#10;AAAAAAAAAQAgAAAAIgAAAGRycy9kb3ducmV2LnhtbFBLAQIUABQAAAAIAIdO4kDyOxFCpQEAAFwD&#10;AAAOAAAAAAAAAAEAIAAAACcBAABkcnMvZTJvRG9jLnhtbFBLBQYAAAAABgAGAFkBAAA+BQAAAAA=&#10;">
              <v:fill on="f" focussize="0,0"/>
              <v:stroke weight="1pt" color="#FFFFFF" joinstyle="round"/>
              <v:imagedata o:title=""/>
              <o:lock v:ext="edit" aspectratio="f"/>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E5CA6">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D8E53">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F801D">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378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0B1237"/>
    <w:multiLevelType w:val="singleLevel"/>
    <w:tmpl w:val="3E0B123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M2EyZDI2ZTliOTAyZTFlYTVhODQ4YTUxMGIxMzcifQ=="/>
  </w:docVars>
  <w:rsids>
    <w:rsidRoot w:val="15110762"/>
    <w:rsid w:val="008A0A3F"/>
    <w:rsid w:val="009A12BF"/>
    <w:rsid w:val="00F90F59"/>
    <w:rsid w:val="036E2A80"/>
    <w:rsid w:val="038C7798"/>
    <w:rsid w:val="116E041E"/>
    <w:rsid w:val="15110762"/>
    <w:rsid w:val="2F63086F"/>
    <w:rsid w:val="32CD31E6"/>
    <w:rsid w:val="350E2625"/>
    <w:rsid w:val="3B94143C"/>
    <w:rsid w:val="3C61044E"/>
    <w:rsid w:val="3FB16D7C"/>
    <w:rsid w:val="400058DC"/>
    <w:rsid w:val="584D0D24"/>
    <w:rsid w:val="5F8321C1"/>
    <w:rsid w:val="6EAE6F59"/>
    <w:rsid w:val="6ED573B2"/>
    <w:rsid w:val="6F265009"/>
    <w:rsid w:val="71393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40" w:line="360" w:lineRule="auto"/>
      <w:jc w:val="center"/>
      <w:outlineLvl w:val="0"/>
    </w:pPr>
    <w:rPr>
      <w:rFonts w:eastAsia="宋体"/>
      <w:b/>
      <w:kern w:val="44"/>
      <w:sz w:val="44"/>
    </w:rPr>
  </w:style>
  <w:style w:type="paragraph" w:styleId="3">
    <w:name w:val="heading 2"/>
    <w:basedOn w:val="1"/>
    <w:next w:val="1"/>
    <w:unhideWhenUsed/>
    <w:qFormat/>
    <w:uiPriority w:val="0"/>
    <w:pPr>
      <w:keepNext/>
      <w:keepLines/>
      <w:spacing w:line="360" w:lineRule="auto"/>
      <w:outlineLvl w:val="1"/>
    </w:pPr>
    <w:rPr>
      <w:rFonts w:ascii="Arial" w:hAnsi="Arial" w:eastAsia="宋体"/>
      <w:b/>
      <w:sz w:val="28"/>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0"/>
    <w:pPr>
      <w:spacing w:after="120"/>
    </w:pPr>
    <w:rPr>
      <w:rFonts w:eastAsia="宋体"/>
      <w:szCs w:val="21"/>
    </w:rPr>
  </w:style>
  <w:style w:type="paragraph" w:styleId="6">
    <w:name w:val="Block Text"/>
    <w:basedOn w:val="1"/>
    <w:unhideWhenUsed/>
    <w:qFormat/>
    <w:uiPriority w:val="99"/>
    <w:pPr>
      <w:spacing w:after="120"/>
      <w:ind w:left="1440" w:leftChars="700" w:right="700" w:rightChars="700"/>
    </w:pPr>
  </w:style>
  <w:style w:type="paragraph" w:styleId="7">
    <w:name w:val="footer"/>
    <w:basedOn w:val="1"/>
    <w:qFormat/>
    <w:uiPriority w:val="99"/>
    <w:pPr>
      <w:tabs>
        <w:tab w:val="center" w:pos="4153"/>
        <w:tab w:val="right" w:pos="8306"/>
      </w:tabs>
      <w:snapToGrid w:val="0"/>
    </w:pPr>
    <w:rPr>
      <w:sz w:val="18"/>
    </w:rPr>
  </w:style>
  <w:style w:type="paragraph" w:styleId="8">
    <w:name w:val="header"/>
    <w:basedOn w:val="1"/>
    <w:next w:val="6"/>
    <w:qFormat/>
    <w:uiPriority w:val="0"/>
    <w:pPr>
      <w:pBdr>
        <w:bottom w:val="single" w:color="auto" w:sz="6" w:space="1"/>
      </w:pBdr>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customStyle="1" w:styleId="12">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13">
    <w:name w:val="Body text|1"/>
    <w:basedOn w:val="1"/>
    <w:qFormat/>
    <w:uiPriority w:val="0"/>
    <w:rPr>
      <w:rFonts w:ascii="宋体" w:hAnsi="宋体" w:eastAsia="宋体" w:cs="宋体"/>
      <w:szCs w:val="20"/>
      <w:lang w:val="zh-TW" w:eastAsia="zh-TW" w:bidi="zh-TW"/>
    </w:rPr>
  </w:style>
  <w:style w:type="paragraph" w:customStyle="1" w:styleId="14">
    <w:name w:val="列出段落1"/>
    <w:basedOn w:val="1"/>
    <w:qFormat/>
    <w:uiPriority w:val="0"/>
    <w:pPr>
      <w:widowControl/>
      <w:spacing w:line="360" w:lineRule="auto"/>
      <w:ind w:firstLine="420" w:firstLineChars="200"/>
    </w:pPr>
    <w:rPr>
      <w:rFonts w:ascii="Calibri" w:hAnsi="Calibri" w:eastAsia="宋体"/>
      <w:szCs w:val="22"/>
    </w:rPr>
  </w:style>
  <w:style w:type="paragraph" w:customStyle="1" w:styleId="15">
    <w:name w:val="列出段落11"/>
    <w:basedOn w:val="1"/>
    <w:qFormat/>
    <w:uiPriority w:val="0"/>
    <w:pPr>
      <w:ind w:firstLine="420" w:firstLineChars="200"/>
    </w:pPr>
    <w:rPr>
      <w:rFonts w:ascii="Calibri" w:hAnsi="Calibri" w:eastAsia="宋体"/>
      <w:szCs w:val="21"/>
    </w:rPr>
  </w:style>
  <w:style w:type="paragraph" w:customStyle="1" w:styleId="16">
    <w:name w:val="Table Paragraph"/>
    <w:basedOn w:val="1"/>
    <w:qFormat/>
    <w:uiPriority w:val="1"/>
  </w:style>
  <w:style w:type="table" w:customStyle="1" w:styleId="17">
    <w:name w:val="Table Normal"/>
    <w:semiHidden/>
    <w:unhideWhenUsed/>
    <w:qFormat/>
    <w:uiPriority w:val="2"/>
    <w:tblPr>
      <w:tblCellMar>
        <w:top w:w="0" w:type="dxa"/>
        <w:left w:w="0" w:type="dxa"/>
        <w:bottom w:w="0" w:type="dxa"/>
        <w:right w:w="0" w:type="dxa"/>
      </w:tblCellMar>
    </w:tblPr>
  </w:style>
  <w:style w:type="paragraph" w:customStyle="1" w:styleId="18">
    <w:name w:val="Body text|3"/>
    <w:basedOn w:val="1"/>
    <w:qFormat/>
    <w:uiPriority w:val="0"/>
    <w:pPr>
      <w:spacing w:after="570" w:line="975" w:lineRule="exact"/>
    </w:pPr>
    <w:rPr>
      <w:rFonts w:ascii="宋体" w:hAnsi="宋体" w:eastAsia="宋体" w:cs="宋体"/>
      <w:sz w:val="34"/>
      <w:szCs w:val="34"/>
      <w:lang w:val="zh-TW" w:eastAsia="zh-TW" w:bidi="zh-TW"/>
    </w:rPr>
  </w:style>
  <w:style w:type="paragraph" w:customStyle="1" w:styleId="19">
    <w:name w:val="Other|1"/>
    <w:basedOn w:val="1"/>
    <w:qFormat/>
    <w:uiPriority w:val="0"/>
    <w:rPr>
      <w:rFonts w:ascii="宋体" w:hAnsi="宋体" w:eastAsia="宋体" w:cs="宋体"/>
      <w:szCs w:val="20"/>
      <w:lang w:val="zh-TW" w:eastAsia="zh-TW" w:bidi="zh-TW"/>
    </w:rPr>
  </w:style>
  <w:style w:type="paragraph" w:styleId="20">
    <w:name w:val="No Spacing"/>
    <w:qFormat/>
    <w:uiPriority w:val="1"/>
    <w:pPr>
      <w:widowControl w:val="0"/>
    </w:pPr>
    <w:rPr>
      <w:rFonts w:ascii="宋体" w:hAnsi="宋体"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18</Pages>
  <Words>724</Words>
  <Characters>830</Characters>
  <Lines>78</Lines>
  <Paragraphs>22</Paragraphs>
  <TotalTime>3</TotalTime>
  <ScaleCrop>false</ScaleCrop>
  <LinksUpToDate>false</LinksUpToDate>
  <CharactersWithSpaces>854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2023-02-23T05:40:00Z</dcterms:created>
  <dc:creator>翼fate</dc:creator>
  <cp:lastModifiedBy>小小</cp:lastModifiedBy>
  <cp:lastPrinted>2025-05-09T01:35:00Z</cp:lastPrinted>
  <dcterms:modified xsi:type="dcterms:W3CDTF">2025-12-22T06:48:10Z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17DD16E2DA7E4E99B3A70C75ED83C32D_13</vt:lpwstr>
  </property>
  <property fmtid="{D5CDD505-2E9C-101B-9397-08002B2CF9AE}" pid="4" name="KSOTemplateDocerSaveRecord">
    <vt:lpwstr>eyJoZGlkIjoiMzEwNTM5NzYwMDRjMzkwZTVkZjY2ODkwMGIxNGU0OTUiLCJ1c2VySWQiOiI5NjMwMTc4MjIifQ==</vt:lpwstr>
  </property>
</Properties>
</file>