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282E2">
      <w:pPr>
        <w:ind w:firstLine="0" w:firstLineChars="0"/>
        <w:jc w:val="both"/>
        <w:rPr>
          <w:rFonts w:ascii="黑体" w:hAnsi="黑体" w:eastAsia="黑体"/>
          <w:sz w:val="28"/>
          <w:szCs w:val="28"/>
        </w:rPr>
      </w:pPr>
    </w:p>
    <w:p w14:paraId="7847B6F8">
      <w:pPr>
        <w:ind w:firstLine="0" w:firstLineChars="0"/>
        <w:jc w:val="center"/>
        <w:rPr>
          <w:rFonts w:ascii="黑体" w:hAnsi="黑体" w:eastAsia="黑体"/>
          <w:b/>
          <w:sz w:val="96"/>
          <w:szCs w:val="96"/>
        </w:rPr>
      </w:pPr>
      <w:r>
        <w:rPr>
          <w:rFonts w:hint="eastAsia" w:ascii="黑体" w:hAnsi="黑体" w:eastAsia="黑体"/>
          <w:b/>
          <w:sz w:val="96"/>
          <w:szCs w:val="96"/>
        </w:rPr>
        <w:t>武汉市东西湖区</w:t>
      </w:r>
    </w:p>
    <w:p w14:paraId="52558066">
      <w:pPr>
        <w:ind w:firstLine="0" w:firstLineChars="0"/>
        <w:jc w:val="center"/>
        <w:rPr>
          <w:rFonts w:ascii="黑体" w:hAnsi="黑体" w:eastAsia="黑体"/>
          <w:b/>
          <w:sz w:val="96"/>
          <w:szCs w:val="96"/>
        </w:rPr>
      </w:pPr>
      <w:r>
        <w:rPr>
          <w:rFonts w:hint="eastAsia" w:ascii="黑体" w:hAnsi="黑体" w:eastAsia="黑体"/>
          <w:b/>
          <w:sz w:val="96"/>
          <w:szCs w:val="96"/>
        </w:rPr>
        <w:t>区级政府采购</w:t>
      </w:r>
    </w:p>
    <w:p w14:paraId="09F7D117">
      <w:pPr>
        <w:ind w:firstLine="1920"/>
        <w:jc w:val="right"/>
        <w:rPr>
          <w:rFonts w:ascii="黑体" w:hAnsi="黑体" w:eastAsia="黑体"/>
          <w:sz w:val="96"/>
          <w:szCs w:val="96"/>
        </w:rPr>
      </w:pPr>
    </w:p>
    <w:p w14:paraId="592D3160">
      <w:pPr>
        <w:ind w:firstLine="1928"/>
        <w:rPr>
          <w:rFonts w:ascii="黑体" w:hAnsi="黑体" w:eastAsia="黑体"/>
          <w:b/>
          <w:sz w:val="96"/>
          <w:szCs w:val="96"/>
        </w:rPr>
      </w:pPr>
      <w:r>
        <w:rPr>
          <w:rFonts w:hint="eastAsia" w:ascii="黑体" w:hAnsi="黑体" w:eastAsia="黑体"/>
          <w:b/>
          <w:sz w:val="96"/>
          <w:szCs w:val="96"/>
        </w:rPr>
        <w:t>采购需求文件</w:t>
      </w:r>
    </w:p>
    <w:p w14:paraId="31B55367">
      <w:pPr>
        <w:ind w:firstLine="1440"/>
        <w:jc w:val="right"/>
        <w:rPr>
          <w:rFonts w:ascii="黑体" w:hAnsi="黑体" w:eastAsia="黑体"/>
          <w:sz w:val="72"/>
          <w:szCs w:val="72"/>
        </w:rPr>
      </w:pPr>
    </w:p>
    <w:p w14:paraId="3A622A2B">
      <w:pPr>
        <w:ind w:right="1306" w:rightChars="622" w:firstLine="1084" w:firstLineChars="300"/>
        <w:rPr>
          <w:rFonts w:hint="default" w:ascii="宋体" w:hAnsi="宋体" w:eastAsia="宋体"/>
          <w:color w:val="FF0000"/>
          <w:sz w:val="36"/>
          <w:szCs w:val="36"/>
          <w:lang w:val="en-US" w:eastAsia="zh-CN"/>
        </w:rPr>
      </w:pPr>
      <w:r>
        <w:rPr>
          <w:rFonts w:hint="eastAsia" w:ascii="宋体" w:hAnsi="宋体"/>
          <w:b/>
          <w:sz w:val="36"/>
          <w:szCs w:val="36"/>
        </w:rPr>
        <w:t>计划编号：WHLKZC-2025-002C（00714）</w:t>
      </w:r>
    </w:p>
    <w:p w14:paraId="69EE9031">
      <w:pPr>
        <w:ind w:left="2891" w:right="735" w:rightChars="350" w:hanging="2891" w:hangingChars="800"/>
        <w:rPr>
          <w:rFonts w:hint="eastAsia" w:ascii="宋体" w:hAnsi="宋体" w:eastAsia="宋体"/>
          <w:sz w:val="36"/>
          <w:szCs w:val="36"/>
          <w:lang w:val="en-US" w:eastAsia="zh-CN"/>
        </w:rPr>
      </w:pPr>
      <w:r>
        <w:rPr>
          <w:rFonts w:hint="eastAsia" w:ascii="宋体" w:hAnsi="宋体"/>
          <w:b/>
          <w:sz w:val="36"/>
          <w:szCs w:val="36"/>
        </w:rPr>
        <w:t xml:space="preserve">      项目名称：东西湖区水务和湖泊局机关大楼电梯更换</w:t>
      </w:r>
      <w:r>
        <w:rPr>
          <w:rFonts w:hint="eastAsia" w:ascii="宋体" w:hAnsi="宋体"/>
          <w:b/>
          <w:sz w:val="36"/>
          <w:szCs w:val="36"/>
          <w:lang w:eastAsia="zh-CN"/>
        </w:rPr>
        <w:t>竞争性谈判采购项目</w:t>
      </w:r>
    </w:p>
    <w:p w14:paraId="1BEF8344">
      <w:pPr>
        <w:ind w:left="2886" w:leftChars="342" w:right="735" w:rightChars="350" w:hanging="2168" w:hangingChars="600"/>
        <w:rPr>
          <w:rFonts w:hint="eastAsia" w:ascii="宋体" w:hAnsi="宋体" w:eastAsia="宋体"/>
          <w:color w:val="FF0000"/>
          <w:sz w:val="36"/>
          <w:szCs w:val="36"/>
          <w:lang w:val="en-US" w:eastAsia="zh-CN"/>
        </w:rPr>
      </w:pPr>
      <w:r>
        <w:rPr>
          <w:rFonts w:hint="eastAsia" w:ascii="宋体" w:hAnsi="宋体"/>
          <w:b/>
          <w:sz w:val="36"/>
          <w:szCs w:val="36"/>
        </w:rPr>
        <w:t xml:space="preserve">  招标内容：</w:t>
      </w:r>
      <w:r>
        <w:rPr>
          <w:rFonts w:hint="eastAsia" w:ascii="宋体" w:hAnsi="宋体"/>
          <w:b/>
          <w:sz w:val="36"/>
          <w:szCs w:val="36"/>
          <w:lang w:val="en-US" w:eastAsia="zh-CN"/>
        </w:rPr>
        <w:t>电梯</w:t>
      </w:r>
    </w:p>
    <w:p w14:paraId="4682CBFD">
      <w:pPr>
        <w:ind w:firstLine="0" w:firstLineChars="0"/>
        <w:jc w:val="both"/>
        <w:rPr>
          <w:rFonts w:ascii="黑体" w:hAnsi="黑体" w:eastAsia="黑体"/>
          <w:sz w:val="72"/>
          <w:szCs w:val="72"/>
        </w:rPr>
      </w:pPr>
    </w:p>
    <w:p w14:paraId="7FD6CA0F">
      <w:pPr>
        <w:ind w:firstLine="1446" w:firstLineChars="400"/>
        <w:jc w:val="both"/>
        <w:rPr>
          <w:rFonts w:hint="eastAsia" w:ascii="宋体" w:hAnsi="宋体" w:cs="Times New Roman"/>
          <w:sz w:val="36"/>
          <w:szCs w:val="36"/>
          <w:lang w:val="en-US" w:eastAsia="zh-CN"/>
        </w:rPr>
      </w:pPr>
      <w:r>
        <w:rPr>
          <w:rFonts w:ascii="宋体" w:hAnsi="宋体"/>
          <w:b/>
          <w:sz w:val="36"/>
          <w:szCs w:val="36"/>
        </w:rPr>
        <w:t>采购人：</w:t>
      </w:r>
      <w:r>
        <w:rPr>
          <w:rFonts w:hint="eastAsia" w:ascii="宋体" w:hAnsi="宋体"/>
          <w:b/>
          <w:sz w:val="36"/>
          <w:szCs w:val="36"/>
        </w:rPr>
        <w:t>武汉市东西湖区水务和湖泊局</w:t>
      </w:r>
    </w:p>
    <w:p w14:paraId="2B953767">
      <w:pPr>
        <w:pStyle w:val="3"/>
        <w:rPr>
          <w:rFonts w:hint="default"/>
          <w:lang w:val="en-US"/>
        </w:rPr>
      </w:pPr>
    </w:p>
    <w:p w14:paraId="30803F1C">
      <w:pPr>
        <w:ind w:firstLine="723"/>
        <w:jc w:val="both"/>
        <w:rPr>
          <w:rFonts w:hint="default" w:ascii="宋体" w:hAnsi="宋体" w:eastAsia="宋体"/>
          <w:b/>
          <w:sz w:val="36"/>
          <w:szCs w:val="36"/>
          <w:lang w:val="en-US" w:eastAsia="zh-CN"/>
        </w:rPr>
      </w:pPr>
      <w:r>
        <w:rPr>
          <w:rFonts w:hint="eastAsia" w:ascii="宋体" w:hAnsi="宋体"/>
          <w:b/>
          <w:sz w:val="36"/>
          <w:szCs w:val="36"/>
        </w:rPr>
        <w:t>提交时间：</w:t>
      </w:r>
      <w:r>
        <w:rPr>
          <w:rFonts w:hint="eastAsia" w:ascii="宋体" w:hAnsi="宋体"/>
          <w:b/>
          <w:sz w:val="36"/>
          <w:szCs w:val="36"/>
          <w:lang w:val="en-US" w:eastAsia="zh-CN"/>
        </w:rPr>
        <w:t>2025年04月</w:t>
      </w:r>
    </w:p>
    <w:p w14:paraId="5375FB8B">
      <w:pPr>
        <w:ind w:firstLine="723"/>
        <w:jc w:val="center"/>
        <w:rPr>
          <w:rFonts w:hint="eastAsia" w:ascii="宋体" w:hAnsi="宋体"/>
          <w:b/>
          <w:sz w:val="44"/>
          <w:szCs w:val="44"/>
        </w:rPr>
      </w:pPr>
    </w:p>
    <w:p w14:paraId="3C1F9727">
      <w:pPr>
        <w:ind w:firstLine="723"/>
        <w:jc w:val="center"/>
        <w:rPr>
          <w:rFonts w:hint="eastAsia" w:ascii="宋体" w:hAnsi="宋体"/>
          <w:b/>
          <w:sz w:val="44"/>
          <w:szCs w:val="44"/>
        </w:rPr>
      </w:pPr>
    </w:p>
    <w:p w14:paraId="687EB1EA">
      <w:pPr>
        <w:ind w:firstLine="723"/>
        <w:jc w:val="center"/>
        <w:rPr>
          <w:rFonts w:hint="eastAsia" w:ascii="宋体" w:hAnsi="宋体"/>
          <w:b/>
          <w:sz w:val="44"/>
          <w:szCs w:val="44"/>
        </w:rPr>
      </w:pPr>
    </w:p>
    <w:p w14:paraId="3464AE00">
      <w:pPr>
        <w:ind w:firstLine="723"/>
        <w:jc w:val="center"/>
        <w:rPr>
          <w:rFonts w:ascii="宋体" w:hAnsi="宋体"/>
          <w:b/>
          <w:sz w:val="44"/>
          <w:szCs w:val="44"/>
        </w:rPr>
      </w:pPr>
      <w:r>
        <w:rPr>
          <w:rFonts w:hint="eastAsia" w:ascii="宋体" w:hAnsi="宋体"/>
          <w:b/>
          <w:sz w:val="44"/>
          <w:szCs w:val="44"/>
        </w:rPr>
        <w:t>目  录</w:t>
      </w:r>
    </w:p>
    <w:p w14:paraId="0826D0B4">
      <w:pPr>
        <w:ind w:firstLine="883"/>
        <w:jc w:val="center"/>
        <w:rPr>
          <w:rFonts w:ascii="宋体" w:hAnsi="宋体"/>
          <w:b/>
          <w:sz w:val="44"/>
          <w:szCs w:val="44"/>
        </w:rPr>
      </w:pPr>
    </w:p>
    <w:p w14:paraId="2F1D407E">
      <w:pPr>
        <w:pStyle w:val="17"/>
        <w:tabs>
          <w:tab w:val="right" w:leader="dot" w:pos="9214"/>
        </w:tabs>
      </w:pPr>
      <w:r>
        <w:fldChar w:fldCharType="begin"/>
      </w:r>
      <w:r>
        <w:instrText xml:space="preserve"> TOC \o "1-3" \h \z \u </w:instrText>
      </w:r>
      <w:r>
        <w:fldChar w:fldCharType="separate"/>
      </w:r>
      <w:r>
        <w:fldChar w:fldCharType="begin"/>
      </w:r>
      <w:r>
        <w:instrText xml:space="preserve"> HYPERLINK \l _Toc17932 </w:instrText>
      </w:r>
      <w:r>
        <w:fldChar w:fldCharType="separate"/>
      </w:r>
      <w:r>
        <w:rPr>
          <w:rFonts w:hint="eastAsia"/>
        </w:rPr>
        <w:t>第一部分  供应商资格要求</w:t>
      </w:r>
      <w:r>
        <w:tab/>
      </w:r>
      <w:r>
        <w:fldChar w:fldCharType="begin"/>
      </w:r>
      <w:r>
        <w:instrText xml:space="preserve"> PAGEREF _Toc17932 \h </w:instrText>
      </w:r>
      <w:r>
        <w:fldChar w:fldCharType="separate"/>
      </w:r>
      <w:r>
        <w:t>3</w:t>
      </w:r>
      <w:r>
        <w:fldChar w:fldCharType="end"/>
      </w:r>
      <w:r>
        <w:fldChar w:fldCharType="end"/>
      </w:r>
    </w:p>
    <w:p w14:paraId="18724E45">
      <w:pPr>
        <w:pStyle w:val="17"/>
        <w:tabs>
          <w:tab w:val="right" w:leader="dot" w:pos="9214"/>
        </w:tabs>
      </w:pPr>
      <w:r>
        <w:rPr>
          <w:lang w:val="zh-CN"/>
        </w:rPr>
        <w:fldChar w:fldCharType="begin"/>
      </w:r>
      <w:r>
        <w:rPr>
          <w:lang w:val="zh-CN"/>
        </w:rPr>
        <w:instrText xml:space="preserve"> HYPERLINK \l _Toc30490 </w:instrText>
      </w:r>
      <w:r>
        <w:rPr>
          <w:lang w:val="zh-CN"/>
        </w:rPr>
        <w:fldChar w:fldCharType="separate"/>
      </w:r>
      <w:r>
        <w:rPr>
          <w:rFonts w:hint="eastAsia"/>
        </w:rPr>
        <w:t>第二部分  技术、服务及商务要求</w:t>
      </w:r>
      <w:r>
        <w:tab/>
      </w:r>
      <w:r>
        <w:fldChar w:fldCharType="begin"/>
      </w:r>
      <w:r>
        <w:instrText xml:space="preserve"> PAGEREF _Toc30490 \h </w:instrText>
      </w:r>
      <w:r>
        <w:fldChar w:fldCharType="separate"/>
      </w:r>
      <w:r>
        <w:t>4</w:t>
      </w:r>
      <w:r>
        <w:fldChar w:fldCharType="end"/>
      </w:r>
      <w:r>
        <w:rPr>
          <w:lang w:val="zh-CN"/>
        </w:rPr>
        <w:fldChar w:fldCharType="end"/>
      </w:r>
    </w:p>
    <w:p w14:paraId="7A80B4A2">
      <w:pPr>
        <w:pStyle w:val="18"/>
        <w:tabs>
          <w:tab w:val="right" w:leader="dot" w:pos="9214"/>
        </w:tabs>
      </w:pPr>
      <w:r>
        <w:rPr>
          <w:lang w:val="zh-CN"/>
        </w:rPr>
        <w:fldChar w:fldCharType="begin"/>
      </w:r>
      <w:r>
        <w:rPr>
          <w:lang w:val="zh-CN"/>
        </w:rPr>
        <w:instrText xml:space="preserve"> HYPERLINK \l _Toc3830 </w:instrText>
      </w:r>
      <w:r>
        <w:rPr>
          <w:lang w:val="zh-CN"/>
        </w:rPr>
        <w:fldChar w:fldCharType="separate"/>
      </w:r>
      <w:r>
        <w:rPr>
          <w:rFonts w:hint="eastAsia"/>
          <w:szCs w:val="30"/>
          <w:lang w:eastAsia="zh-CN"/>
        </w:rPr>
        <w:t>一</w:t>
      </w:r>
      <w:r>
        <w:rPr>
          <w:rFonts w:hint="eastAsia"/>
          <w:szCs w:val="30"/>
        </w:rPr>
        <w:t>、项目概述及简介</w:t>
      </w:r>
      <w:r>
        <w:tab/>
      </w:r>
      <w:r>
        <w:fldChar w:fldCharType="begin"/>
      </w:r>
      <w:r>
        <w:instrText xml:space="preserve"> PAGEREF _Toc3830 \h </w:instrText>
      </w:r>
      <w:r>
        <w:fldChar w:fldCharType="separate"/>
      </w:r>
      <w:r>
        <w:t>4</w:t>
      </w:r>
      <w:r>
        <w:fldChar w:fldCharType="end"/>
      </w:r>
      <w:r>
        <w:rPr>
          <w:lang w:val="zh-CN"/>
        </w:rPr>
        <w:fldChar w:fldCharType="end"/>
      </w:r>
    </w:p>
    <w:p w14:paraId="7300068B">
      <w:pPr>
        <w:pStyle w:val="18"/>
        <w:tabs>
          <w:tab w:val="right" w:leader="dot" w:pos="9214"/>
        </w:tabs>
      </w:pPr>
      <w:r>
        <w:rPr>
          <w:lang w:val="zh-CN"/>
        </w:rPr>
        <w:fldChar w:fldCharType="begin"/>
      </w:r>
      <w:r>
        <w:rPr>
          <w:lang w:val="zh-CN"/>
        </w:rPr>
        <w:instrText xml:space="preserve"> HYPERLINK \l _Toc11451 </w:instrText>
      </w:r>
      <w:r>
        <w:rPr>
          <w:lang w:val="zh-CN"/>
        </w:rPr>
        <w:fldChar w:fldCharType="separate"/>
      </w:r>
      <w:r>
        <w:rPr>
          <w:rFonts w:hint="eastAsia"/>
          <w:szCs w:val="30"/>
          <w:lang w:eastAsia="zh-CN"/>
        </w:rPr>
        <w:t>二、</w:t>
      </w:r>
      <w:r>
        <w:rPr>
          <w:rFonts w:hint="eastAsia"/>
          <w:szCs w:val="30"/>
        </w:rPr>
        <w:t>技术、服务要求</w:t>
      </w:r>
      <w:r>
        <w:tab/>
      </w:r>
      <w:r>
        <w:fldChar w:fldCharType="begin"/>
      </w:r>
      <w:r>
        <w:instrText xml:space="preserve"> PAGEREF _Toc11451 \h </w:instrText>
      </w:r>
      <w:r>
        <w:fldChar w:fldCharType="separate"/>
      </w:r>
      <w:r>
        <w:t>4</w:t>
      </w:r>
      <w:r>
        <w:fldChar w:fldCharType="end"/>
      </w:r>
      <w:r>
        <w:rPr>
          <w:lang w:val="zh-CN"/>
        </w:rPr>
        <w:fldChar w:fldCharType="end"/>
      </w:r>
    </w:p>
    <w:p w14:paraId="3668DB67">
      <w:pPr>
        <w:pStyle w:val="18"/>
        <w:tabs>
          <w:tab w:val="right" w:leader="dot" w:pos="9214"/>
        </w:tabs>
      </w:pPr>
      <w:r>
        <w:rPr>
          <w:lang w:val="zh-CN"/>
        </w:rPr>
        <w:fldChar w:fldCharType="begin"/>
      </w:r>
      <w:r>
        <w:rPr>
          <w:lang w:val="zh-CN"/>
        </w:rPr>
        <w:instrText xml:space="preserve"> HYPERLINK \l _Toc12299 </w:instrText>
      </w:r>
      <w:r>
        <w:rPr>
          <w:lang w:val="zh-CN"/>
        </w:rPr>
        <w:fldChar w:fldCharType="separate"/>
      </w:r>
      <w:r>
        <w:rPr>
          <w:rFonts w:hint="eastAsia"/>
          <w:szCs w:val="30"/>
          <w:lang w:eastAsia="zh-CN"/>
        </w:rPr>
        <w:t>三</w:t>
      </w:r>
      <w:r>
        <w:rPr>
          <w:rFonts w:hint="eastAsia"/>
          <w:szCs w:val="30"/>
        </w:rPr>
        <w:t>、商务要求</w:t>
      </w:r>
      <w:r>
        <w:tab/>
      </w:r>
      <w:r>
        <w:fldChar w:fldCharType="begin"/>
      </w:r>
      <w:r>
        <w:instrText xml:space="preserve"> PAGEREF _Toc12299 \h </w:instrText>
      </w:r>
      <w:r>
        <w:fldChar w:fldCharType="separate"/>
      </w:r>
      <w:r>
        <w:t>7</w:t>
      </w:r>
      <w:r>
        <w:fldChar w:fldCharType="end"/>
      </w:r>
      <w:r>
        <w:rPr>
          <w:lang w:val="zh-CN"/>
        </w:rPr>
        <w:fldChar w:fldCharType="end"/>
      </w:r>
    </w:p>
    <w:p w14:paraId="1BC0FA92">
      <w:pPr>
        <w:pStyle w:val="17"/>
        <w:tabs>
          <w:tab w:val="right" w:leader="dot" w:pos="9214"/>
        </w:tabs>
      </w:pPr>
      <w:r>
        <w:rPr>
          <w:lang w:val="zh-CN"/>
        </w:rPr>
        <w:fldChar w:fldCharType="begin"/>
      </w:r>
      <w:r>
        <w:rPr>
          <w:lang w:val="zh-CN"/>
        </w:rPr>
        <w:instrText xml:space="preserve"> HYPERLINK \l _Toc10803 </w:instrText>
      </w:r>
      <w:r>
        <w:rPr>
          <w:lang w:val="zh-CN"/>
        </w:rPr>
        <w:fldChar w:fldCharType="separate"/>
      </w:r>
      <w:r>
        <w:rPr>
          <w:rFonts w:hint="eastAsia"/>
          <w:lang w:val="en-US" w:eastAsia="zh-CN"/>
        </w:rPr>
        <w:t>第三部分 政府采购合同模版</w:t>
      </w:r>
      <w:r>
        <w:tab/>
      </w:r>
      <w:r>
        <w:fldChar w:fldCharType="begin"/>
      </w:r>
      <w:r>
        <w:instrText xml:space="preserve"> PAGEREF _Toc10803 \h </w:instrText>
      </w:r>
      <w:r>
        <w:fldChar w:fldCharType="separate"/>
      </w:r>
      <w:r>
        <w:t>8</w:t>
      </w:r>
      <w:r>
        <w:fldChar w:fldCharType="end"/>
      </w:r>
      <w:r>
        <w:rPr>
          <w:lang w:val="zh-CN"/>
        </w:rPr>
        <w:fldChar w:fldCharType="end"/>
      </w:r>
    </w:p>
    <w:p w14:paraId="50C35632">
      <w:pPr>
        <w:ind w:left="0" w:leftChars="0" w:firstLine="0" w:firstLineChars="0"/>
        <w:rPr>
          <w:rFonts w:ascii="宋体" w:hAnsi="宋体"/>
          <w:b/>
          <w:sz w:val="36"/>
          <w:szCs w:val="36"/>
        </w:rPr>
      </w:pPr>
      <w:r>
        <w:rPr>
          <w:lang w:val="zh-CN"/>
        </w:rPr>
        <w:fldChar w:fldCharType="end"/>
      </w:r>
    </w:p>
    <w:p w14:paraId="3BB2ACE8">
      <w:pPr>
        <w:ind w:firstLine="723"/>
        <w:jc w:val="center"/>
        <w:rPr>
          <w:rFonts w:hint="eastAsia" w:ascii="黑体" w:hAnsi="黑体" w:eastAsia="黑体"/>
          <w:b/>
          <w:sz w:val="36"/>
          <w:szCs w:val="36"/>
        </w:rPr>
      </w:pPr>
    </w:p>
    <w:p w14:paraId="5B80AAE6">
      <w:pPr>
        <w:ind w:firstLine="723"/>
        <w:jc w:val="center"/>
        <w:rPr>
          <w:rFonts w:hint="eastAsia" w:ascii="黑体" w:hAnsi="黑体" w:eastAsia="黑体"/>
          <w:b/>
          <w:sz w:val="36"/>
          <w:szCs w:val="36"/>
        </w:rPr>
      </w:pPr>
    </w:p>
    <w:p w14:paraId="052BC230">
      <w:pPr>
        <w:ind w:firstLine="723"/>
        <w:jc w:val="center"/>
        <w:rPr>
          <w:rFonts w:hint="eastAsia" w:ascii="黑体" w:hAnsi="黑体" w:eastAsia="黑体"/>
          <w:b/>
          <w:sz w:val="36"/>
          <w:szCs w:val="36"/>
        </w:rPr>
      </w:pPr>
    </w:p>
    <w:p w14:paraId="7E704E5B">
      <w:pPr>
        <w:ind w:firstLine="723"/>
        <w:jc w:val="center"/>
        <w:rPr>
          <w:rFonts w:hint="eastAsia" w:ascii="黑体" w:hAnsi="黑体" w:eastAsia="黑体"/>
          <w:b/>
          <w:sz w:val="36"/>
          <w:szCs w:val="36"/>
        </w:rPr>
      </w:pPr>
    </w:p>
    <w:p w14:paraId="4C41A622">
      <w:pPr>
        <w:ind w:firstLine="723"/>
        <w:jc w:val="center"/>
        <w:rPr>
          <w:rFonts w:hint="eastAsia" w:ascii="黑体" w:hAnsi="黑体" w:eastAsia="黑体"/>
          <w:b/>
          <w:sz w:val="36"/>
          <w:szCs w:val="36"/>
        </w:rPr>
      </w:pPr>
    </w:p>
    <w:p w14:paraId="60790553">
      <w:pPr>
        <w:ind w:firstLine="723"/>
        <w:jc w:val="center"/>
        <w:rPr>
          <w:rFonts w:hint="eastAsia" w:ascii="黑体" w:hAnsi="黑体" w:eastAsia="黑体"/>
          <w:b/>
          <w:sz w:val="36"/>
          <w:szCs w:val="36"/>
        </w:rPr>
      </w:pPr>
    </w:p>
    <w:p w14:paraId="74CC70C8">
      <w:pPr>
        <w:ind w:firstLine="723"/>
        <w:jc w:val="center"/>
        <w:rPr>
          <w:rFonts w:hint="eastAsia" w:ascii="黑体" w:hAnsi="黑体" w:eastAsia="黑体"/>
          <w:b/>
          <w:sz w:val="36"/>
          <w:szCs w:val="36"/>
        </w:rPr>
      </w:pPr>
    </w:p>
    <w:p w14:paraId="56DE14FB">
      <w:pPr>
        <w:ind w:firstLine="723"/>
        <w:jc w:val="center"/>
        <w:rPr>
          <w:rFonts w:hint="eastAsia" w:ascii="黑体" w:hAnsi="黑体" w:eastAsia="黑体"/>
          <w:b/>
          <w:sz w:val="36"/>
          <w:szCs w:val="36"/>
        </w:rPr>
      </w:pPr>
    </w:p>
    <w:p w14:paraId="084B9D6F">
      <w:pPr>
        <w:ind w:firstLine="723"/>
        <w:jc w:val="center"/>
        <w:rPr>
          <w:rFonts w:hint="eastAsia" w:ascii="黑体" w:hAnsi="黑体" w:eastAsia="黑体"/>
          <w:b/>
          <w:sz w:val="36"/>
          <w:szCs w:val="36"/>
        </w:rPr>
      </w:pPr>
    </w:p>
    <w:p w14:paraId="06B187F3">
      <w:pPr>
        <w:ind w:firstLine="723"/>
        <w:jc w:val="center"/>
        <w:rPr>
          <w:rFonts w:hint="eastAsia" w:ascii="黑体" w:hAnsi="黑体" w:eastAsia="黑体"/>
          <w:b/>
          <w:sz w:val="36"/>
          <w:szCs w:val="36"/>
        </w:rPr>
      </w:pPr>
    </w:p>
    <w:p w14:paraId="37630927">
      <w:pPr>
        <w:ind w:firstLine="723"/>
        <w:jc w:val="center"/>
        <w:rPr>
          <w:rFonts w:hint="eastAsia" w:ascii="黑体" w:hAnsi="黑体" w:eastAsia="黑体"/>
          <w:b/>
          <w:sz w:val="36"/>
          <w:szCs w:val="36"/>
        </w:rPr>
      </w:pPr>
    </w:p>
    <w:p w14:paraId="6CAE0309">
      <w:pPr>
        <w:ind w:firstLine="723"/>
        <w:jc w:val="center"/>
        <w:rPr>
          <w:rFonts w:hint="eastAsia" w:ascii="黑体" w:hAnsi="黑体" w:eastAsia="黑体"/>
          <w:b/>
          <w:sz w:val="36"/>
          <w:szCs w:val="36"/>
        </w:rPr>
      </w:pPr>
    </w:p>
    <w:p w14:paraId="7E68A676">
      <w:pPr>
        <w:ind w:firstLine="723"/>
        <w:jc w:val="center"/>
        <w:rPr>
          <w:rFonts w:hint="eastAsia" w:ascii="黑体" w:hAnsi="黑体" w:eastAsia="黑体"/>
          <w:b/>
          <w:sz w:val="36"/>
          <w:szCs w:val="36"/>
        </w:rPr>
      </w:pPr>
      <w:r>
        <w:rPr>
          <w:rFonts w:hint="eastAsia" w:ascii="黑体" w:hAnsi="黑体" w:eastAsia="黑体"/>
          <w:b/>
          <w:sz w:val="36"/>
          <w:szCs w:val="36"/>
        </w:rPr>
        <w:t>采购需求</w:t>
      </w:r>
    </w:p>
    <w:p w14:paraId="745E5390">
      <w:pPr>
        <w:ind w:firstLine="723"/>
        <w:jc w:val="left"/>
        <w:rPr>
          <w:rFonts w:ascii="宋体" w:hAnsi="宋体"/>
          <w:color w:val="000000" w:themeColor="text1"/>
          <w:sz w:val="24"/>
          <w:szCs w:val="24"/>
          <w14:textFill>
            <w14:solidFill>
              <w14:schemeClr w14:val="tx1"/>
            </w14:solidFill>
          </w14:textFill>
        </w:rPr>
      </w:pPr>
      <w:r>
        <w:rPr>
          <w:rFonts w:ascii="宋体" w:hAnsi="宋体"/>
          <w:sz w:val="24"/>
          <w:szCs w:val="24"/>
        </w:rPr>
        <w:t>依据</w:t>
      </w:r>
      <w:r>
        <w:rPr>
          <w:rFonts w:hint="eastAsia" w:ascii="宋体" w:hAnsi="宋体" w:cs="宋体"/>
          <w:color w:val="333333"/>
          <w:kern w:val="0"/>
          <w:sz w:val="24"/>
          <w:szCs w:val="24"/>
          <w:shd w:val="clear" w:color="auto" w:fill="FFFFFF"/>
        </w:rPr>
        <w:t>武汉市东西湖区财政局计划函号</w:t>
      </w:r>
      <w:r>
        <w:rPr>
          <w:rFonts w:hint="eastAsia" w:ascii="宋体" w:hAnsi="宋体"/>
          <w:sz w:val="24"/>
          <w:szCs w:val="24"/>
          <w:u w:val="single"/>
          <w:lang w:val="en-US" w:eastAsia="zh-CN"/>
        </w:rPr>
        <w:t xml:space="preserve"> 420112-2025-00714  </w:t>
      </w:r>
      <w:r>
        <w:rPr>
          <w:rFonts w:hint="eastAsia" w:ascii="宋体" w:hAnsi="宋体" w:cs="宋体"/>
          <w:color w:val="333333"/>
          <w:kern w:val="0"/>
          <w:sz w:val="24"/>
          <w:szCs w:val="24"/>
          <w:shd w:val="clear" w:color="auto" w:fill="FFFFFF"/>
        </w:rPr>
        <w:t>备案单的要求</w:t>
      </w:r>
      <w:r>
        <w:rPr>
          <w:rFonts w:ascii="宋体" w:hAnsi="宋体"/>
          <w:sz w:val="24"/>
          <w:szCs w:val="24"/>
        </w:rPr>
        <w:t>，</w:t>
      </w:r>
      <w:r>
        <w:rPr>
          <w:rFonts w:hint="eastAsia" w:ascii="宋体" w:hAnsi="宋体"/>
          <w:sz w:val="24"/>
          <w:szCs w:val="24"/>
        </w:rPr>
        <w:t>现委托武汉市东西湖区政府</w:t>
      </w:r>
      <w:r>
        <w:rPr>
          <w:rFonts w:ascii="宋体" w:hAnsi="宋体"/>
          <w:sz w:val="24"/>
          <w:szCs w:val="24"/>
        </w:rPr>
        <w:t>采购中心</w:t>
      </w:r>
      <w:r>
        <w:rPr>
          <w:rFonts w:hint="eastAsia" w:ascii="宋体" w:hAnsi="宋体" w:cs="宋体"/>
          <w:color w:val="333333"/>
          <w:kern w:val="0"/>
          <w:sz w:val="24"/>
          <w:szCs w:val="24"/>
          <w:shd w:val="clear" w:color="auto" w:fill="FFFFFF"/>
        </w:rPr>
        <w:t>就</w:t>
      </w:r>
      <w:r>
        <w:rPr>
          <w:rFonts w:hint="eastAsia" w:ascii="宋体" w:hAnsi="宋体" w:cs="宋体"/>
          <w:color w:val="333333"/>
          <w:kern w:val="0"/>
          <w:sz w:val="24"/>
          <w:szCs w:val="24"/>
          <w:u w:val="single"/>
          <w:shd w:val="clear" w:color="auto" w:fill="FFFFFF"/>
          <w:lang w:eastAsia="zh-CN"/>
        </w:rPr>
        <w:t>武汉市东西湖区</w:t>
      </w:r>
      <w:r>
        <w:rPr>
          <w:rFonts w:hint="eastAsia" w:ascii="宋体" w:hAnsi="宋体" w:cs="宋体"/>
          <w:color w:val="333333"/>
          <w:kern w:val="0"/>
          <w:sz w:val="24"/>
          <w:szCs w:val="24"/>
          <w:u w:val="single"/>
          <w:shd w:val="clear" w:color="auto" w:fill="FFFFFF"/>
          <w:lang w:val="en-US" w:eastAsia="zh-CN"/>
        </w:rPr>
        <w:t>水务和湖泊局机关大楼电梯更换</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采购项目</w:t>
      </w:r>
      <w:r>
        <w:rPr>
          <w:rFonts w:ascii="宋体" w:hAnsi="宋体"/>
          <w:color w:val="000000" w:themeColor="text1"/>
          <w:sz w:val="24"/>
          <w:szCs w:val="24"/>
          <w14:textFill>
            <w14:solidFill>
              <w14:schemeClr w14:val="tx1"/>
            </w14:solidFill>
          </w14:textFill>
        </w:rPr>
        <w:t>进行</w:t>
      </w:r>
      <w:r>
        <w:rPr>
          <w:rFonts w:hint="eastAsia" w:ascii="宋体" w:hAnsi="宋体"/>
          <w:color w:val="auto"/>
          <w:sz w:val="24"/>
          <w:szCs w:val="24"/>
          <w:lang w:val="en-US" w:eastAsia="zh-CN"/>
        </w:rPr>
        <w:t>竞争性谈判</w:t>
      </w:r>
      <w:r>
        <w:rPr>
          <w:rFonts w:ascii="宋体" w:hAnsi="宋体"/>
          <w:color w:val="000000" w:themeColor="text1"/>
          <w:sz w:val="24"/>
          <w:szCs w:val="24"/>
          <w14:textFill>
            <w14:solidFill>
              <w14:schemeClr w14:val="tx1"/>
            </w14:solidFill>
          </w14:textFill>
        </w:rPr>
        <w:t>采购。本项目采购预算：</w:t>
      </w:r>
      <w:r>
        <w:rPr>
          <w:rFonts w:hint="eastAsia" w:ascii="宋体" w:hAnsi="宋体"/>
          <w:color w:val="000000" w:themeColor="text1"/>
          <w:sz w:val="24"/>
          <w:szCs w:val="24"/>
          <w14:textFill>
            <w14:solidFill>
              <w14:schemeClr w14:val="tx1"/>
            </w14:solidFill>
          </w14:textFill>
        </w:rPr>
        <w:t>人民币</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333333"/>
          <w:kern w:val="0"/>
          <w:sz w:val="24"/>
          <w:szCs w:val="24"/>
          <w:u w:val="single"/>
          <w:shd w:val="clear" w:color="auto" w:fill="FFFFFF"/>
          <w:lang w:val="en-US" w:eastAsia="zh-CN"/>
        </w:rPr>
        <w:t xml:space="preserve">20 </w:t>
      </w:r>
      <w:r>
        <w:rPr>
          <w:rFonts w:ascii="宋体" w:hAnsi="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w:t>
      </w:r>
    </w:p>
    <w:p w14:paraId="3910472A">
      <w:pPr>
        <w:pStyle w:val="2"/>
        <w:ind w:firstLine="643"/>
        <w:jc w:val="center"/>
        <w:rPr>
          <w:rFonts w:ascii="宋体" w:hAnsi="宋体"/>
          <w:sz w:val="24"/>
          <w:szCs w:val="24"/>
        </w:rPr>
      </w:pPr>
      <w:bookmarkStart w:id="0" w:name="_Toc17932"/>
      <w:bookmarkStart w:id="1" w:name="_Toc1458930"/>
      <w:r>
        <w:rPr>
          <w:rFonts w:hint="eastAsia"/>
        </w:rPr>
        <w:t>第一部分  供应商资格要求</w:t>
      </w:r>
      <w:bookmarkEnd w:id="0"/>
      <w:bookmarkEnd w:id="1"/>
    </w:p>
    <w:p w14:paraId="7FB9B18F">
      <w:pPr>
        <w:pStyle w:val="31"/>
        <w:ind w:firstLine="480"/>
        <w:rPr>
          <w:rFonts w:ascii="宋体" w:hAnsi="宋体"/>
          <w:sz w:val="24"/>
          <w:szCs w:val="24"/>
        </w:rPr>
      </w:pPr>
      <w:r>
        <w:rPr>
          <w:rFonts w:hint="eastAsia" w:ascii="宋体" w:hAnsi="宋体"/>
          <w:sz w:val="24"/>
          <w:szCs w:val="24"/>
        </w:rPr>
        <w:t>（一）基本资格要求：</w:t>
      </w:r>
    </w:p>
    <w:p w14:paraId="540ABB20">
      <w:pPr>
        <w:pStyle w:val="31"/>
        <w:ind w:firstLine="480"/>
        <w:rPr>
          <w:rFonts w:ascii="宋体" w:hAnsi="宋体"/>
          <w:sz w:val="24"/>
          <w:szCs w:val="24"/>
        </w:rPr>
      </w:pPr>
      <w:r>
        <w:rPr>
          <w:rFonts w:hint="eastAsia" w:ascii="宋体" w:hAnsi="宋体"/>
          <w:sz w:val="24"/>
          <w:szCs w:val="24"/>
        </w:rPr>
        <w:t>1.满足《中华人民共和国政府采购法》第二十二条规定，即：</w:t>
      </w:r>
    </w:p>
    <w:p w14:paraId="1A4BA76E">
      <w:pPr>
        <w:pStyle w:val="31"/>
        <w:ind w:firstLine="480"/>
        <w:rPr>
          <w:rFonts w:ascii="宋体" w:hAnsi="宋体"/>
          <w:sz w:val="24"/>
          <w:szCs w:val="24"/>
        </w:rPr>
      </w:pPr>
      <w:r>
        <w:rPr>
          <w:rFonts w:hint="eastAsia" w:ascii="宋体" w:hAnsi="宋体"/>
          <w:sz w:val="24"/>
          <w:szCs w:val="24"/>
        </w:rPr>
        <w:t>（1）具有独立承担民事责任的能力；</w:t>
      </w:r>
    </w:p>
    <w:p w14:paraId="0357A61E">
      <w:pPr>
        <w:pStyle w:val="31"/>
        <w:ind w:firstLine="480"/>
        <w:rPr>
          <w:rFonts w:ascii="宋体" w:hAnsi="宋体"/>
          <w:sz w:val="24"/>
          <w:szCs w:val="24"/>
        </w:rPr>
      </w:pPr>
      <w:r>
        <w:rPr>
          <w:rFonts w:hint="eastAsia" w:ascii="宋体" w:hAnsi="宋体"/>
          <w:sz w:val="24"/>
          <w:szCs w:val="24"/>
        </w:rPr>
        <w:t>（2）具有良好的商业信誉和健全的财务会计制度；</w:t>
      </w:r>
    </w:p>
    <w:p w14:paraId="0DF63125">
      <w:pPr>
        <w:pStyle w:val="31"/>
        <w:ind w:firstLine="480"/>
        <w:rPr>
          <w:rFonts w:ascii="宋体" w:hAnsi="宋体"/>
          <w:sz w:val="24"/>
          <w:szCs w:val="24"/>
        </w:rPr>
      </w:pPr>
      <w:r>
        <w:rPr>
          <w:rFonts w:hint="eastAsia" w:ascii="宋体" w:hAnsi="宋体"/>
          <w:sz w:val="24"/>
          <w:szCs w:val="24"/>
        </w:rPr>
        <w:t>（3）具有履行合同所必需的设备和专业技术能力；</w:t>
      </w:r>
    </w:p>
    <w:p w14:paraId="6C0D54CF">
      <w:pPr>
        <w:pStyle w:val="31"/>
        <w:ind w:firstLine="480"/>
        <w:rPr>
          <w:rFonts w:ascii="宋体" w:hAnsi="宋体"/>
          <w:sz w:val="24"/>
          <w:szCs w:val="24"/>
        </w:rPr>
      </w:pPr>
      <w:r>
        <w:rPr>
          <w:rFonts w:hint="eastAsia" w:ascii="宋体" w:hAnsi="宋体"/>
          <w:sz w:val="24"/>
          <w:szCs w:val="24"/>
        </w:rPr>
        <w:t>（4）有依法缴纳税收和社会保障资金的良好记录；</w:t>
      </w:r>
    </w:p>
    <w:p w14:paraId="268C04E9">
      <w:pPr>
        <w:pStyle w:val="31"/>
        <w:ind w:firstLine="480"/>
        <w:rPr>
          <w:rFonts w:ascii="宋体" w:hAnsi="宋体"/>
          <w:sz w:val="24"/>
          <w:szCs w:val="24"/>
        </w:rPr>
      </w:pPr>
      <w:r>
        <w:rPr>
          <w:rFonts w:hint="eastAsia" w:ascii="宋体" w:hAnsi="宋体"/>
          <w:sz w:val="24"/>
          <w:szCs w:val="24"/>
        </w:rPr>
        <w:t>（5）参加政府采购活动前三年内，在经营活动中没有重大违法记录；</w:t>
      </w:r>
    </w:p>
    <w:p w14:paraId="50C7319C">
      <w:pPr>
        <w:pStyle w:val="31"/>
        <w:ind w:firstLine="480"/>
        <w:rPr>
          <w:rFonts w:ascii="宋体" w:hAnsi="宋体"/>
          <w:sz w:val="24"/>
          <w:szCs w:val="24"/>
        </w:rPr>
      </w:pPr>
      <w:r>
        <w:rPr>
          <w:rFonts w:hint="eastAsia" w:ascii="宋体" w:hAnsi="宋体"/>
          <w:sz w:val="24"/>
          <w:szCs w:val="24"/>
        </w:rPr>
        <w:t>（6）法律、行政法规规定的其他条件。</w:t>
      </w:r>
    </w:p>
    <w:p w14:paraId="6C786997">
      <w:pPr>
        <w:pStyle w:val="31"/>
        <w:ind w:firstLine="480"/>
        <w:rPr>
          <w:rFonts w:ascii="宋体" w:hAnsi="宋体"/>
          <w:sz w:val="24"/>
          <w:szCs w:val="24"/>
        </w:rPr>
      </w:pPr>
      <w:r>
        <w:rPr>
          <w:rFonts w:hint="eastAsia" w:ascii="宋体" w:hAnsi="宋体"/>
          <w:sz w:val="24"/>
          <w:szCs w:val="24"/>
        </w:rPr>
        <w:t>2.单位负责人为同一人或者存在直接控股、管理关系的不同投标人，不得参加本项目同一合同项下的政府采购活动。</w:t>
      </w:r>
    </w:p>
    <w:p w14:paraId="7ED316F0">
      <w:pPr>
        <w:pStyle w:val="31"/>
        <w:ind w:firstLine="480"/>
        <w:rPr>
          <w:rFonts w:ascii="宋体" w:hAnsi="宋体"/>
          <w:sz w:val="24"/>
          <w:szCs w:val="24"/>
        </w:rPr>
      </w:pPr>
      <w:r>
        <w:rPr>
          <w:rFonts w:hint="eastAsia" w:ascii="宋体" w:hAnsi="宋体"/>
          <w:sz w:val="24"/>
          <w:szCs w:val="24"/>
        </w:rPr>
        <w:t>3.为本采购项目提供整体设计、规范编制或者项目管理、监理、检测等服务的，不得再参加本项目的其他招标采购活动。</w:t>
      </w:r>
    </w:p>
    <w:p w14:paraId="07B850BB">
      <w:pPr>
        <w:pStyle w:val="31"/>
        <w:ind w:firstLine="480"/>
        <w:rPr>
          <w:rFonts w:hint="eastAsia" w:ascii="宋体" w:hAnsi="宋体"/>
          <w:sz w:val="24"/>
          <w:szCs w:val="24"/>
        </w:rPr>
      </w:pPr>
      <w:r>
        <w:rPr>
          <w:rFonts w:hint="eastAsia" w:ascii="宋体" w:hAnsi="宋体"/>
          <w:sz w:val="24"/>
          <w:szCs w:val="24"/>
        </w:rPr>
        <w:t>4.未被列入失信被执行人、重大税收违法案件当事人名单，未被列入政府采购严重违法失信行为记录名单。</w:t>
      </w:r>
    </w:p>
    <w:p w14:paraId="363555D9">
      <w:pPr>
        <w:pStyle w:val="31"/>
        <w:ind w:firstLine="480"/>
        <w:rPr>
          <w:rFonts w:hint="default" w:ascii="宋体" w:hAnsi="宋体" w:eastAsia="宋体"/>
          <w:sz w:val="24"/>
          <w:szCs w:val="24"/>
          <w:highlight w:val="none"/>
          <w:lang w:val="en-US" w:eastAsia="zh-CN"/>
        </w:rPr>
      </w:pPr>
      <w:r>
        <w:rPr>
          <w:rFonts w:hint="eastAsia" w:ascii="宋体" w:hAnsi="宋体"/>
          <w:sz w:val="24"/>
          <w:szCs w:val="24"/>
        </w:rPr>
        <w:t>（二）</w:t>
      </w:r>
      <w:bookmarkStart w:id="13" w:name="_GoBack"/>
      <w:r>
        <w:rPr>
          <w:rFonts w:hint="eastAsia" w:ascii="宋体" w:hAnsi="宋体"/>
          <w:b/>
          <w:bCs/>
          <w:sz w:val="24"/>
          <w:szCs w:val="24"/>
        </w:rPr>
        <w:t>落实政府采购政策需满足的资格要求</w:t>
      </w:r>
      <w:bookmarkEnd w:id="13"/>
      <w:r>
        <w:rPr>
          <w:rFonts w:hint="eastAsia" w:ascii="宋体" w:hAnsi="宋体"/>
          <w:sz w:val="24"/>
          <w:szCs w:val="24"/>
          <w:lang w:val="en-US" w:eastAsia="zh-CN"/>
        </w:rPr>
        <w:t>:</w:t>
      </w:r>
      <w:r>
        <w:rPr>
          <w:rFonts w:hint="eastAsia" w:ascii="宋体" w:hAnsi="宋体"/>
          <w:sz w:val="24"/>
          <w:szCs w:val="24"/>
          <w:highlight w:val="none"/>
          <w:lang w:val="en-US" w:eastAsia="zh-CN"/>
        </w:rPr>
        <w:t>无</w:t>
      </w:r>
    </w:p>
    <w:p w14:paraId="0A2E05DF">
      <w:pPr>
        <w:pStyle w:val="31"/>
        <w:ind w:firstLine="480"/>
        <w:rPr>
          <w:rFonts w:hint="eastAsia" w:ascii="宋体" w:hAnsi="宋体"/>
          <w:sz w:val="24"/>
          <w:szCs w:val="24"/>
        </w:rPr>
      </w:pPr>
      <w:r>
        <w:rPr>
          <w:rFonts w:hint="eastAsia" w:ascii="宋体" w:hAnsi="宋体"/>
          <w:sz w:val="24"/>
          <w:szCs w:val="24"/>
        </w:rPr>
        <w:t>（三）</w:t>
      </w:r>
      <w:r>
        <w:rPr>
          <w:rFonts w:hint="eastAsia" w:ascii="宋体" w:hAnsi="宋体"/>
          <w:b/>
          <w:bCs/>
          <w:sz w:val="24"/>
          <w:szCs w:val="24"/>
        </w:rPr>
        <w:t>本项目的</w:t>
      </w:r>
      <w:r>
        <w:rPr>
          <w:rFonts w:hint="eastAsia" w:ascii="宋体" w:hAnsi="宋体"/>
          <w:b/>
          <w:sz w:val="24"/>
          <w:szCs w:val="24"/>
        </w:rPr>
        <w:t>特定资格要求</w:t>
      </w:r>
      <w:r>
        <w:rPr>
          <w:rFonts w:hint="eastAsia" w:ascii="宋体" w:hAnsi="宋体"/>
          <w:sz w:val="24"/>
          <w:szCs w:val="24"/>
        </w:rPr>
        <w:t>：</w:t>
      </w:r>
      <w:bookmarkStart w:id="2" w:name="_Toc1458931"/>
    </w:p>
    <w:p w14:paraId="345DABB5">
      <w:pPr>
        <w:widowControl/>
        <w:snapToGrid w:val="0"/>
        <w:spacing w:line="52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应商如为电梯设备制造商，须具有有效的《中华人民共和国特种设备制造许可证》（老证，有效期内）乘客电梯A级及以上或具有《中华人民共和国特种设备生产许可证》（新证）制造许可子项包含曳引驱动乘客电梯（含消防员电梯）A2级及以上；供应商为电梯设备代理商的，代理商须具有有效的《中华人民共和国特种设备安装维修许可证》（老证，有效期内）或《中华人民共和国特种设备生产许可证》（新证），且拟投电梯设备制造商须具有有效的《中华人民共和国特种设备制造许可证》（老证，有效期内）乘客电梯A级及以上或具有《中华人民共和国特种设备生产许可证》（新证）制造许可子项包含曳引驱动乘客电梯（含消防员电梯）A2级及以上。</w:t>
      </w:r>
    </w:p>
    <w:p w14:paraId="6C4617D5">
      <w:pPr>
        <w:pStyle w:val="31"/>
        <w:ind w:left="0" w:leftChars="0" w:firstLine="0" w:firstLineChars="0"/>
        <w:rPr>
          <w:rFonts w:hint="eastAsia" w:ascii="宋体" w:hAnsi="宋体"/>
          <w:sz w:val="24"/>
          <w:szCs w:val="24"/>
          <w:lang w:eastAsia="zh-CN"/>
        </w:rPr>
      </w:pPr>
    </w:p>
    <w:p w14:paraId="766C1808">
      <w:pPr>
        <w:pStyle w:val="2"/>
        <w:ind w:firstLine="643"/>
        <w:jc w:val="center"/>
        <w:rPr>
          <w:rFonts w:hint="eastAsia"/>
        </w:rPr>
      </w:pPr>
      <w:bookmarkStart w:id="3" w:name="_Toc30490"/>
      <w:r>
        <w:rPr>
          <w:rFonts w:hint="eastAsia"/>
        </w:rPr>
        <w:t xml:space="preserve">第二部分  </w:t>
      </w:r>
      <w:bookmarkStart w:id="4" w:name="_Toc509997285"/>
      <w:bookmarkStart w:id="5" w:name="_Toc1421483"/>
      <w:r>
        <w:rPr>
          <w:rFonts w:hint="eastAsia"/>
        </w:rPr>
        <w:t>技术、服务及商务要求</w:t>
      </w:r>
      <w:bookmarkEnd w:id="2"/>
      <w:bookmarkEnd w:id="3"/>
      <w:bookmarkEnd w:id="4"/>
      <w:bookmarkEnd w:id="5"/>
      <w:bookmarkStart w:id="6" w:name="_Toc1458935"/>
    </w:p>
    <w:p w14:paraId="1A243B65">
      <w:pPr>
        <w:pStyle w:val="3"/>
        <w:ind w:left="0" w:leftChars="0" w:firstLine="0" w:firstLineChars="0"/>
        <w:rPr>
          <w:sz w:val="30"/>
          <w:szCs w:val="30"/>
        </w:rPr>
      </w:pPr>
      <w:bookmarkStart w:id="7" w:name="_Toc3830"/>
      <w:r>
        <w:rPr>
          <w:rFonts w:hint="eastAsia"/>
          <w:sz w:val="30"/>
          <w:szCs w:val="30"/>
          <w:lang w:eastAsia="zh-CN"/>
        </w:rPr>
        <w:t>一</w:t>
      </w:r>
      <w:r>
        <w:rPr>
          <w:rFonts w:hint="eastAsia"/>
          <w:sz w:val="30"/>
          <w:szCs w:val="30"/>
        </w:rPr>
        <w:t>、</w:t>
      </w:r>
      <w:bookmarkStart w:id="8" w:name="_Toc1421485"/>
      <w:r>
        <w:rPr>
          <w:rFonts w:hint="eastAsia"/>
          <w:sz w:val="30"/>
          <w:szCs w:val="30"/>
        </w:rPr>
        <w:t>项目概述及简介</w:t>
      </w:r>
      <w:bookmarkEnd w:id="7"/>
      <w:bookmarkEnd w:id="8"/>
    </w:p>
    <w:p w14:paraId="3C3DC86A">
      <w:pPr>
        <w:ind w:left="1920" w:right="735" w:rightChars="350" w:hanging="1920" w:hangingChars="800"/>
        <w:rPr>
          <w:rFonts w:hint="eastAsia" w:ascii="宋体" w:hAnsi="宋体" w:cs="宋体"/>
          <w:sz w:val="24"/>
          <w:szCs w:val="24"/>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项目名称：东西湖区水务和湖泊局机关大楼电梯更换项目</w:t>
      </w:r>
    </w:p>
    <w:p w14:paraId="3977F5CC">
      <w:pPr>
        <w:spacing w:after="33"/>
        <w:ind w:left="0" w:leftChars="0" w:right="1" w:firstLine="0" w:firstLineChars="0"/>
        <w:rPr>
          <w:rFonts w:hint="eastAsia" w:ascii="宋体" w:hAnsi="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zh-CN"/>
        </w:rPr>
        <w:t>项目概况</w:t>
      </w:r>
      <w:r>
        <w:rPr>
          <w:rFonts w:hint="eastAsia" w:ascii="宋体" w:hAnsi="宋体"/>
          <w:kern w:val="0"/>
          <w:sz w:val="24"/>
          <w:szCs w:val="24"/>
          <w:lang w:val="zh-CN"/>
        </w:rPr>
        <w:t>：</w:t>
      </w:r>
      <w:r>
        <w:rPr>
          <w:rFonts w:hint="eastAsia" w:ascii="宋体" w:hAnsi="宋体" w:cs="宋体"/>
          <w:sz w:val="24"/>
          <w:szCs w:val="24"/>
          <w:lang w:val="zh-CN"/>
        </w:rPr>
        <w:t>东西湖区水务和湖泊局机关大楼</w:t>
      </w:r>
      <w:r>
        <w:rPr>
          <w:rFonts w:hint="eastAsia" w:ascii="宋体" w:hAnsi="宋体" w:cs="宋体"/>
          <w:kern w:val="0"/>
          <w:sz w:val="24"/>
          <w:szCs w:val="24"/>
          <w:shd w:val="clear" w:color="auto" w:fill="FFFFFF"/>
          <w:lang w:val="zh-CN" w:eastAsia="zh-CN"/>
        </w:rPr>
        <w:t>电梯设备更新及安装项目，主要内容为：</w:t>
      </w:r>
      <w:r>
        <w:rPr>
          <w:rFonts w:hint="eastAsia" w:ascii="宋体" w:hAnsi="宋体" w:cs="宋体"/>
          <w:kern w:val="0"/>
          <w:sz w:val="24"/>
          <w:szCs w:val="24"/>
          <w:shd w:val="clear" w:color="auto" w:fill="FFFFFF"/>
          <w:lang w:val="en-US" w:eastAsia="zh-CN"/>
        </w:rPr>
        <w:t>原有</w:t>
      </w:r>
      <w:r>
        <w:rPr>
          <w:rFonts w:hint="eastAsia" w:ascii="宋体" w:hAnsi="宋体" w:cs="宋体"/>
          <w:kern w:val="0"/>
          <w:sz w:val="24"/>
          <w:szCs w:val="24"/>
          <w:shd w:val="clear" w:color="auto" w:fill="FFFFFF"/>
          <w:lang w:val="zh-CN" w:eastAsia="zh-CN"/>
        </w:rPr>
        <w:t>旧电梯拆除，</w:t>
      </w:r>
      <w:r>
        <w:rPr>
          <w:rFonts w:hint="eastAsia" w:ascii="宋体" w:hAnsi="宋体" w:cs="宋体"/>
          <w:kern w:val="0"/>
          <w:sz w:val="24"/>
          <w:szCs w:val="24"/>
          <w:shd w:val="clear" w:color="auto" w:fill="FFFFFF"/>
          <w:lang w:val="en-US" w:eastAsia="zh-CN"/>
        </w:rPr>
        <w:t>1</w:t>
      </w:r>
      <w:r>
        <w:rPr>
          <w:rFonts w:hint="eastAsia" w:ascii="宋体" w:hAnsi="宋体" w:cs="宋体"/>
          <w:kern w:val="0"/>
          <w:sz w:val="24"/>
          <w:szCs w:val="24"/>
          <w:shd w:val="clear" w:color="auto" w:fill="FFFFFF"/>
          <w:lang w:val="zh-CN" w:eastAsia="zh-CN"/>
        </w:rPr>
        <w:t>部新电梯（含门套）的设备采购、运输、安装调试及操作人员培训、试运行、报检验收，保修及零配件、易损件的长期供应、更换、及时响应维护、质量保证期内发生的任何</w:t>
      </w:r>
      <w:r>
        <w:rPr>
          <w:rFonts w:hint="eastAsia" w:ascii="宋体" w:hAnsi="宋体" w:cs="宋体"/>
          <w:kern w:val="0"/>
          <w:sz w:val="24"/>
          <w:szCs w:val="24"/>
          <w:shd w:val="clear" w:color="auto" w:fill="FFFFFF"/>
          <w:lang w:val="en-US" w:eastAsia="zh-CN"/>
        </w:rPr>
        <w:t>质量问题</w:t>
      </w:r>
      <w:r>
        <w:rPr>
          <w:rFonts w:hint="eastAsia" w:ascii="宋体" w:hAnsi="宋体" w:cs="宋体"/>
          <w:kern w:val="0"/>
          <w:sz w:val="24"/>
          <w:szCs w:val="24"/>
          <w:shd w:val="clear" w:color="auto" w:fill="FFFFFF"/>
          <w:lang w:val="zh-CN" w:eastAsia="zh-CN"/>
        </w:rPr>
        <w:t>的修复（</w:t>
      </w:r>
      <w:r>
        <w:rPr>
          <w:rFonts w:hint="eastAsia" w:ascii="宋体" w:hAnsi="宋体" w:cs="宋体"/>
          <w:kern w:val="0"/>
          <w:sz w:val="24"/>
          <w:szCs w:val="24"/>
          <w:shd w:val="clear" w:color="auto" w:fill="FFFFFF"/>
          <w:lang w:val="en-US" w:eastAsia="zh-CN"/>
        </w:rPr>
        <w:t>人为损坏除外</w:t>
      </w:r>
      <w:r>
        <w:rPr>
          <w:rFonts w:hint="eastAsia" w:ascii="宋体" w:hAnsi="宋体" w:cs="宋体"/>
          <w:kern w:val="0"/>
          <w:sz w:val="24"/>
          <w:szCs w:val="24"/>
          <w:shd w:val="clear" w:color="auto" w:fill="FFFFFF"/>
          <w:lang w:val="zh-CN" w:eastAsia="zh-CN"/>
        </w:rPr>
        <w:t xml:space="preserve">）等。 </w:t>
      </w:r>
    </w:p>
    <w:p w14:paraId="4C296291">
      <w:pPr>
        <w:spacing w:after="33"/>
        <w:ind w:left="0" w:leftChars="0" w:right="1"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3.采购预算：20万元（最高限价：20万元）</w:t>
      </w:r>
    </w:p>
    <w:p w14:paraId="438BFD21">
      <w:pPr>
        <w:spacing w:after="33"/>
        <w:ind w:left="0" w:leftChars="0" w:right="1" w:firstLine="0" w:firstLineChars="0"/>
        <w:rPr>
          <w:rFonts w:hint="eastAsia"/>
          <w:sz w:val="30"/>
          <w:szCs w:val="30"/>
          <w:lang w:val="en-US" w:eastAsia="zh-CN"/>
        </w:rPr>
      </w:pP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zh-CN"/>
        </w:rPr>
        <w:t>资金来源：财政资金</w:t>
      </w:r>
    </w:p>
    <w:p w14:paraId="540A1CDF">
      <w:pPr>
        <w:ind w:left="0" w:leftChars="0" w:firstLine="0" w:firstLineChars="0"/>
        <w:rPr>
          <w:rFonts w:hint="eastAsia"/>
          <w:sz w:val="30"/>
          <w:szCs w:val="30"/>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.质量要求：合格</w:t>
      </w:r>
    </w:p>
    <w:p w14:paraId="61761657">
      <w:pPr>
        <w:pStyle w:val="3"/>
        <w:numPr>
          <w:ilvl w:val="0"/>
          <w:numId w:val="0"/>
        </w:numPr>
        <w:rPr>
          <w:rFonts w:hint="eastAsia"/>
          <w:sz w:val="30"/>
          <w:szCs w:val="30"/>
        </w:rPr>
      </w:pPr>
      <w:bookmarkStart w:id="9" w:name="_Toc11451"/>
      <w:r>
        <w:rPr>
          <w:rFonts w:hint="eastAsia"/>
          <w:sz w:val="30"/>
          <w:szCs w:val="30"/>
          <w:lang w:eastAsia="zh-CN"/>
        </w:rPr>
        <w:t>二、</w:t>
      </w:r>
      <w:r>
        <w:rPr>
          <w:rFonts w:hint="eastAsia"/>
          <w:sz w:val="30"/>
          <w:szCs w:val="30"/>
        </w:rPr>
        <w:t>技术、服务要求</w:t>
      </w:r>
      <w:bookmarkEnd w:id="6"/>
      <w:bookmarkEnd w:id="9"/>
    </w:p>
    <w:p w14:paraId="3FF17E6F">
      <w:pPr>
        <w:rPr>
          <w:rFonts w:hint="eastAsia"/>
        </w:rPr>
      </w:pPr>
      <w:r>
        <w:rPr>
          <w:rFonts w:hint="eastAsia" w:ascii="宋体" w:hAnsi="宋体" w:cs="宋体"/>
          <w:highlight w:val="none"/>
          <w:lang w:val="en-US" w:eastAsia="zh-CN"/>
        </w:rPr>
        <w:t>（一）</w:t>
      </w:r>
      <w:r>
        <w:rPr>
          <w:rFonts w:hint="eastAsia" w:ascii="宋体" w:hAnsi="宋体" w:eastAsia="宋体" w:cs="宋体"/>
          <w:highlight w:val="none"/>
          <w:lang w:val="en-US" w:eastAsia="zh-CN"/>
        </w:rPr>
        <w:t>技术参数</w:t>
      </w:r>
    </w:p>
    <w:tbl>
      <w:tblPr>
        <w:tblStyle w:val="23"/>
        <w:tblW w:w="893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7"/>
        <w:gridCol w:w="6943"/>
      </w:tblGrid>
      <w:tr w14:paraId="0A63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87" w:type="dxa"/>
            <w:vAlign w:val="center"/>
          </w:tcPr>
          <w:p w14:paraId="43A6C085">
            <w:pPr>
              <w:pStyle w:val="52"/>
              <w:ind w:firstLine="0" w:firstLineChars="0"/>
              <w:jc w:val="center"/>
              <w:rPr>
                <w:rFonts w:hint="eastAsia" w:ascii="宋体" w:hAnsi="宋体" w:eastAsia="宋体" w:cs="宋体"/>
                <w:bCs/>
                <w:color w:val="auto"/>
                <w:kern w:val="2"/>
                <w:sz w:val="21"/>
                <w:highlight w:val="none"/>
                <w:lang w:val="en-US"/>
              </w:rPr>
            </w:pPr>
            <w:r>
              <w:rPr>
                <w:rFonts w:hint="eastAsia" w:ascii="宋体" w:hAnsi="宋体" w:eastAsia="宋体" w:cs="宋体"/>
                <w:bCs/>
                <w:color w:val="auto"/>
                <w:kern w:val="2"/>
                <w:sz w:val="21"/>
                <w:highlight w:val="none"/>
                <w:lang w:val="en-US"/>
              </w:rPr>
              <w:t>梯号</w:t>
            </w:r>
          </w:p>
        </w:tc>
        <w:tc>
          <w:tcPr>
            <w:tcW w:w="6943" w:type="dxa"/>
            <w:vAlign w:val="center"/>
          </w:tcPr>
          <w:p w14:paraId="1016EC01">
            <w:pPr>
              <w:pStyle w:val="13"/>
              <w:widowControl w:val="0"/>
              <w:tabs>
                <w:tab w:val="left" w:pos="840"/>
              </w:tabs>
              <w:spacing w:line="600" w:lineRule="exact"/>
              <w:jc w:val="center"/>
              <w:rPr>
                <w:rFonts w:hint="eastAsia" w:ascii="宋体" w:hAnsi="宋体" w:eastAsia="宋体" w:cs="宋体"/>
                <w:b/>
                <w:bCs/>
                <w:color w:val="auto"/>
                <w:highlight w:val="none"/>
              </w:rPr>
            </w:pPr>
            <w:r>
              <w:rPr>
                <w:rFonts w:hint="eastAsia" w:ascii="宋体" w:hAnsi="宋体" w:eastAsia="宋体" w:cs="宋体"/>
                <w:color w:val="auto"/>
                <w:sz w:val="24"/>
                <w:szCs w:val="24"/>
                <w:highlight w:val="none"/>
                <w:lang w:val="en-US" w:eastAsia="zh-CN"/>
              </w:rPr>
              <w:t>DT1</w:t>
            </w:r>
          </w:p>
        </w:tc>
      </w:tr>
      <w:tr w14:paraId="263F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7" w:type="dxa"/>
            <w:vAlign w:val="center"/>
          </w:tcPr>
          <w:p w14:paraId="04F76802">
            <w:pPr>
              <w:pStyle w:val="52"/>
              <w:ind w:firstLine="0" w:firstLineChars="0"/>
              <w:jc w:val="center"/>
              <w:rPr>
                <w:rFonts w:hint="eastAsia" w:ascii="宋体" w:hAnsi="宋体" w:eastAsia="宋体" w:cs="宋体"/>
                <w:bCs/>
                <w:color w:val="auto"/>
                <w:kern w:val="2"/>
                <w:sz w:val="21"/>
                <w:highlight w:val="none"/>
                <w:lang w:val="en-US"/>
              </w:rPr>
            </w:pPr>
            <w:r>
              <w:rPr>
                <w:rFonts w:hint="eastAsia" w:ascii="宋体" w:hAnsi="宋体" w:eastAsia="宋体" w:cs="宋体"/>
                <w:bCs/>
                <w:color w:val="auto"/>
                <w:kern w:val="2"/>
                <w:sz w:val="21"/>
                <w:highlight w:val="none"/>
                <w:lang w:val="en-US"/>
              </w:rPr>
              <w:t>梯型</w:t>
            </w:r>
          </w:p>
        </w:tc>
        <w:tc>
          <w:tcPr>
            <w:tcW w:w="6943" w:type="dxa"/>
            <w:vAlign w:val="center"/>
          </w:tcPr>
          <w:p w14:paraId="51A96376">
            <w:pPr>
              <w:pStyle w:val="13"/>
              <w:widowControl w:val="0"/>
              <w:spacing w:line="600" w:lineRule="exact"/>
              <w:jc w:val="center"/>
              <w:rPr>
                <w:rFonts w:hint="eastAsia" w:ascii="宋体" w:hAnsi="宋体" w:eastAsia="宋体" w:cs="宋体"/>
                <w:b/>
                <w:bCs/>
                <w:color w:val="auto"/>
                <w:highlight w:val="none"/>
                <w:lang w:val="en-US" w:eastAsia="zh-CN"/>
              </w:rPr>
            </w:pP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机房</w:t>
            </w:r>
            <w:r>
              <w:rPr>
                <w:rFonts w:hint="eastAsia" w:ascii="宋体" w:hAnsi="宋体" w:eastAsia="宋体" w:cs="宋体"/>
                <w:color w:val="auto"/>
                <w:sz w:val="24"/>
                <w:szCs w:val="24"/>
                <w:highlight w:val="none"/>
                <w:lang w:val="en-US" w:eastAsia="zh-CN"/>
              </w:rPr>
              <w:t>乘客电梯</w:t>
            </w:r>
          </w:p>
        </w:tc>
      </w:tr>
      <w:tr w14:paraId="344E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7" w:type="dxa"/>
            <w:vAlign w:val="center"/>
          </w:tcPr>
          <w:p w14:paraId="18D8085F">
            <w:pPr>
              <w:pStyle w:val="52"/>
              <w:ind w:firstLine="0" w:firstLineChars="0"/>
              <w:jc w:val="center"/>
              <w:rPr>
                <w:rFonts w:hint="eastAsia" w:ascii="宋体" w:hAnsi="宋体" w:eastAsia="宋体" w:cs="宋体"/>
                <w:bCs/>
                <w:color w:val="auto"/>
                <w:kern w:val="2"/>
                <w:sz w:val="21"/>
                <w:highlight w:val="none"/>
                <w:lang w:val="en-US"/>
              </w:rPr>
            </w:pPr>
            <w:r>
              <w:rPr>
                <w:rFonts w:hint="eastAsia" w:ascii="宋体" w:hAnsi="宋体" w:eastAsia="宋体" w:cs="宋体"/>
                <w:bCs/>
                <w:color w:val="auto"/>
                <w:kern w:val="2"/>
                <w:sz w:val="21"/>
                <w:highlight w:val="none"/>
                <w:lang w:val="en-US"/>
              </w:rPr>
              <w:t>数量</w:t>
            </w:r>
          </w:p>
        </w:tc>
        <w:tc>
          <w:tcPr>
            <w:tcW w:w="6943" w:type="dxa"/>
            <w:vAlign w:val="center"/>
          </w:tcPr>
          <w:p w14:paraId="782796C2">
            <w:pPr>
              <w:pStyle w:val="13"/>
              <w:widowControl w:val="0"/>
              <w:tabs>
                <w:tab w:val="left" w:pos="840"/>
              </w:tabs>
              <w:spacing w:line="6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1台</w:t>
            </w:r>
          </w:p>
        </w:tc>
      </w:tr>
      <w:tr w14:paraId="5E07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7" w:type="dxa"/>
            <w:vAlign w:val="center"/>
          </w:tcPr>
          <w:p w14:paraId="0D5CD9AF">
            <w:pPr>
              <w:pStyle w:val="52"/>
              <w:ind w:firstLine="0" w:firstLineChars="0"/>
              <w:jc w:val="center"/>
              <w:rPr>
                <w:rFonts w:hint="eastAsia" w:ascii="宋体" w:hAnsi="宋体" w:eastAsia="宋体" w:cs="宋体"/>
                <w:bCs/>
                <w:color w:val="auto"/>
                <w:kern w:val="2"/>
                <w:sz w:val="21"/>
                <w:highlight w:val="none"/>
                <w:lang w:val="en-US"/>
              </w:rPr>
            </w:pPr>
            <w:r>
              <w:rPr>
                <w:rFonts w:hint="eastAsia" w:ascii="宋体" w:hAnsi="宋体" w:eastAsia="宋体" w:cs="宋体"/>
                <w:bCs/>
                <w:color w:val="auto"/>
                <w:kern w:val="2"/>
                <w:sz w:val="21"/>
                <w:highlight w:val="none"/>
                <w:lang w:val="en-US"/>
              </w:rPr>
              <w:t>额定载重</w:t>
            </w:r>
          </w:p>
        </w:tc>
        <w:tc>
          <w:tcPr>
            <w:tcW w:w="6943" w:type="dxa"/>
            <w:vAlign w:val="center"/>
          </w:tcPr>
          <w:p w14:paraId="1DE09869">
            <w:pPr>
              <w:pStyle w:val="13"/>
              <w:widowControl w:val="0"/>
              <w:tabs>
                <w:tab w:val="left" w:pos="840"/>
              </w:tabs>
              <w:spacing w:line="60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0kg</w:t>
            </w:r>
          </w:p>
        </w:tc>
      </w:tr>
      <w:tr w14:paraId="00BA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7" w:type="dxa"/>
            <w:vAlign w:val="center"/>
          </w:tcPr>
          <w:p w14:paraId="290F0ABD">
            <w:pPr>
              <w:pStyle w:val="52"/>
              <w:ind w:firstLine="0" w:firstLineChars="0"/>
              <w:jc w:val="center"/>
              <w:rPr>
                <w:rFonts w:hint="eastAsia" w:ascii="宋体" w:hAnsi="宋体" w:eastAsia="宋体" w:cs="宋体"/>
                <w:bCs/>
                <w:color w:val="auto"/>
                <w:kern w:val="2"/>
                <w:sz w:val="21"/>
                <w:highlight w:val="none"/>
                <w:lang w:val="en-US"/>
              </w:rPr>
            </w:pPr>
            <w:r>
              <w:rPr>
                <w:rFonts w:hint="eastAsia" w:ascii="宋体" w:hAnsi="宋体" w:eastAsia="宋体" w:cs="宋体"/>
                <w:bCs/>
                <w:color w:val="auto"/>
                <w:kern w:val="2"/>
                <w:sz w:val="21"/>
                <w:highlight w:val="none"/>
                <w:lang w:val="en-US"/>
              </w:rPr>
              <w:t>速度</w:t>
            </w:r>
          </w:p>
        </w:tc>
        <w:tc>
          <w:tcPr>
            <w:tcW w:w="6943" w:type="dxa"/>
            <w:vAlign w:val="center"/>
          </w:tcPr>
          <w:p w14:paraId="0C8BEC34">
            <w:pPr>
              <w:pStyle w:val="13"/>
              <w:widowControl w:val="0"/>
              <w:tabs>
                <w:tab w:val="left" w:pos="840"/>
              </w:tabs>
              <w:spacing w:line="60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m/s</w:t>
            </w:r>
          </w:p>
        </w:tc>
      </w:tr>
      <w:tr w14:paraId="17AD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7" w:type="dxa"/>
            <w:vAlign w:val="center"/>
          </w:tcPr>
          <w:p w14:paraId="4384224D">
            <w:pPr>
              <w:pStyle w:val="52"/>
              <w:ind w:firstLine="0" w:firstLineChars="0"/>
              <w:jc w:val="center"/>
              <w:rPr>
                <w:rFonts w:hint="eastAsia" w:ascii="宋体" w:hAnsi="宋体" w:eastAsia="宋体" w:cs="宋体"/>
                <w:bCs/>
                <w:color w:val="auto"/>
                <w:kern w:val="2"/>
                <w:sz w:val="21"/>
                <w:highlight w:val="none"/>
                <w:lang w:val="en-US"/>
              </w:rPr>
            </w:pPr>
            <w:r>
              <w:rPr>
                <w:rFonts w:hint="eastAsia" w:ascii="宋体" w:hAnsi="宋体" w:eastAsia="宋体" w:cs="宋体"/>
                <w:bCs/>
                <w:color w:val="auto"/>
                <w:kern w:val="2"/>
                <w:sz w:val="21"/>
                <w:highlight w:val="none"/>
                <w:lang w:val="en-US"/>
              </w:rPr>
              <w:t>服务楼层</w:t>
            </w:r>
          </w:p>
        </w:tc>
        <w:tc>
          <w:tcPr>
            <w:tcW w:w="6943" w:type="dxa"/>
            <w:vAlign w:val="center"/>
          </w:tcPr>
          <w:p w14:paraId="06EC5876">
            <w:pPr>
              <w:pStyle w:val="13"/>
              <w:widowControl w:val="0"/>
              <w:tabs>
                <w:tab w:val="left" w:pos="840"/>
              </w:tabs>
              <w:spacing w:line="6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1F</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6F</w:t>
            </w:r>
          </w:p>
        </w:tc>
      </w:tr>
      <w:tr w14:paraId="667F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1987" w:type="dxa"/>
            <w:vAlign w:val="center"/>
          </w:tcPr>
          <w:p w14:paraId="213FAF11">
            <w:pPr>
              <w:pStyle w:val="52"/>
              <w:ind w:firstLine="0" w:firstLineChars="0"/>
              <w:jc w:val="center"/>
              <w:rPr>
                <w:rFonts w:hint="eastAsia" w:ascii="宋体" w:hAnsi="宋体" w:eastAsia="宋体" w:cs="宋体"/>
                <w:bCs/>
                <w:color w:val="auto"/>
                <w:kern w:val="2"/>
                <w:sz w:val="21"/>
                <w:highlight w:val="none"/>
                <w:lang w:val="en-US"/>
              </w:rPr>
            </w:pPr>
            <w:r>
              <w:rPr>
                <w:rFonts w:hint="eastAsia" w:ascii="宋体" w:hAnsi="宋体" w:eastAsia="宋体" w:cs="宋体"/>
                <w:color w:val="auto"/>
                <w:sz w:val="24"/>
                <w:szCs w:val="24"/>
                <w:highlight w:val="none"/>
              </w:rPr>
              <w:t>冲顶高度</w:t>
            </w:r>
          </w:p>
        </w:tc>
        <w:tc>
          <w:tcPr>
            <w:tcW w:w="6943" w:type="dxa"/>
            <w:vAlign w:val="center"/>
          </w:tcPr>
          <w:p w14:paraId="72020E1A">
            <w:pPr>
              <w:pStyle w:val="13"/>
              <w:widowControl w:val="0"/>
              <w:tabs>
                <w:tab w:val="left" w:pos="840"/>
              </w:tabs>
              <w:spacing w:line="60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4900mm</w:t>
            </w:r>
          </w:p>
        </w:tc>
      </w:tr>
      <w:tr w14:paraId="54C5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1987" w:type="dxa"/>
            <w:vAlign w:val="center"/>
          </w:tcPr>
          <w:p w14:paraId="669FA746">
            <w:pPr>
              <w:pStyle w:val="52"/>
              <w:ind w:firstLine="0" w:firstLineChars="0"/>
              <w:jc w:val="center"/>
              <w:rPr>
                <w:rFonts w:hint="eastAsia" w:ascii="宋体" w:hAnsi="宋体" w:eastAsia="宋体" w:cs="宋体"/>
                <w:bCs/>
                <w:color w:val="auto"/>
                <w:kern w:val="2"/>
                <w:sz w:val="21"/>
                <w:highlight w:val="none"/>
                <w:lang w:val="en-US"/>
              </w:rPr>
            </w:pPr>
            <w:r>
              <w:rPr>
                <w:rFonts w:hint="eastAsia" w:ascii="宋体" w:hAnsi="宋体" w:eastAsia="宋体" w:cs="宋体"/>
                <w:color w:val="auto"/>
                <w:sz w:val="24"/>
                <w:szCs w:val="24"/>
                <w:highlight w:val="none"/>
              </w:rPr>
              <w:t>基坑深度</w:t>
            </w:r>
          </w:p>
        </w:tc>
        <w:tc>
          <w:tcPr>
            <w:tcW w:w="6943" w:type="dxa"/>
            <w:vAlign w:val="center"/>
          </w:tcPr>
          <w:p w14:paraId="086579A3">
            <w:pPr>
              <w:pStyle w:val="13"/>
              <w:widowControl w:val="0"/>
              <w:tabs>
                <w:tab w:val="left" w:pos="840"/>
              </w:tabs>
              <w:spacing w:line="60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1500mm</w:t>
            </w:r>
          </w:p>
        </w:tc>
      </w:tr>
      <w:tr w14:paraId="4A58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1987" w:type="dxa"/>
            <w:vAlign w:val="center"/>
          </w:tcPr>
          <w:p w14:paraId="5EC792A1">
            <w:pPr>
              <w:pStyle w:val="52"/>
              <w:ind w:firstLine="0" w:firstLineChars="0"/>
              <w:jc w:val="center"/>
              <w:rPr>
                <w:rFonts w:hint="eastAsia" w:ascii="宋体" w:hAnsi="宋体" w:eastAsia="宋体" w:cs="宋体"/>
                <w:bCs/>
                <w:color w:val="auto"/>
                <w:kern w:val="2"/>
                <w:sz w:val="21"/>
                <w:highlight w:val="none"/>
                <w:lang w:val="en-US"/>
              </w:rPr>
            </w:pPr>
            <w:r>
              <w:rPr>
                <w:rFonts w:hint="eastAsia" w:ascii="宋体" w:hAnsi="宋体" w:eastAsia="宋体" w:cs="宋体"/>
                <w:bCs/>
                <w:color w:val="auto"/>
                <w:kern w:val="2"/>
                <w:sz w:val="21"/>
                <w:highlight w:val="none"/>
                <w:lang w:val="en-US"/>
              </w:rPr>
              <w:t>井道尺寸（宽×深）</w:t>
            </w:r>
          </w:p>
        </w:tc>
        <w:tc>
          <w:tcPr>
            <w:tcW w:w="6943" w:type="dxa"/>
            <w:vAlign w:val="center"/>
          </w:tcPr>
          <w:p w14:paraId="74E4C502">
            <w:pPr>
              <w:pStyle w:val="13"/>
              <w:widowControl w:val="0"/>
              <w:tabs>
                <w:tab w:val="left" w:pos="840"/>
              </w:tabs>
              <w:spacing w:line="60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2200*2200mm</w:t>
            </w:r>
          </w:p>
        </w:tc>
      </w:tr>
      <w:tr w14:paraId="0D0E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1987" w:type="dxa"/>
            <w:vAlign w:val="center"/>
          </w:tcPr>
          <w:p w14:paraId="033B1657">
            <w:pPr>
              <w:pStyle w:val="52"/>
              <w:ind w:firstLine="0" w:firstLineChars="0"/>
              <w:jc w:val="center"/>
              <w:rPr>
                <w:rFonts w:hint="eastAsia" w:ascii="宋体" w:hAnsi="宋体" w:eastAsia="宋体" w:cs="宋体"/>
                <w:color w:val="auto"/>
                <w:sz w:val="21"/>
                <w:highlight w:val="none"/>
              </w:rPr>
            </w:pPr>
            <w:r>
              <w:rPr>
                <w:rFonts w:hint="eastAsia" w:ascii="宋体" w:hAnsi="宋体" w:eastAsia="宋体" w:cs="宋体"/>
                <w:bCs/>
                <w:color w:val="auto"/>
                <w:sz w:val="21"/>
                <w:highlight w:val="none"/>
              </w:rPr>
              <w:t>开门尺寸</w:t>
            </w:r>
          </w:p>
        </w:tc>
        <w:tc>
          <w:tcPr>
            <w:tcW w:w="6943" w:type="dxa"/>
            <w:vAlign w:val="center"/>
          </w:tcPr>
          <w:p w14:paraId="1437E55D">
            <w:pPr>
              <w:pStyle w:val="13"/>
              <w:widowControl w:val="0"/>
              <w:tabs>
                <w:tab w:val="left" w:pos="840"/>
              </w:tabs>
              <w:spacing w:line="60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900*2100mm</w:t>
            </w:r>
          </w:p>
        </w:tc>
      </w:tr>
      <w:tr w14:paraId="453C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1987" w:type="dxa"/>
            <w:vAlign w:val="center"/>
          </w:tcPr>
          <w:p w14:paraId="1C923B8F">
            <w:pPr>
              <w:pStyle w:val="52"/>
              <w:ind w:firstLine="0" w:firstLineChars="0"/>
              <w:jc w:val="center"/>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rPr>
              <w:t>开门</w:t>
            </w:r>
            <w:r>
              <w:rPr>
                <w:rFonts w:hint="eastAsia" w:ascii="宋体" w:hAnsi="宋体" w:eastAsia="宋体" w:cs="宋体"/>
                <w:bCs/>
                <w:color w:val="auto"/>
                <w:sz w:val="21"/>
                <w:highlight w:val="none"/>
                <w:lang w:val="en-US" w:eastAsia="zh-CN"/>
              </w:rPr>
              <w:t>方式</w:t>
            </w:r>
          </w:p>
        </w:tc>
        <w:tc>
          <w:tcPr>
            <w:tcW w:w="6943" w:type="dxa"/>
            <w:vAlign w:val="center"/>
          </w:tcPr>
          <w:p w14:paraId="40B1A1CF">
            <w:pPr>
              <w:pStyle w:val="13"/>
              <w:widowControl w:val="0"/>
              <w:tabs>
                <w:tab w:val="left" w:pos="840"/>
              </w:tabs>
              <w:spacing w:line="6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中分门</w:t>
            </w:r>
          </w:p>
        </w:tc>
      </w:tr>
      <w:tr w14:paraId="06E3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1987" w:type="dxa"/>
            <w:vAlign w:val="center"/>
          </w:tcPr>
          <w:p w14:paraId="669B2FAE">
            <w:pPr>
              <w:pStyle w:val="13"/>
              <w:widowControl w:val="0"/>
              <w:spacing w:line="6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943" w:type="dxa"/>
            <w:vAlign w:val="center"/>
          </w:tcPr>
          <w:p w14:paraId="144CEF58">
            <w:pPr>
              <w:pStyle w:val="13"/>
              <w:widowControl w:val="0"/>
              <w:tabs>
                <w:tab w:val="left" w:pos="840"/>
              </w:tabs>
              <w:spacing w:line="600" w:lineRule="exact"/>
              <w:ind w:left="0" w:leftChars="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表内所标尺寸仅作为参考使用，各投标人应以现场实际勘测尺寸为准。（自行踏勘）</w:t>
            </w:r>
          </w:p>
        </w:tc>
      </w:tr>
    </w:tbl>
    <w:p w14:paraId="620630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bookmarkStart w:id="10" w:name="_Toc432753211"/>
    </w:p>
    <w:p w14:paraId="1B1561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二</w:t>
      </w:r>
      <w:r>
        <w:rPr>
          <w:rFonts w:hint="eastAsia" w:ascii="宋体" w:hAnsi="宋体" w:eastAsia="宋体" w:cs="宋体"/>
          <w:sz w:val="24"/>
          <w:szCs w:val="24"/>
        </w:rPr>
        <w:t>）电梯适用于以下工作条件：</w:t>
      </w:r>
    </w:p>
    <w:p w14:paraId="5601CF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海拔高度：＜1000 米； 地震烈度：≤8 度 </w:t>
      </w:r>
    </w:p>
    <w:p w14:paraId="27BE79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消防要求：应具备消防应急返回功能，满足国家相关标准和规范。</w:t>
      </w:r>
    </w:p>
    <w:p w14:paraId="756BF7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电源：交流380/220V±10%、50HZ； 工作时间：每天24小时，一年工作365天。</w:t>
      </w:r>
    </w:p>
    <w:p w14:paraId="7F37017B">
      <w:pPr>
        <w:spacing w:line="360" w:lineRule="auto"/>
        <w:ind w:firstLine="480" w:firstLineChars="200"/>
        <w:rPr>
          <w:rFonts w:hint="eastAsia" w:ascii="宋体" w:hAnsi="宋体" w:eastAsia="宋体" w:cs="宋体"/>
          <w:sz w:val="24"/>
          <w:szCs w:val="24"/>
        </w:rPr>
      </w:pPr>
    </w:p>
    <w:p w14:paraId="2A1FC63D">
      <w:pPr>
        <w:spacing w:line="360" w:lineRule="auto"/>
        <w:ind w:firstLine="480" w:firstLineChars="200"/>
        <w:rPr>
          <w:rFonts w:hint="default" w:eastAsia="宋体"/>
          <w:lang w:val="en-US" w:eastAsia="zh-CN"/>
        </w:rPr>
      </w:pPr>
      <w:r>
        <w:rPr>
          <w:rFonts w:hint="eastAsia" w:ascii="宋体" w:hAnsi="宋体" w:eastAsia="宋体" w:cs="宋体"/>
          <w:sz w:val="24"/>
          <w:szCs w:val="24"/>
        </w:rPr>
        <w:t>（</w:t>
      </w:r>
      <w:r>
        <w:rPr>
          <w:rFonts w:hint="eastAsia" w:ascii="宋体" w:hAnsi="宋体" w:cs="宋体"/>
          <w:sz w:val="24"/>
          <w:szCs w:val="24"/>
          <w:lang w:eastAsia="zh-CN"/>
        </w:rPr>
        <w:t>三</w:t>
      </w:r>
      <w:r>
        <w:rPr>
          <w:rFonts w:hint="eastAsia" w:ascii="宋体" w:hAnsi="宋体" w:eastAsia="宋体" w:cs="宋体"/>
          <w:sz w:val="24"/>
          <w:szCs w:val="24"/>
        </w:rPr>
        <w:t>）</w:t>
      </w:r>
      <w:r>
        <w:rPr>
          <w:rFonts w:hint="eastAsia" w:ascii="宋体" w:hAnsi="宋体" w:cs="宋体"/>
          <w:sz w:val="24"/>
          <w:szCs w:val="24"/>
          <w:lang w:val="en-US" w:eastAsia="zh-CN"/>
        </w:rPr>
        <w:t>技术标准</w:t>
      </w:r>
    </w:p>
    <w:p w14:paraId="58B16463">
      <w:pPr>
        <w:spacing w:line="360" w:lineRule="auto"/>
        <w:rPr>
          <w:rFonts w:hint="eastAsia" w:ascii="宋体" w:hAnsi="宋体" w:eastAsia="宋体" w:cs="宋体"/>
          <w:kern w:val="0"/>
        </w:rPr>
      </w:pPr>
      <w:r>
        <w:rPr>
          <w:rFonts w:hint="eastAsia" w:ascii="宋体" w:hAnsi="宋体" w:eastAsia="宋体" w:cs="宋体"/>
          <w:kern w:val="0"/>
        </w:rPr>
        <w:t>《电梯安装验收规范》（GB/T 10060—2023）</w:t>
      </w:r>
    </w:p>
    <w:p w14:paraId="51CF441D">
      <w:pPr>
        <w:spacing w:line="360" w:lineRule="auto"/>
        <w:rPr>
          <w:rFonts w:hint="eastAsia" w:ascii="宋体" w:hAnsi="宋体" w:eastAsia="宋体" w:cs="宋体"/>
          <w:kern w:val="0"/>
        </w:rPr>
      </w:pPr>
      <w:r>
        <w:rPr>
          <w:rFonts w:hint="eastAsia" w:ascii="宋体" w:hAnsi="宋体" w:eastAsia="宋体" w:cs="宋体"/>
          <w:kern w:val="0"/>
        </w:rPr>
        <w:t>《安装于现有建筑物中的新电梯制造与安装安全规范》（GB/T 28621—2023）</w:t>
      </w:r>
    </w:p>
    <w:p w14:paraId="78D44470">
      <w:pPr>
        <w:spacing w:line="360" w:lineRule="auto"/>
        <w:rPr>
          <w:rFonts w:hint="eastAsia" w:ascii="宋体" w:hAnsi="宋体" w:eastAsia="宋体" w:cs="宋体"/>
          <w:kern w:val="0"/>
        </w:rPr>
      </w:pPr>
      <w:r>
        <w:rPr>
          <w:rFonts w:hint="eastAsia" w:ascii="宋体" w:hAnsi="宋体" w:eastAsia="宋体" w:cs="宋体"/>
          <w:kern w:val="0"/>
        </w:rPr>
        <w:t>《电梯技术条件》（GB/T 10058—2023）</w:t>
      </w:r>
    </w:p>
    <w:p w14:paraId="49F840E3">
      <w:pPr>
        <w:spacing w:line="400" w:lineRule="exact"/>
        <w:rPr>
          <w:rFonts w:hint="eastAsia" w:ascii="宋体" w:hAnsi="宋体" w:eastAsia="宋体" w:cs="宋体"/>
          <w:bCs/>
          <w:szCs w:val="24"/>
        </w:rPr>
      </w:pPr>
      <w:r>
        <w:rPr>
          <w:rFonts w:hint="eastAsia" w:ascii="宋体" w:hAnsi="宋体" w:eastAsia="宋体" w:cs="宋体"/>
          <w:kern w:val="0"/>
        </w:rPr>
        <w:t>《交流电梯电动机通用技术 第2部分：永磁同步电动机》（GB/T 12974.2—2023）</w:t>
      </w:r>
    </w:p>
    <w:p w14:paraId="72FBB27A">
      <w:pPr>
        <w:spacing w:line="400" w:lineRule="exact"/>
        <w:rPr>
          <w:rFonts w:hint="eastAsia" w:ascii="宋体" w:hAnsi="宋体" w:eastAsia="宋体" w:cs="宋体"/>
          <w:bCs/>
          <w:szCs w:val="24"/>
          <w:lang w:eastAsia="zh-CN"/>
        </w:rPr>
      </w:pPr>
      <w:r>
        <w:rPr>
          <w:rFonts w:hint="eastAsia" w:ascii="宋体" w:hAnsi="宋体" w:eastAsia="宋体" w:cs="宋体"/>
          <w:bCs/>
          <w:szCs w:val="24"/>
        </w:rPr>
        <w:t>《混凝土结构设计规范》</w:t>
      </w:r>
      <w:r>
        <w:rPr>
          <w:rFonts w:hint="eastAsia" w:ascii="宋体" w:hAnsi="宋体" w:eastAsia="宋体" w:cs="宋体"/>
          <w:bCs/>
          <w:szCs w:val="24"/>
          <w:lang w:eastAsia="zh-CN"/>
        </w:rPr>
        <w:t>（</w:t>
      </w:r>
      <w:r>
        <w:rPr>
          <w:rFonts w:hint="eastAsia" w:ascii="宋体" w:hAnsi="宋体" w:eastAsia="宋体" w:cs="宋体"/>
          <w:bCs/>
          <w:szCs w:val="24"/>
        </w:rPr>
        <w:t>GB50010-2010</w:t>
      </w:r>
      <w:r>
        <w:rPr>
          <w:rFonts w:hint="eastAsia" w:ascii="宋体" w:hAnsi="宋体" w:eastAsia="宋体" w:cs="宋体"/>
          <w:bCs/>
          <w:szCs w:val="24"/>
          <w:lang w:eastAsia="zh-CN"/>
        </w:rPr>
        <w:t>）</w:t>
      </w:r>
    </w:p>
    <w:p w14:paraId="33E4D8C7">
      <w:pPr>
        <w:spacing w:line="400" w:lineRule="exact"/>
        <w:rPr>
          <w:rFonts w:hint="eastAsia" w:ascii="宋体" w:hAnsi="宋体" w:eastAsia="宋体" w:cs="宋体"/>
          <w:bCs/>
          <w:szCs w:val="24"/>
          <w:lang w:eastAsia="zh-CN"/>
        </w:rPr>
      </w:pPr>
      <w:r>
        <w:rPr>
          <w:rFonts w:hint="eastAsia" w:ascii="宋体" w:hAnsi="宋体" w:eastAsia="宋体" w:cs="宋体"/>
          <w:bCs/>
          <w:szCs w:val="24"/>
        </w:rPr>
        <w:t>《钢结构设计规范》</w:t>
      </w:r>
      <w:r>
        <w:rPr>
          <w:rFonts w:hint="eastAsia" w:ascii="宋体" w:hAnsi="宋体" w:eastAsia="宋体" w:cs="宋体"/>
          <w:bCs/>
          <w:szCs w:val="24"/>
          <w:lang w:eastAsia="zh-CN"/>
        </w:rPr>
        <w:t>（</w:t>
      </w:r>
      <w:r>
        <w:rPr>
          <w:rFonts w:hint="eastAsia" w:ascii="宋体" w:hAnsi="宋体" w:eastAsia="宋体" w:cs="宋体"/>
          <w:bCs/>
          <w:szCs w:val="24"/>
        </w:rPr>
        <w:t>GB50017-2003</w:t>
      </w:r>
      <w:r>
        <w:rPr>
          <w:rFonts w:hint="eastAsia" w:ascii="宋体" w:hAnsi="宋体" w:eastAsia="宋体" w:cs="宋体"/>
          <w:bCs/>
          <w:szCs w:val="24"/>
          <w:lang w:eastAsia="zh-CN"/>
        </w:rPr>
        <w:t>）</w:t>
      </w:r>
    </w:p>
    <w:p w14:paraId="62F62CE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rPr>
      </w:pPr>
    </w:p>
    <w:p w14:paraId="3D1A18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电梯</w:t>
      </w:r>
      <w:r>
        <w:rPr>
          <w:rFonts w:hint="eastAsia" w:ascii="宋体" w:hAnsi="宋体" w:eastAsia="宋体" w:cs="宋体"/>
          <w:sz w:val="24"/>
          <w:szCs w:val="24"/>
        </w:rPr>
        <w:t>总体要求：</w:t>
      </w:r>
    </w:p>
    <w:p w14:paraId="3ACD89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安全可靠性：所投标电梯必须保证安全，在运行中绝对不能因设备制造、安装等原因而造成乘员伤亡。操作必须可靠，各种指令执行准确、无误</w:t>
      </w:r>
      <w:r>
        <w:rPr>
          <w:rFonts w:hint="eastAsia" w:ascii="宋体" w:hAnsi="宋体" w:eastAsia="宋体" w:cs="宋体"/>
          <w:sz w:val="24"/>
          <w:szCs w:val="24"/>
          <w:lang w:eastAsia="zh-CN"/>
        </w:rPr>
        <w:t>。</w:t>
      </w:r>
    </w:p>
    <w:p w14:paraId="17232C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先进性：保证电梯技术先进性</w:t>
      </w:r>
      <w:r>
        <w:rPr>
          <w:rFonts w:hint="eastAsia" w:ascii="宋体" w:hAnsi="宋体" w:eastAsia="宋体" w:cs="宋体"/>
          <w:sz w:val="24"/>
          <w:szCs w:val="24"/>
          <w:lang w:eastAsia="zh-CN"/>
        </w:rPr>
        <w:t>，</w:t>
      </w:r>
      <w:r>
        <w:rPr>
          <w:rFonts w:hint="eastAsia" w:ascii="宋体" w:hAnsi="宋体" w:eastAsia="宋体" w:cs="宋体"/>
          <w:sz w:val="24"/>
          <w:szCs w:val="24"/>
        </w:rPr>
        <w:t>在驱动系统、控制系统、操作系统等方面均是采用目前先进的电梯技术，能</w:t>
      </w:r>
      <w:r>
        <w:rPr>
          <w:rFonts w:hint="eastAsia" w:ascii="宋体" w:hAnsi="宋体" w:eastAsia="宋体" w:cs="宋体"/>
          <w:sz w:val="24"/>
          <w:szCs w:val="24"/>
          <w:lang w:eastAsia="zh-CN"/>
        </w:rPr>
        <w:t>代表</w:t>
      </w:r>
      <w:r>
        <w:rPr>
          <w:rFonts w:hint="eastAsia" w:ascii="宋体" w:hAnsi="宋体" w:eastAsia="宋体" w:cs="宋体"/>
          <w:sz w:val="24"/>
          <w:szCs w:val="24"/>
        </w:rPr>
        <w:t>电梯技术的发展方向和</w:t>
      </w:r>
      <w:r>
        <w:rPr>
          <w:rFonts w:hint="eastAsia" w:ascii="宋体" w:hAnsi="宋体" w:eastAsia="宋体" w:cs="宋体"/>
          <w:sz w:val="24"/>
          <w:szCs w:val="24"/>
          <w:lang w:eastAsia="zh-CN"/>
        </w:rPr>
        <w:t>最高</w:t>
      </w:r>
      <w:r>
        <w:rPr>
          <w:rFonts w:hint="eastAsia" w:ascii="宋体" w:hAnsi="宋体" w:eastAsia="宋体" w:cs="宋体"/>
          <w:sz w:val="24"/>
          <w:szCs w:val="24"/>
        </w:rPr>
        <w:t>水平</w:t>
      </w:r>
      <w:r>
        <w:rPr>
          <w:rFonts w:hint="eastAsia" w:ascii="宋体" w:hAnsi="宋体" w:eastAsia="宋体" w:cs="宋体"/>
          <w:sz w:val="24"/>
          <w:szCs w:val="24"/>
          <w:lang w:eastAsia="zh-CN"/>
        </w:rPr>
        <w:t>。</w:t>
      </w:r>
    </w:p>
    <w:p w14:paraId="6EE523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经济性：能较优地保证电梯总体经济性能，且便于操作、维护，经常性费用低，环保、节能，具备能源再生系统</w:t>
      </w:r>
      <w:r>
        <w:rPr>
          <w:rFonts w:hint="eastAsia" w:ascii="宋体" w:hAnsi="宋体" w:eastAsia="宋体" w:cs="宋体"/>
          <w:sz w:val="24"/>
          <w:szCs w:val="24"/>
          <w:lang w:eastAsia="zh-CN"/>
        </w:rPr>
        <w:t>。</w:t>
      </w:r>
    </w:p>
    <w:p w14:paraId="54CE7A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主机：永磁无齿轮主机</w:t>
      </w:r>
      <w:r>
        <w:rPr>
          <w:rFonts w:hint="eastAsia" w:ascii="宋体" w:hAnsi="宋体" w:eastAsia="宋体" w:cs="宋体"/>
          <w:sz w:val="24"/>
          <w:szCs w:val="24"/>
          <w:lang w:eastAsia="zh-CN"/>
        </w:rPr>
        <w:t>。</w:t>
      </w:r>
    </w:p>
    <w:p w14:paraId="68A2BC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模块化控制系统:采用总线控制系统，模块化理念，可实现电梯</w:t>
      </w:r>
      <w:r>
        <w:rPr>
          <w:rFonts w:hint="eastAsia" w:ascii="宋体" w:hAnsi="宋体" w:eastAsia="宋体" w:cs="宋体"/>
          <w:sz w:val="24"/>
          <w:szCs w:val="24"/>
          <w:lang w:eastAsia="zh-CN"/>
        </w:rPr>
        <w:t>并联</w:t>
      </w:r>
      <w:r>
        <w:rPr>
          <w:rFonts w:hint="eastAsia" w:ascii="宋体" w:hAnsi="宋体" w:eastAsia="宋体" w:cs="宋体"/>
          <w:sz w:val="24"/>
          <w:szCs w:val="24"/>
        </w:rPr>
        <w:t>，无需加</w:t>
      </w:r>
      <w:r>
        <w:rPr>
          <w:rFonts w:hint="eastAsia" w:ascii="宋体" w:hAnsi="宋体" w:eastAsia="宋体" w:cs="宋体"/>
          <w:sz w:val="24"/>
          <w:szCs w:val="24"/>
          <w:lang w:eastAsia="zh-CN"/>
        </w:rPr>
        <w:t>并联</w:t>
      </w:r>
      <w:r>
        <w:rPr>
          <w:rFonts w:hint="eastAsia" w:ascii="宋体" w:hAnsi="宋体" w:eastAsia="宋体" w:cs="宋体"/>
          <w:sz w:val="24"/>
          <w:szCs w:val="24"/>
        </w:rPr>
        <w:t>柜，更新升级便捷</w:t>
      </w:r>
      <w:r>
        <w:rPr>
          <w:rFonts w:hint="eastAsia" w:ascii="宋体" w:hAnsi="宋体" w:eastAsia="宋体" w:cs="宋体"/>
          <w:sz w:val="24"/>
          <w:szCs w:val="24"/>
          <w:lang w:eastAsia="zh-CN"/>
        </w:rPr>
        <w:t>。</w:t>
      </w:r>
    </w:p>
    <w:p w14:paraId="25B7AD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厅轿门结构：采用</w:t>
      </w:r>
      <w:r>
        <w:rPr>
          <w:rFonts w:hint="eastAsia" w:ascii="宋体" w:hAnsi="宋体" w:eastAsia="宋体" w:cs="宋体"/>
          <w:sz w:val="24"/>
          <w:szCs w:val="24"/>
          <w:lang w:eastAsia="zh-CN"/>
        </w:rPr>
        <w:t>原厂原品牌</w:t>
      </w:r>
      <w:r>
        <w:rPr>
          <w:rFonts w:hint="eastAsia" w:ascii="宋体" w:hAnsi="宋体" w:eastAsia="宋体" w:cs="宋体"/>
          <w:sz w:val="24"/>
          <w:szCs w:val="24"/>
        </w:rPr>
        <w:t>门机和门保护系统,电梯门结构采用加强筋结构电梯门，降低故障率。</w:t>
      </w:r>
    </w:p>
    <w:p w14:paraId="409D01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电梯主要设备与器件来源应真实、可靠，为同一品牌厂家生产</w:t>
      </w:r>
      <w:r>
        <w:rPr>
          <w:rFonts w:hint="eastAsia" w:ascii="宋体" w:hAnsi="宋体" w:eastAsia="宋体" w:cs="宋体"/>
          <w:sz w:val="24"/>
          <w:szCs w:val="24"/>
          <w:lang w:eastAsia="zh-CN"/>
        </w:rPr>
        <w:t>。</w:t>
      </w:r>
      <w:r>
        <w:rPr>
          <w:rFonts w:hint="eastAsia" w:ascii="宋体" w:hAnsi="宋体" w:eastAsia="宋体" w:cs="宋体"/>
          <w:sz w:val="24"/>
          <w:szCs w:val="24"/>
        </w:rPr>
        <w:t>所投标电梯主要设备器件如：曳引机系统（整机）、控制柜</w:t>
      </w:r>
      <w:r>
        <w:rPr>
          <w:rFonts w:hint="eastAsia" w:ascii="宋体" w:hAnsi="宋体" w:eastAsia="宋体" w:cs="宋体"/>
          <w:sz w:val="24"/>
          <w:szCs w:val="24"/>
          <w:lang w:eastAsia="zh-CN"/>
        </w:rPr>
        <w:t>、</w:t>
      </w:r>
      <w:r>
        <w:rPr>
          <w:rFonts w:hint="eastAsia" w:ascii="宋体" w:hAnsi="宋体" w:eastAsia="宋体" w:cs="宋体"/>
          <w:sz w:val="24"/>
          <w:szCs w:val="24"/>
        </w:rPr>
        <w:t>执行器件、门机系统、门锁、光幕、安全钳、 限速器、上行操作保护装置、称重装置、缓冲器、轿内操纵盘控制板、厅外一体型召唤盒、各种安全开关等器件来源的可靠性和真实性</w:t>
      </w:r>
      <w:r>
        <w:rPr>
          <w:rFonts w:hint="eastAsia" w:ascii="宋体" w:hAnsi="宋体" w:eastAsia="宋体" w:cs="宋体"/>
          <w:sz w:val="24"/>
          <w:szCs w:val="24"/>
          <w:lang w:eastAsia="zh-CN"/>
        </w:rPr>
        <w:t>。</w:t>
      </w:r>
    </w:p>
    <w:p w14:paraId="1E2E3F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电梯及主要部件（主机、控制柜）、安全部件（安全钳、限速器、上行操作保护装置、门锁、缓冲器）必须符合 GB7588-2003，电梯制造与安装安全规范，取得国家生产许可且型式试验合格，且为原品牌厂家生产</w:t>
      </w:r>
      <w:r>
        <w:rPr>
          <w:rFonts w:hint="eastAsia" w:ascii="宋体" w:hAnsi="宋体" w:eastAsia="宋体" w:cs="宋体"/>
          <w:sz w:val="24"/>
          <w:szCs w:val="24"/>
          <w:lang w:eastAsia="zh-CN"/>
        </w:rPr>
        <w:t>，不得使用外购贴牌部件</w:t>
      </w:r>
      <w:r>
        <w:rPr>
          <w:rFonts w:hint="eastAsia" w:ascii="宋体" w:hAnsi="宋体" w:eastAsia="宋体" w:cs="宋体"/>
          <w:sz w:val="24"/>
          <w:szCs w:val="24"/>
        </w:rPr>
        <w:t>；有地下室不下地下室的电梯，</w:t>
      </w:r>
      <w:r>
        <w:rPr>
          <w:rFonts w:hint="eastAsia" w:ascii="宋体" w:hAnsi="宋体" w:eastAsia="宋体" w:cs="宋体"/>
          <w:sz w:val="24"/>
          <w:szCs w:val="24"/>
          <w:lang w:eastAsia="zh-CN"/>
        </w:rPr>
        <w:t>下部应进行全封闭，避免人员进出。</w:t>
      </w:r>
    </w:p>
    <w:p w14:paraId="252999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电梯选型：各投标人应以</w:t>
      </w:r>
      <w:r>
        <w:rPr>
          <w:rFonts w:hint="eastAsia" w:ascii="宋体" w:hAnsi="宋体" w:eastAsia="宋体" w:cs="宋体"/>
          <w:sz w:val="24"/>
          <w:szCs w:val="24"/>
          <w:lang w:eastAsia="zh-CN"/>
        </w:rPr>
        <w:t>采购人电梯</w:t>
      </w:r>
      <w:r>
        <w:rPr>
          <w:rFonts w:hint="eastAsia" w:ascii="宋体" w:hAnsi="宋体" w:eastAsia="宋体" w:cs="宋体"/>
          <w:sz w:val="24"/>
          <w:szCs w:val="24"/>
        </w:rPr>
        <w:t>井道尺寸为依据，在所规定的尺寸内进行电梯选型；所</w:t>
      </w:r>
      <w:r>
        <w:rPr>
          <w:rFonts w:hint="eastAsia" w:ascii="宋体" w:hAnsi="宋体" w:eastAsia="宋体" w:cs="宋体"/>
          <w:sz w:val="24"/>
          <w:szCs w:val="24"/>
          <w:lang w:val="en-US" w:eastAsia="zh-CN"/>
        </w:rPr>
        <w:t>更换</w:t>
      </w:r>
      <w:r>
        <w:rPr>
          <w:rFonts w:hint="eastAsia" w:ascii="宋体" w:hAnsi="宋体" w:eastAsia="宋体" w:cs="宋体"/>
          <w:sz w:val="24"/>
          <w:szCs w:val="24"/>
        </w:rPr>
        <w:t>电梯务必提供统一型号并注明极限能力（最高运行速度）</w:t>
      </w:r>
      <w:r>
        <w:rPr>
          <w:rFonts w:hint="eastAsia" w:ascii="宋体" w:hAnsi="宋体" w:eastAsia="宋体" w:cs="宋体"/>
          <w:sz w:val="24"/>
          <w:szCs w:val="24"/>
          <w:lang w:eastAsia="zh-CN"/>
        </w:rPr>
        <w:t>。</w:t>
      </w:r>
    </w:p>
    <w:p w14:paraId="564D2C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电梯：</w:t>
      </w:r>
      <w:r>
        <w:rPr>
          <w:rFonts w:hint="eastAsia" w:ascii="宋体" w:hAnsi="宋体" w:eastAsia="宋体" w:cs="宋体"/>
          <w:sz w:val="24"/>
          <w:szCs w:val="24"/>
          <w:lang w:eastAsia="zh-CN"/>
        </w:rPr>
        <w:t>电梯控制柜</w:t>
      </w:r>
      <w:r>
        <w:rPr>
          <w:rFonts w:hint="eastAsia" w:ascii="宋体" w:hAnsi="宋体" w:eastAsia="宋体" w:cs="宋体"/>
          <w:sz w:val="24"/>
          <w:szCs w:val="24"/>
        </w:rPr>
        <w:t>、门机整机、曳引机整机必须</w:t>
      </w:r>
      <w:r>
        <w:rPr>
          <w:rFonts w:hint="eastAsia" w:ascii="宋体" w:hAnsi="宋体" w:eastAsia="宋体" w:cs="宋体"/>
          <w:sz w:val="24"/>
          <w:szCs w:val="24"/>
          <w:lang w:eastAsia="zh-CN"/>
        </w:rPr>
        <w:t>为原厂原品牌</w:t>
      </w:r>
      <w:r>
        <w:rPr>
          <w:rFonts w:hint="eastAsia" w:ascii="宋体" w:hAnsi="宋体" w:eastAsia="宋体" w:cs="宋体"/>
          <w:sz w:val="24"/>
          <w:szCs w:val="24"/>
        </w:rPr>
        <w:t>采用自主研发技术， 电梯曳引机、控制柜必须与整机为同一原品牌</w:t>
      </w:r>
      <w:r>
        <w:rPr>
          <w:rFonts w:hint="eastAsia" w:ascii="宋体" w:hAnsi="宋体" w:eastAsia="宋体" w:cs="宋体"/>
          <w:sz w:val="24"/>
          <w:szCs w:val="24"/>
          <w:lang w:eastAsia="zh-CN"/>
        </w:rPr>
        <w:t>（提供证明材料文件），不得使用外购贴牌部件。</w:t>
      </w:r>
    </w:p>
    <w:p w14:paraId="76DEA3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设备材料基本要求 </w:t>
      </w:r>
    </w:p>
    <w:p w14:paraId="340755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11.1、</w:t>
      </w:r>
      <w:r>
        <w:rPr>
          <w:rFonts w:hint="eastAsia" w:ascii="宋体" w:hAnsi="宋体" w:eastAsia="宋体" w:cs="宋体"/>
          <w:sz w:val="24"/>
          <w:szCs w:val="24"/>
        </w:rPr>
        <w:t>部件要求：必须严格按照设计文件及承诺的零部件的规格型号、技术要求、数量、生产国别、生产企业的全新产品供货</w:t>
      </w:r>
      <w:r>
        <w:rPr>
          <w:rFonts w:hint="eastAsia" w:ascii="宋体" w:hAnsi="宋体" w:eastAsia="宋体" w:cs="宋体"/>
          <w:sz w:val="24"/>
          <w:szCs w:val="24"/>
          <w:lang w:eastAsia="zh-CN"/>
        </w:rPr>
        <w:t>。</w:t>
      </w:r>
    </w:p>
    <w:p w14:paraId="246D50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11.2、</w:t>
      </w:r>
      <w:r>
        <w:rPr>
          <w:rFonts w:hint="eastAsia" w:ascii="宋体" w:hAnsi="宋体" w:eastAsia="宋体" w:cs="宋体"/>
          <w:sz w:val="24"/>
          <w:szCs w:val="24"/>
        </w:rPr>
        <w:t>其它零部件及原材料如使用国内产品，也要求选用合资或引进先进技术产品，必须是具有产品生产许可证，产品检测报告及产品合格证的全新产品</w:t>
      </w:r>
      <w:r>
        <w:rPr>
          <w:rFonts w:hint="eastAsia" w:ascii="宋体" w:hAnsi="宋体" w:eastAsia="宋体" w:cs="宋体"/>
          <w:sz w:val="24"/>
          <w:szCs w:val="24"/>
          <w:lang w:eastAsia="zh-CN"/>
        </w:rPr>
        <w:t>。</w:t>
      </w:r>
    </w:p>
    <w:p w14:paraId="7D1640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11.3、</w:t>
      </w:r>
      <w:r>
        <w:rPr>
          <w:rFonts w:hint="eastAsia" w:ascii="宋体" w:hAnsi="宋体" w:eastAsia="宋体" w:cs="宋体"/>
          <w:sz w:val="24"/>
          <w:szCs w:val="24"/>
        </w:rPr>
        <w:t>以上零部件主要原材料均应按明细填写在投标文件的“设备材料明细表”内</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6F7A0D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11.4、</w:t>
      </w:r>
      <w:r>
        <w:rPr>
          <w:rFonts w:hint="eastAsia" w:ascii="宋体" w:hAnsi="宋体" w:eastAsia="宋体" w:cs="宋体"/>
          <w:sz w:val="24"/>
          <w:szCs w:val="24"/>
        </w:rPr>
        <w:t>发纹不锈钢全部采用优质 304 发纹不锈钢。</w:t>
      </w:r>
    </w:p>
    <w:p w14:paraId="1CF430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舒适度：加 / 减速度=1.0 m/s2, 轿厢垂直振动=8cm/s2, 轿厢水平振动=8cm/s2, 轿厢内噪声= 50dB（A ）, 平层准确度±5 mm。</w:t>
      </w:r>
    </w:p>
    <w:p w14:paraId="37C269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节能装置：配备能源回馈再生装置有效降低使用成本，且符合国际环保节能概念</w:t>
      </w:r>
      <w:r>
        <w:rPr>
          <w:rFonts w:hint="eastAsia" w:ascii="宋体" w:hAnsi="宋体" w:eastAsia="宋体" w:cs="宋体"/>
          <w:sz w:val="24"/>
          <w:szCs w:val="24"/>
          <w:lang w:eastAsia="zh-CN"/>
        </w:rPr>
        <w:t>，提供国家标准级别能效等级证书。</w:t>
      </w:r>
    </w:p>
    <w:p w14:paraId="1B7D5615">
      <w:pPr>
        <w:bidi w:val="0"/>
        <w:ind w:left="0" w:leftChars="0" w:firstLine="0" w:firstLineChars="0"/>
        <w:rPr>
          <w:rFonts w:hint="eastAsia"/>
        </w:rPr>
      </w:pPr>
    </w:p>
    <w:p w14:paraId="2492AD3E">
      <w:pPr>
        <w:pStyle w:val="3"/>
        <w:ind w:left="0" w:leftChars="0" w:firstLine="0" w:firstLineChars="0"/>
        <w:rPr>
          <w:rFonts w:hint="eastAsia"/>
        </w:rPr>
      </w:pPr>
      <w:bookmarkStart w:id="11" w:name="_Toc12299"/>
      <w:r>
        <w:rPr>
          <w:rFonts w:hint="eastAsia"/>
          <w:sz w:val="30"/>
          <w:szCs w:val="30"/>
          <w:lang w:eastAsia="zh-CN"/>
        </w:rPr>
        <w:t>三</w:t>
      </w:r>
      <w:r>
        <w:rPr>
          <w:rFonts w:hint="eastAsia"/>
          <w:sz w:val="30"/>
          <w:szCs w:val="30"/>
        </w:rPr>
        <w:t>、商务要求</w:t>
      </w:r>
      <w:bookmarkEnd w:id="11"/>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115"/>
        <w:gridCol w:w="7354"/>
      </w:tblGrid>
      <w:tr w14:paraId="7A31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trPr>
        <w:tc>
          <w:tcPr>
            <w:tcW w:w="809" w:type="dxa"/>
            <w:shd w:val="pct10" w:color="C4BC96" w:fill="DDD9C3"/>
            <w:vAlign w:val="center"/>
          </w:tcPr>
          <w:p w14:paraId="74613237">
            <w:pPr>
              <w:tabs>
                <w:tab w:val="center" w:pos="186"/>
              </w:tabs>
              <w:spacing w:line="360" w:lineRule="exact"/>
              <w:ind w:right="-78" w:rightChars="-37" w:firstLine="211" w:firstLineChars="100"/>
              <w:jc w:val="both"/>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115" w:type="dxa"/>
            <w:shd w:val="pct10" w:color="C4BC96" w:fill="DDD9C3"/>
            <w:vAlign w:val="center"/>
          </w:tcPr>
          <w:p w14:paraId="430C0FCB">
            <w:pPr>
              <w:spacing w:line="360" w:lineRule="exact"/>
              <w:ind w:left="0" w:leftChars="0" w:firstLine="0" w:firstLineChars="0"/>
              <w:jc w:val="both"/>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商务条款</w:t>
            </w:r>
          </w:p>
        </w:tc>
        <w:tc>
          <w:tcPr>
            <w:tcW w:w="7354" w:type="dxa"/>
            <w:shd w:val="pct10" w:color="C4BC96" w:fill="DDD9C3"/>
            <w:vAlign w:val="center"/>
          </w:tcPr>
          <w:p w14:paraId="697C42D5">
            <w:pPr>
              <w:spacing w:line="360" w:lineRule="exact"/>
              <w:ind w:left="-92" w:leftChars="-44" w:right="-78" w:rightChars="-37" w:firstLine="48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    容</w:t>
            </w:r>
          </w:p>
        </w:tc>
      </w:tr>
      <w:tr w14:paraId="273B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9" w:type="dxa"/>
            <w:shd w:val="clear" w:color="C4BC96" w:fill="auto"/>
            <w:vAlign w:val="center"/>
          </w:tcPr>
          <w:p w14:paraId="69EF14E3">
            <w:pPr>
              <w:tabs>
                <w:tab w:val="left" w:pos="102"/>
              </w:tabs>
              <w:spacing w:line="280" w:lineRule="exact"/>
              <w:ind w:left="0" w:leftChars="0" w:right="-65" w:rightChars="-31" w:firstLine="0" w:firstLineChars="0"/>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1</w:t>
            </w:r>
          </w:p>
        </w:tc>
        <w:tc>
          <w:tcPr>
            <w:tcW w:w="1115" w:type="dxa"/>
            <w:shd w:val="clear" w:color="C4BC96" w:fill="auto"/>
            <w:vAlign w:val="center"/>
          </w:tcPr>
          <w:p w14:paraId="04FC396B">
            <w:pPr>
              <w:spacing w:line="360" w:lineRule="exact"/>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交货期</w:t>
            </w:r>
          </w:p>
        </w:tc>
        <w:tc>
          <w:tcPr>
            <w:tcW w:w="7354" w:type="dxa"/>
            <w:shd w:val="clear" w:color="C4BC96" w:fill="auto"/>
            <w:vAlign w:val="center"/>
          </w:tcPr>
          <w:p w14:paraId="07FE1E39">
            <w:pPr>
              <w:ind w:left="0" w:leftChars="0" w:firstLine="0" w:firstLineChars="0"/>
              <w:rPr>
                <w:rFonts w:hint="eastAsia" w:ascii="宋体" w:hAnsi="宋体" w:eastAsia="宋体" w:cs="宋体"/>
                <w:sz w:val="21"/>
                <w:szCs w:val="21"/>
                <w:lang w:val="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日历天安装完成（交货期：</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日历天、安装工期：</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0日历天）。</w:t>
            </w:r>
          </w:p>
        </w:tc>
      </w:tr>
      <w:tr w14:paraId="0E1E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9" w:type="dxa"/>
            <w:shd w:val="clear" w:color="C4BC96" w:fill="auto"/>
            <w:vAlign w:val="center"/>
          </w:tcPr>
          <w:p w14:paraId="63EE7D72">
            <w:pPr>
              <w:tabs>
                <w:tab w:val="left" w:pos="102"/>
              </w:tabs>
              <w:spacing w:line="280" w:lineRule="exact"/>
              <w:ind w:left="0" w:leftChars="0" w:right="-65" w:rightChars="-31"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2</w:t>
            </w:r>
          </w:p>
        </w:tc>
        <w:tc>
          <w:tcPr>
            <w:tcW w:w="1115" w:type="dxa"/>
            <w:shd w:val="clear" w:color="C4BC96" w:fill="auto"/>
            <w:vAlign w:val="center"/>
          </w:tcPr>
          <w:p w14:paraId="65E4A460">
            <w:pPr>
              <w:spacing w:line="360" w:lineRule="exact"/>
              <w:ind w:left="0" w:leftChars="0" w:firstLine="0" w:firstLineChars="0"/>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交货地点</w:t>
            </w:r>
          </w:p>
        </w:tc>
        <w:tc>
          <w:tcPr>
            <w:tcW w:w="7354" w:type="dxa"/>
            <w:shd w:val="clear" w:color="C4BC96" w:fill="auto"/>
            <w:vAlign w:val="center"/>
          </w:tcPr>
          <w:p w14:paraId="379CF49D">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武汉市东西湖区东吴大道1317号</w:t>
            </w:r>
            <w:r>
              <w:rPr>
                <w:rFonts w:hint="eastAsia" w:ascii="宋体" w:hAnsi="宋体" w:eastAsia="宋体" w:cs="宋体"/>
                <w:sz w:val="21"/>
                <w:szCs w:val="21"/>
                <w:lang w:val="zh-CN"/>
              </w:rPr>
              <w:t>东西湖区水务和湖泊局机关大楼</w:t>
            </w:r>
            <w:r>
              <w:rPr>
                <w:rFonts w:hint="eastAsia" w:ascii="宋体" w:hAnsi="宋体" w:eastAsia="宋体" w:cs="宋体"/>
                <w:sz w:val="21"/>
                <w:szCs w:val="21"/>
                <w:lang w:val="en-US" w:eastAsia="zh-CN"/>
              </w:rPr>
              <w:t>内</w:t>
            </w:r>
          </w:p>
        </w:tc>
      </w:tr>
      <w:tr w14:paraId="27B9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9" w:type="dxa"/>
            <w:shd w:val="clear" w:color="C4BC96" w:fill="auto"/>
            <w:vAlign w:val="center"/>
          </w:tcPr>
          <w:p w14:paraId="0B1C729E">
            <w:pPr>
              <w:tabs>
                <w:tab w:val="left" w:pos="102"/>
              </w:tabs>
              <w:spacing w:line="280" w:lineRule="exact"/>
              <w:ind w:left="0" w:leftChars="0" w:right="-65" w:rightChars="-31"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3</w:t>
            </w:r>
          </w:p>
        </w:tc>
        <w:tc>
          <w:tcPr>
            <w:tcW w:w="1115" w:type="dxa"/>
            <w:shd w:val="clear" w:color="C4BC96" w:fill="auto"/>
            <w:vAlign w:val="center"/>
          </w:tcPr>
          <w:p w14:paraId="190BDE09">
            <w:pPr>
              <w:spacing w:line="360" w:lineRule="exact"/>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质保期</w:t>
            </w:r>
          </w:p>
        </w:tc>
        <w:tc>
          <w:tcPr>
            <w:tcW w:w="7354" w:type="dxa"/>
            <w:shd w:val="clear" w:color="C4BC96" w:fill="auto"/>
            <w:vAlign w:val="center"/>
          </w:tcPr>
          <w:p w14:paraId="45024A72">
            <w:pPr>
              <w:ind w:left="0" w:leftChars="0" w:firstLine="0" w:firstLineChars="0"/>
              <w:rPr>
                <w:rFonts w:hint="eastAsia" w:ascii="宋体" w:hAnsi="宋体" w:eastAsia="宋体" w:cs="宋体"/>
                <w:sz w:val="21"/>
                <w:szCs w:val="21"/>
                <w:lang w:val="en-US" w:eastAsia="zh-CN"/>
              </w:rPr>
            </w:pPr>
            <w:r>
              <w:rPr>
                <w:rFonts w:hint="eastAsia" w:ascii="宋体" w:hAnsi="宋体" w:cs="宋体"/>
                <w:kern w:val="2"/>
                <w:sz w:val="21"/>
                <w:szCs w:val="21"/>
                <w:highlight w:val="none"/>
                <w:lang w:val="en-US" w:eastAsia="zh-CN" w:bidi="ar-SA"/>
              </w:rPr>
              <w:t>从质量技术监督部门和</w:t>
            </w:r>
            <w:r>
              <w:rPr>
                <w:rFonts w:hint="eastAsia" w:ascii="宋体" w:hAnsi="宋体" w:eastAsia="宋体" w:cs="宋体"/>
                <w:sz w:val="21"/>
                <w:szCs w:val="21"/>
                <w:lang w:val="en-US" w:eastAsia="zh-CN"/>
              </w:rPr>
              <w:t>采购人验收合格之日起</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质保</w:t>
            </w:r>
            <w:r>
              <w:rPr>
                <w:rFonts w:hint="eastAsia" w:ascii="宋体" w:hAnsi="宋体" w:eastAsia="宋体" w:cs="宋体"/>
                <w:sz w:val="21"/>
                <w:szCs w:val="21"/>
                <w:lang w:val="en-US" w:eastAsia="zh-CN"/>
              </w:rPr>
              <w:t>。</w:t>
            </w:r>
          </w:p>
        </w:tc>
      </w:tr>
      <w:tr w14:paraId="7C98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9" w:type="dxa"/>
            <w:vAlign w:val="center"/>
          </w:tcPr>
          <w:p w14:paraId="3BCC3B58">
            <w:pPr>
              <w:tabs>
                <w:tab w:val="left" w:pos="102"/>
              </w:tabs>
              <w:spacing w:line="280" w:lineRule="exact"/>
              <w:ind w:left="0" w:leftChars="0" w:right="-65" w:rightChars="-31"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4</w:t>
            </w:r>
          </w:p>
        </w:tc>
        <w:tc>
          <w:tcPr>
            <w:tcW w:w="1115" w:type="dxa"/>
            <w:vAlign w:val="center"/>
          </w:tcPr>
          <w:p w14:paraId="51958734">
            <w:pPr>
              <w:spacing w:line="360" w:lineRule="exact"/>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报价要求</w:t>
            </w:r>
          </w:p>
        </w:tc>
        <w:tc>
          <w:tcPr>
            <w:tcW w:w="7354" w:type="dxa"/>
            <w:vAlign w:val="center"/>
          </w:tcPr>
          <w:p w14:paraId="6C4982A8">
            <w:p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color w:val="000000" w:themeColor="text1"/>
                <w:kern w:val="0"/>
                <w:sz w:val="21"/>
                <w:szCs w:val="21"/>
                <w:lang w:val="zh-CN"/>
                <w14:textFill>
                  <w14:solidFill>
                    <w14:schemeClr w14:val="tx1"/>
                  </w14:solidFill>
                </w14:textFill>
              </w:rPr>
              <w:t>投标报价应包含为完成本谈判文件提出的货物或服务等相关的所有可能发生的费用，即投标总报价为“交钥匙”价。对在项目实施过程中可能发生的其他费用，采购人概不负责。</w:t>
            </w:r>
          </w:p>
        </w:tc>
      </w:tr>
      <w:tr w14:paraId="2725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9" w:type="dxa"/>
            <w:vAlign w:val="center"/>
          </w:tcPr>
          <w:p w14:paraId="255490C2">
            <w:pPr>
              <w:tabs>
                <w:tab w:val="left" w:pos="102"/>
              </w:tabs>
              <w:spacing w:line="280" w:lineRule="exact"/>
              <w:ind w:left="0" w:leftChars="0" w:right="-65" w:rightChars="-31" w:firstLine="0" w:firstLineChars="0"/>
              <w:jc w:val="center"/>
              <w:rPr>
                <w:rFonts w:hint="default"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kern w:val="2"/>
                <w:sz w:val="21"/>
                <w:szCs w:val="21"/>
                <w:lang w:val="en-US" w:eastAsia="zh-CN" w:bidi="ar-SA"/>
              </w:rPr>
              <w:t>5</w:t>
            </w:r>
          </w:p>
        </w:tc>
        <w:tc>
          <w:tcPr>
            <w:tcW w:w="1115" w:type="dxa"/>
            <w:vAlign w:val="center"/>
          </w:tcPr>
          <w:p w14:paraId="59A0CE90">
            <w:pPr>
              <w:spacing w:line="360" w:lineRule="exact"/>
              <w:ind w:left="0" w:leftChars="0" w:firstLine="0" w:firstLineChars="0"/>
              <w:jc w:val="both"/>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付款方式</w:t>
            </w:r>
          </w:p>
        </w:tc>
        <w:tc>
          <w:tcPr>
            <w:tcW w:w="7354" w:type="dxa"/>
            <w:vAlign w:val="center"/>
          </w:tcPr>
          <w:p w14:paraId="4F76CC9B">
            <w:pPr>
              <w:ind w:left="0" w:leftChars="0" w:firstLine="0" w:firstLineChars="0"/>
              <w:rPr>
                <w:rFonts w:hint="default" w:ascii="宋体" w:hAnsi="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本合同的付款条件按招标文件规定执行。</w:t>
            </w:r>
            <w:r>
              <w:rPr>
                <w:rFonts w:hint="eastAsia" w:ascii="宋体" w:hAnsi="宋体" w:cs="宋体"/>
                <w:kern w:val="2"/>
                <w:sz w:val="21"/>
                <w:szCs w:val="21"/>
                <w:highlight w:val="none"/>
                <w:lang w:val="en-US" w:eastAsia="zh-CN" w:bidi="ar-SA"/>
              </w:rPr>
              <w:t>具体付款方式如下：</w:t>
            </w:r>
          </w:p>
          <w:p w14:paraId="2D5259BF">
            <w:pPr>
              <w:ind w:left="0" w:leftChars="0" w:firstLine="0" w:firstLineChars="0"/>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default" w:ascii="宋体" w:hAnsi="宋体" w:cs="宋体"/>
                <w:kern w:val="2"/>
                <w:sz w:val="21"/>
                <w:szCs w:val="21"/>
                <w:highlight w:val="none"/>
                <w:lang w:val="en-US" w:eastAsia="zh-CN" w:bidi="ar-SA"/>
              </w:rPr>
              <w:t>款项</w:t>
            </w:r>
            <w:r>
              <w:rPr>
                <w:rFonts w:hint="eastAsia" w:ascii="宋体" w:hAnsi="宋体" w:cs="宋体"/>
                <w:kern w:val="2"/>
                <w:sz w:val="21"/>
                <w:szCs w:val="21"/>
                <w:highlight w:val="none"/>
                <w:lang w:val="en-US" w:eastAsia="zh-CN" w:bidi="ar-SA"/>
              </w:rPr>
              <w:t>支付</w:t>
            </w:r>
            <w:r>
              <w:rPr>
                <w:rFonts w:hint="default" w:ascii="宋体" w:hAnsi="宋体" w:cs="宋体"/>
                <w:kern w:val="2"/>
                <w:sz w:val="21"/>
                <w:szCs w:val="21"/>
                <w:highlight w:val="none"/>
                <w:lang w:val="en-US" w:eastAsia="zh-CN" w:bidi="ar-SA"/>
              </w:rPr>
              <w:t>：电梯安装完毕，经</w:t>
            </w:r>
            <w:r>
              <w:rPr>
                <w:rFonts w:hint="eastAsia" w:ascii="宋体" w:hAnsi="宋体" w:cs="宋体"/>
                <w:kern w:val="2"/>
                <w:sz w:val="21"/>
                <w:szCs w:val="21"/>
                <w:highlight w:val="none"/>
                <w:lang w:val="en-US" w:eastAsia="zh-CN" w:bidi="ar-SA"/>
              </w:rPr>
              <w:t>质量技术监督部门</w:t>
            </w:r>
            <w:r>
              <w:rPr>
                <w:rFonts w:hint="default" w:ascii="宋体" w:hAnsi="宋体" w:cs="宋体"/>
                <w:kern w:val="2"/>
                <w:sz w:val="21"/>
                <w:szCs w:val="21"/>
                <w:highlight w:val="none"/>
                <w:lang w:val="en-US" w:eastAsia="zh-CN" w:bidi="ar-SA"/>
              </w:rPr>
              <w:t>出具验收合格报告（出具特种设备使用登记证）</w:t>
            </w:r>
            <w:r>
              <w:rPr>
                <w:rFonts w:hint="eastAsia" w:ascii="宋体" w:hAnsi="宋体" w:cs="宋体"/>
                <w:kern w:val="2"/>
                <w:sz w:val="21"/>
                <w:szCs w:val="21"/>
                <w:highlight w:val="none"/>
                <w:lang w:val="en-US" w:eastAsia="zh-CN" w:bidi="ar-SA"/>
              </w:rPr>
              <w:t>和采购人</w:t>
            </w:r>
            <w:r>
              <w:rPr>
                <w:rFonts w:hint="default" w:ascii="宋体" w:hAnsi="宋体" w:cs="宋体"/>
                <w:kern w:val="2"/>
                <w:sz w:val="21"/>
                <w:szCs w:val="21"/>
                <w:highlight w:val="none"/>
                <w:lang w:val="en-US" w:eastAsia="zh-CN" w:bidi="ar-SA"/>
              </w:rPr>
              <w:t>验收合格</w:t>
            </w:r>
            <w:r>
              <w:rPr>
                <w:rFonts w:hint="eastAsia" w:ascii="宋体" w:hAnsi="宋体" w:cs="宋体"/>
                <w:kern w:val="2"/>
                <w:sz w:val="21"/>
                <w:szCs w:val="21"/>
                <w:highlight w:val="none"/>
                <w:lang w:val="en-US" w:eastAsia="zh-CN" w:bidi="ar-SA"/>
              </w:rPr>
              <w:t>后采购人</w:t>
            </w:r>
            <w:r>
              <w:rPr>
                <w:rFonts w:hint="default" w:ascii="宋体" w:hAnsi="宋体" w:cs="宋体"/>
                <w:kern w:val="2"/>
                <w:sz w:val="21"/>
                <w:szCs w:val="21"/>
                <w:highlight w:val="none"/>
                <w:lang w:val="en-US" w:eastAsia="zh-CN" w:bidi="ar-SA"/>
              </w:rPr>
              <w:t>向</w:t>
            </w:r>
            <w:r>
              <w:rPr>
                <w:rFonts w:hint="eastAsia" w:ascii="宋体" w:hAnsi="宋体" w:eastAsia="宋体" w:cs="宋体"/>
                <w:color w:val="auto"/>
                <w:sz w:val="21"/>
                <w:szCs w:val="21"/>
                <w:highlight w:val="none"/>
              </w:rPr>
              <w:t>成交供应商</w:t>
            </w:r>
            <w:r>
              <w:rPr>
                <w:rFonts w:hint="default" w:ascii="宋体" w:hAnsi="宋体" w:cs="宋体"/>
                <w:kern w:val="2"/>
                <w:sz w:val="21"/>
                <w:szCs w:val="21"/>
                <w:highlight w:val="none"/>
                <w:lang w:val="en-US" w:eastAsia="zh-CN" w:bidi="ar-SA"/>
              </w:rPr>
              <w:t>支付</w:t>
            </w:r>
            <w:r>
              <w:rPr>
                <w:rFonts w:hint="eastAsia" w:ascii="宋体" w:hAnsi="宋体" w:cs="宋体"/>
                <w:kern w:val="2"/>
                <w:sz w:val="21"/>
                <w:szCs w:val="21"/>
                <w:highlight w:val="none"/>
                <w:lang w:val="en-US" w:eastAsia="zh-CN" w:bidi="ar-SA"/>
              </w:rPr>
              <w:t>合同价款95%费用</w:t>
            </w:r>
            <w:r>
              <w:rPr>
                <w:rFonts w:hint="default" w:ascii="宋体" w:hAnsi="宋体" w:cs="宋体"/>
                <w:kern w:val="2"/>
                <w:sz w:val="21"/>
                <w:szCs w:val="21"/>
                <w:highlight w:val="none"/>
                <w:lang w:val="en-US" w:eastAsia="zh-CN" w:bidi="ar-SA"/>
              </w:rPr>
              <w:t>。</w:t>
            </w:r>
          </w:p>
          <w:p w14:paraId="1DE40AA2">
            <w:pPr>
              <w:ind w:left="0" w:leftChars="0" w:firstLine="0" w:firstLineChars="0"/>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default" w:ascii="宋体" w:hAnsi="宋体" w:cs="宋体"/>
                <w:kern w:val="2"/>
                <w:sz w:val="21"/>
                <w:szCs w:val="21"/>
                <w:highlight w:val="none"/>
                <w:lang w:val="en-US" w:eastAsia="zh-CN" w:bidi="ar-SA"/>
              </w:rPr>
              <w:t>质保金款项：自电梯安装调试完毕，经</w:t>
            </w:r>
            <w:r>
              <w:rPr>
                <w:rFonts w:hint="eastAsia" w:ascii="宋体" w:hAnsi="宋体" w:cs="宋体"/>
                <w:kern w:val="2"/>
                <w:sz w:val="21"/>
                <w:szCs w:val="21"/>
                <w:highlight w:val="none"/>
                <w:lang w:val="en-US" w:eastAsia="zh-CN" w:bidi="ar-SA"/>
              </w:rPr>
              <w:t>质量技术监督部门</w:t>
            </w:r>
            <w:r>
              <w:rPr>
                <w:rFonts w:hint="default" w:ascii="宋体" w:hAnsi="宋体" w:cs="宋体"/>
                <w:kern w:val="2"/>
                <w:sz w:val="21"/>
                <w:szCs w:val="21"/>
                <w:highlight w:val="none"/>
                <w:lang w:val="en-US" w:eastAsia="zh-CN" w:bidi="ar-SA"/>
              </w:rPr>
              <w:t>出具验收合格报告</w:t>
            </w:r>
            <w:r>
              <w:rPr>
                <w:rFonts w:hint="eastAsia" w:ascii="宋体" w:hAnsi="宋体" w:cs="宋体"/>
                <w:kern w:val="2"/>
                <w:sz w:val="21"/>
                <w:szCs w:val="21"/>
                <w:highlight w:val="none"/>
                <w:lang w:val="en-US" w:eastAsia="zh-CN" w:bidi="ar-SA"/>
              </w:rPr>
              <w:t>和采购人</w:t>
            </w:r>
            <w:r>
              <w:rPr>
                <w:rFonts w:hint="default" w:ascii="宋体" w:hAnsi="宋体" w:cs="宋体"/>
                <w:kern w:val="2"/>
                <w:sz w:val="21"/>
                <w:szCs w:val="21"/>
                <w:highlight w:val="none"/>
                <w:lang w:val="en-US" w:eastAsia="zh-CN" w:bidi="ar-SA"/>
              </w:rPr>
              <w:t>验收合格之日起两年期满，电梯设备无重大问题</w:t>
            </w:r>
            <w:r>
              <w:rPr>
                <w:rFonts w:hint="eastAsia" w:ascii="宋体" w:hAnsi="宋体" w:cs="宋体"/>
                <w:kern w:val="2"/>
                <w:sz w:val="21"/>
                <w:szCs w:val="21"/>
                <w:highlight w:val="none"/>
                <w:lang w:val="en-US" w:eastAsia="zh-CN" w:bidi="ar-SA"/>
              </w:rPr>
              <w:t>，</w:t>
            </w:r>
            <w:r>
              <w:rPr>
                <w:rFonts w:hint="default" w:ascii="宋体" w:hAnsi="宋体" w:cs="宋体"/>
                <w:kern w:val="2"/>
                <w:sz w:val="21"/>
                <w:szCs w:val="21"/>
                <w:highlight w:val="none"/>
                <w:lang w:val="en-US" w:eastAsia="zh-CN" w:bidi="ar-SA"/>
              </w:rPr>
              <w:t>支付</w:t>
            </w:r>
            <w:r>
              <w:rPr>
                <w:rFonts w:hint="eastAsia" w:ascii="宋体" w:hAnsi="宋体" w:cs="宋体"/>
                <w:kern w:val="2"/>
                <w:sz w:val="21"/>
                <w:szCs w:val="21"/>
                <w:highlight w:val="none"/>
                <w:lang w:val="en-US" w:eastAsia="zh-CN" w:bidi="ar-SA"/>
              </w:rPr>
              <w:t>合同价款剩余</w:t>
            </w:r>
            <w:r>
              <w:rPr>
                <w:rFonts w:hint="default" w:ascii="宋体" w:hAnsi="宋体" w:cs="宋体"/>
                <w:kern w:val="2"/>
                <w:sz w:val="21"/>
                <w:szCs w:val="21"/>
                <w:highlight w:val="none"/>
                <w:lang w:val="en-US" w:eastAsia="zh-CN" w:bidi="ar-SA"/>
              </w:rPr>
              <w:t>5%</w:t>
            </w:r>
            <w:r>
              <w:rPr>
                <w:rFonts w:hint="eastAsia" w:ascii="宋体" w:hAnsi="宋体" w:cs="宋体"/>
                <w:kern w:val="2"/>
                <w:sz w:val="21"/>
                <w:szCs w:val="21"/>
                <w:highlight w:val="none"/>
                <w:lang w:val="en-US" w:eastAsia="zh-CN" w:bidi="ar-SA"/>
              </w:rPr>
              <w:t>费用</w:t>
            </w:r>
            <w:r>
              <w:rPr>
                <w:rFonts w:hint="default" w:ascii="宋体" w:hAnsi="宋体" w:cs="宋体"/>
                <w:kern w:val="2"/>
                <w:sz w:val="21"/>
                <w:szCs w:val="21"/>
                <w:highlight w:val="none"/>
                <w:lang w:val="en-US" w:eastAsia="zh-CN" w:bidi="ar-SA"/>
              </w:rPr>
              <w:t>。</w:t>
            </w:r>
          </w:p>
          <w:p w14:paraId="59BDAEFD">
            <w:pPr>
              <w:ind w:left="0" w:leftChars="0" w:firstLine="0" w:firstLineChars="0"/>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w:t>
            </w:r>
            <w:r>
              <w:rPr>
                <w:rFonts w:hint="default" w:ascii="宋体" w:hAnsi="宋体" w:cs="宋体"/>
                <w:kern w:val="2"/>
                <w:sz w:val="21"/>
                <w:szCs w:val="21"/>
                <w:highlight w:val="none"/>
                <w:lang w:val="en-US" w:eastAsia="zh-CN" w:bidi="ar-SA"/>
              </w:rPr>
              <w:t>开具发票：</w:t>
            </w:r>
            <w:r>
              <w:rPr>
                <w:rFonts w:hint="eastAsia" w:ascii="宋体" w:hAnsi="宋体" w:eastAsia="宋体" w:cs="宋体"/>
                <w:color w:val="auto"/>
                <w:sz w:val="21"/>
                <w:szCs w:val="21"/>
                <w:highlight w:val="none"/>
              </w:rPr>
              <w:t>成交供应商</w:t>
            </w:r>
            <w:r>
              <w:rPr>
                <w:rFonts w:hint="default" w:ascii="宋体" w:hAnsi="宋体" w:cs="宋体"/>
                <w:kern w:val="2"/>
                <w:sz w:val="21"/>
                <w:szCs w:val="21"/>
                <w:highlight w:val="none"/>
                <w:lang w:val="en-US" w:eastAsia="zh-CN" w:bidi="ar-SA"/>
              </w:rPr>
              <w:t>每收取一笔款项，应当及时向甲方开具</w:t>
            </w:r>
            <w:r>
              <w:rPr>
                <w:rFonts w:hint="eastAsia" w:ascii="宋体" w:hAnsi="宋体" w:cs="宋体"/>
                <w:kern w:val="2"/>
                <w:sz w:val="21"/>
                <w:szCs w:val="21"/>
                <w:highlight w:val="none"/>
                <w:lang w:val="en-US" w:eastAsia="zh-CN" w:bidi="ar-SA"/>
              </w:rPr>
              <w:t>正规</w:t>
            </w:r>
            <w:r>
              <w:rPr>
                <w:rFonts w:hint="default" w:ascii="宋体" w:hAnsi="宋体" w:cs="宋体"/>
                <w:kern w:val="2"/>
                <w:sz w:val="21"/>
                <w:szCs w:val="21"/>
                <w:highlight w:val="none"/>
                <w:lang w:val="en-US" w:eastAsia="zh-CN" w:bidi="ar-SA"/>
              </w:rPr>
              <w:t>发票。若发票不合格或延迟开票，甲方有权拒绝付款或顺延付款。</w:t>
            </w:r>
          </w:p>
        </w:tc>
      </w:tr>
      <w:tr w14:paraId="326F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dxa"/>
            <w:vAlign w:val="center"/>
          </w:tcPr>
          <w:p w14:paraId="3C52C1FE">
            <w:pPr>
              <w:tabs>
                <w:tab w:val="left" w:pos="102"/>
              </w:tabs>
              <w:spacing w:line="280" w:lineRule="exact"/>
              <w:ind w:left="0" w:leftChars="0" w:right="-65" w:rightChars="-31" w:firstLine="0" w:firstLineChars="0"/>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6</w:t>
            </w:r>
          </w:p>
        </w:tc>
        <w:tc>
          <w:tcPr>
            <w:tcW w:w="1115" w:type="dxa"/>
            <w:vAlign w:val="center"/>
          </w:tcPr>
          <w:p w14:paraId="342C97E4">
            <w:pPr>
              <w:ind w:left="0" w:leftChars="0" w:right="-78" w:rightChars="-37" w:firstLine="0" w:firstLineChars="0"/>
              <w:jc w:val="both"/>
              <w:rPr>
                <w:rFonts w:hint="eastAsia" w:ascii="宋体" w:hAnsi="宋体" w:eastAsia="宋体" w:cs="宋体"/>
                <w:b/>
                <w:sz w:val="21"/>
                <w:szCs w:val="21"/>
              </w:rPr>
            </w:pPr>
            <w:r>
              <w:rPr>
                <w:rFonts w:hint="eastAsia" w:ascii="宋体" w:hAnsi="宋体" w:eastAsia="宋体" w:cs="宋体"/>
                <w:b/>
                <w:sz w:val="21"/>
                <w:szCs w:val="21"/>
              </w:rPr>
              <w:t>验收要求</w:t>
            </w:r>
          </w:p>
        </w:tc>
        <w:tc>
          <w:tcPr>
            <w:tcW w:w="7354" w:type="dxa"/>
            <w:vAlign w:val="center"/>
          </w:tcPr>
          <w:p w14:paraId="727582F9">
            <w:pPr>
              <w:ind w:left="0" w:leftChars="0" w:firstLine="0" w:firstLineChars="0"/>
              <w:rPr>
                <w:rFonts w:hint="eastAsia" w:ascii="宋体" w:hAnsi="宋体" w:eastAsia="宋体" w:cs="宋体"/>
                <w:sz w:val="21"/>
                <w:szCs w:val="21"/>
                <w:lang w:val="zh-CN"/>
              </w:rPr>
            </w:pPr>
            <w:r>
              <w:rPr>
                <w:rFonts w:hint="eastAsia" w:ascii="宋体" w:hAnsi="宋体" w:cs="宋体"/>
                <w:color w:val="auto"/>
                <w:sz w:val="21"/>
                <w:szCs w:val="21"/>
                <w:highlight w:val="none"/>
                <w:lang w:eastAsia="zh-CN"/>
              </w:rPr>
              <w:t>符合政策验收标准</w:t>
            </w:r>
            <w:r>
              <w:rPr>
                <w:rFonts w:hint="eastAsia" w:ascii="宋体" w:hAnsi="宋体" w:eastAsia="宋体" w:cs="宋体"/>
                <w:color w:val="auto"/>
                <w:sz w:val="21"/>
                <w:szCs w:val="21"/>
                <w:highlight w:val="none"/>
              </w:rPr>
              <w:t>。</w:t>
            </w:r>
          </w:p>
        </w:tc>
      </w:tr>
      <w:tr w14:paraId="33BE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trPr>
        <w:tc>
          <w:tcPr>
            <w:tcW w:w="809" w:type="dxa"/>
            <w:vAlign w:val="center"/>
          </w:tcPr>
          <w:p w14:paraId="41EE8397">
            <w:pPr>
              <w:tabs>
                <w:tab w:val="left" w:pos="102"/>
              </w:tabs>
              <w:spacing w:line="280" w:lineRule="exact"/>
              <w:ind w:left="0" w:leftChars="0" w:right="-65" w:rightChars="-31"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7</w:t>
            </w:r>
          </w:p>
        </w:tc>
        <w:tc>
          <w:tcPr>
            <w:tcW w:w="1115" w:type="dxa"/>
            <w:vAlign w:val="center"/>
          </w:tcPr>
          <w:p w14:paraId="3C2FA4E0">
            <w:pPr>
              <w:ind w:left="0" w:leftChars="0" w:right="-78" w:rightChars="-37" w:firstLine="0" w:firstLineChars="0"/>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其他商务要求</w:t>
            </w:r>
          </w:p>
        </w:tc>
        <w:tc>
          <w:tcPr>
            <w:tcW w:w="7354" w:type="dxa"/>
            <w:shd w:val="clear" w:color="auto" w:fill="auto"/>
            <w:vAlign w:val="center"/>
          </w:tcPr>
          <w:p w14:paraId="25F5D413">
            <w:pPr>
              <w:ind w:left="0" w:leftChars="0" w:firstLine="0" w:firstLineChars="0"/>
              <w:rPr>
                <w:rFonts w:hint="eastAsia" w:ascii="宋体" w:hAnsi="宋体" w:eastAsia="宋体" w:cs="宋体"/>
                <w:sz w:val="21"/>
                <w:szCs w:val="21"/>
                <w:highlight w:val="none"/>
              </w:rPr>
            </w:pPr>
            <w:r>
              <w:rPr>
                <w:rFonts w:hint="eastAsia" w:ascii="宋体" w:hAnsi="宋体" w:eastAsia="宋体" w:cs="宋体"/>
                <w:color w:val="auto"/>
                <w:highlight w:val="none"/>
                <w:lang w:val="en-US" w:eastAsia="zh-CN"/>
              </w:rPr>
              <w:t>1.</w:t>
            </w:r>
            <w:r>
              <w:rPr>
                <w:rFonts w:hint="eastAsia" w:ascii="宋体" w:hAnsi="宋体" w:eastAsia="宋体" w:cs="宋体"/>
                <w:sz w:val="21"/>
                <w:szCs w:val="21"/>
                <w:highlight w:val="none"/>
              </w:rPr>
              <w:t>现有电梯由成交供应商负责拆除，拆除下来的旧电梯归</w:t>
            </w: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人所有，由</w:t>
            </w:r>
            <w:r>
              <w:rPr>
                <w:rFonts w:hint="eastAsia" w:ascii="宋体" w:hAnsi="宋体" w:cs="宋体"/>
                <w:sz w:val="21"/>
                <w:szCs w:val="21"/>
                <w:highlight w:val="none"/>
                <w:lang w:eastAsia="zh-CN"/>
              </w:rPr>
              <w:t>采购人</w:t>
            </w:r>
            <w:r>
              <w:rPr>
                <w:rFonts w:hint="eastAsia" w:ascii="宋体" w:hAnsi="宋体" w:eastAsia="宋体" w:cs="宋体"/>
                <w:sz w:val="21"/>
                <w:szCs w:val="21"/>
                <w:highlight w:val="none"/>
              </w:rPr>
              <w:t>决定处理。</w:t>
            </w:r>
          </w:p>
          <w:p w14:paraId="65F6B0FF">
            <w:pPr>
              <w:bidi w:val="0"/>
              <w:ind w:left="0" w:leftChars="0" w:firstLine="0" w:firstLineChars="0"/>
              <w:rPr>
                <w:rFonts w:hint="default"/>
                <w:lang w:val="en-US" w:eastAsia="zh-CN"/>
              </w:rPr>
            </w:pPr>
            <w:r>
              <w:rPr>
                <w:rFonts w:hint="eastAsia" w:ascii="宋体" w:hAnsi="宋体" w:eastAsia="宋体" w:cs="宋体"/>
                <w:highlight w:val="none"/>
                <w:lang w:val="en-US" w:eastAsia="zh-CN"/>
              </w:rPr>
              <w:t>2.在质保期内，</w:t>
            </w:r>
            <w:r>
              <w:rPr>
                <w:rFonts w:hint="eastAsia" w:ascii="宋体" w:hAnsi="宋体" w:cs="宋体"/>
                <w:sz w:val="21"/>
                <w:szCs w:val="21"/>
                <w:highlight w:val="none"/>
                <w:lang w:eastAsia="zh-CN"/>
              </w:rPr>
              <w:t>定期维保（维保标准参照</w:t>
            </w:r>
            <w:r>
              <w:rPr>
                <w:rFonts w:hint="eastAsia" w:ascii="宋体" w:hAnsi="宋体" w:cs="宋体"/>
                <w:kern w:val="2"/>
                <w:sz w:val="21"/>
                <w:szCs w:val="21"/>
                <w:highlight w:val="none"/>
                <w:lang w:val="en-US" w:eastAsia="zh-CN" w:bidi="ar-SA"/>
              </w:rPr>
              <w:t>质量技术监督部门</w:t>
            </w:r>
            <w:r>
              <w:rPr>
                <w:rFonts w:hint="eastAsia" w:ascii="宋体" w:hAnsi="宋体" w:cs="宋体"/>
                <w:sz w:val="21"/>
                <w:szCs w:val="21"/>
                <w:highlight w:val="none"/>
                <w:lang w:eastAsia="zh-CN"/>
              </w:rPr>
              <w:t>规定），</w:t>
            </w:r>
            <w:r>
              <w:rPr>
                <w:rFonts w:hint="eastAsia" w:ascii="宋体" w:hAnsi="宋体" w:eastAsia="宋体" w:cs="宋体"/>
                <w:highlight w:val="none"/>
                <w:lang w:val="en-US" w:eastAsia="zh-CN"/>
              </w:rPr>
              <w:t>因供应商原因产生该部位工程质量、性能或安装等问题，供应商应承担保修义务，为采购</w:t>
            </w:r>
            <w:r>
              <w:rPr>
                <w:rFonts w:hint="eastAsia" w:ascii="宋体" w:hAnsi="宋体" w:cs="宋体"/>
                <w:highlight w:val="none"/>
                <w:lang w:val="en-US" w:eastAsia="zh-CN"/>
              </w:rPr>
              <w:t>人</w:t>
            </w:r>
            <w:r>
              <w:rPr>
                <w:rFonts w:hint="eastAsia" w:ascii="宋体" w:hAnsi="宋体" w:eastAsia="宋体" w:cs="宋体"/>
                <w:highlight w:val="none"/>
                <w:lang w:val="en-US" w:eastAsia="zh-CN"/>
              </w:rPr>
              <w:t>提供免费维修服务或免费更换产品、设备、相关材料等；非供应商原因产生工程质量、性能或安装等问题，在接到采购</w:t>
            </w:r>
            <w:r>
              <w:rPr>
                <w:rFonts w:hint="eastAsia" w:ascii="宋体" w:hAnsi="宋体" w:cs="宋体"/>
                <w:highlight w:val="none"/>
                <w:lang w:val="en-US" w:eastAsia="zh-CN"/>
              </w:rPr>
              <w:t>人</w:t>
            </w:r>
            <w:r>
              <w:rPr>
                <w:rFonts w:hint="eastAsia" w:ascii="宋体" w:hAnsi="宋体" w:eastAsia="宋体" w:cs="宋体"/>
                <w:highlight w:val="none"/>
                <w:lang w:val="en-US" w:eastAsia="zh-CN"/>
              </w:rPr>
              <w:t>维修通知后应及时进行维修或更换产品、设备、相关材料等，供应商只按成本价向采购人收取相应维修材料费用，免收人工服务费。</w:t>
            </w:r>
            <w:r>
              <w:rPr>
                <w:rFonts w:hint="eastAsia" w:ascii="宋体" w:hAnsi="宋体" w:eastAsia="宋体" w:cs="宋体"/>
                <w:color w:val="auto"/>
                <w:sz w:val="21"/>
                <w:szCs w:val="21"/>
                <w:highlight w:val="none"/>
              </w:rPr>
              <w:t>成交供应商</w:t>
            </w:r>
            <w:r>
              <w:rPr>
                <w:rFonts w:hint="eastAsia" w:ascii="宋体" w:hAnsi="宋体" w:eastAsia="宋体" w:cs="宋体"/>
                <w:highlight w:val="none"/>
                <w:lang w:val="en-US" w:eastAsia="zh-CN"/>
              </w:rPr>
              <w:t>每年须集中提供至少一次免费巡查，发现问题及时维保。</w:t>
            </w:r>
          </w:p>
        </w:tc>
      </w:tr>
      <w:bookmarkEnd w:id="10"/>
    </w:tbl>
    <w:p w14:paraId="5C7D1D01">
      <w:pPr>
        <w:ind w:left="0" w:leftChars="0" w:firstLine="0" w:firstLineChars="0"/>
        <w:rPr>
          <w:rFonts w:hint="eastAsia"/>
          <w:lang w:val="en-US" w:eastAsia="zh-CN"/>
        </w:rPr>
      </w:pPr>
      <w:bookmarkStart w:id="12" w:name="_Toc10803"/>
    </w:p>
    <w:p w14:paraId="6C73AB0B">
      <w:pPr>
        <w:pStyle w:val="2"/>
        <w:ind w:firstLine="0" w:firstLineChars="0"/>
        <w:jc w:val="center"/>
        <w:rPr>
          <w:rFonts w:hint="default"/>
          <w:lang w:val="en-US" w:eastAsia="zh-CN"/>
        </w:rPr>
      </w:pPr>
      <w:r>
        <w:rPr>
          <w:rFonts w:hint="eastAsia"/>
          <w:lang w:val="en-US" w:eastAsia="zh-CN"/>
        </w:rPr>
        <w:t>第三部分 政府采购合同模版</w:t>
      </w:r>
      <w:bookmarkEnd w:id="12"/>
    </w:p>
    <w:p w14:paraId="1EBD62F5">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color w:val="0C0C0C"/>
          <w:sz w:val="24"/>
          <w:szCs w:val="24"/>
        </w:rPr>
      </w:pPr>
      <w:r>
        <w:rPr>
          <w:rFonts w:hint="eastAsia"/>
          <w:color w:val="0C0C0C"/>
          <w:sz w:val="24"/>
          <w:szCs w:val="24"/>
        </w:rPr>
        <w:t>（此合同书仅作为签订正式合同时的参考，正式合同书应包括本参考格式的内容）</w:t>
      </w:r>
    </w:p>
    <w:p w14:paraId="4C98DCBD">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color w:val="0C0C0C"/>
          <w:sz w:val="24"/>
          <w:szCs w:val="24"/>
        </w:rPr>
      </w:pPr>
      <w:r>
        <w:rPr>
          <w:rFonts w:hint="eastAsia"/>
          <w:color w:val="0C0C0C"/>
          <w:sz w:val="24"/>
          <w:szCs w:val="24"/>
        </w:rPr>
        <w:t xml:space="preserve">合同编号：              </w:t>
      </w:r>
    </w:p>
    <w:p w14:paraId="5289CE52">
      <w:pPr>
        <w:spacing w:beforeLines="0" w:afterLines="0"/>
        <w:ind w:firstLine="480"/>
        <w:rPr>
          <w:rFonts w:hint="eastAsia"/>
          <w:color w:val="0C0C0C"/>
          <w:sz w:val="24"/>
          <w:szCs w:val="24"/>
        </w:rPr>
      </w:pPr>
    </w:p>
    <w:p w14:paraId="0CBD8E8D">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b/>
          <w:bCs/>
          <w:color w:val="0C0C0C"/>
          <w:sz w:val="72"/>
          <w:szCs w:val="72"/>
        </w:rPr>
      </w:pPr>
      <w:r>
        <w:rPr>
          <w:rFonts w:hint="eastAsia"/>
          <w:b/>
          <w:bCs/>
          <w:color w:val="0C0C0C"/>
          <w:sz w:val="72"/>
          <w:szCs w:val="72"/>
        </w:rPr>
        <w:t>合   同   书</w:t>
      </w:r>
    </w:p>
    <w:p w14:paraId="5D5AD928">
      <w:pPr>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color w:val="0C0C0C"/>
          <w:sz w:val="24"/>
          <w:szCs w:val="24"/>
        </w:rPr>
      </w:pPr>
    </w:p>
    <w:p w14:paraId="3A6E64F0">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cs="Helvetica"/>
          <w:sz w:val="28"/>
          <w:szCs w:val="28"/>
          <w:u w:val="single"/>
          <w:lang w:val="zh-CN"/>
        </w:rPr>
      </w:pPr>
      <w:r>
        <w:rPr>
          <w:rFonts w:hint="eastAsia"/>
          <w:b/>
          <w:bCs/>
          <w:color w:val="0C0C0C"/>
          <w:sz w:val="28"/>
          <w:szCs w:val="28"/>
        </w:rPr>
        <w:t>项目名称：</w:t>
      </w:r>
    </w:p>
    <w:p w14:paraId="4FB846EA">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b/>
          <w:bCs/>
          <w:color w:val="0C0C0C"/>
          <w:sz w:val="28"/>
          <w:szCs w:val="28"/>
        </w:rPr>
      </w:pPr>
      <w:r>
        <w:rPr>
          <w:rFonts w:hint="eastAsia"/>
          <w:b/>
          <w:bCs/>
          <w:color w:val="0C0C0C"/>
          <w:sz w:val="28"/>
          <w:szCs w:val="28"/>
        </w:rPr>
        <w:t>甲方（采购人）：</w:t>
      </w:r>
    </w:p>
    <w:p w14:paraId="35CFFA65">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b/>
          <w:bCs/>
          <w:color w:val="0C0C0C"/>
          <w:sz w:val="28"/>
          <w:szCs w:val="28"/>
        </w:rPr>
      </w:pPr>
      <w:r>
        <w:rPr>
          <w:rFonts w:hint="eastAsia"/>
          <w:b/>
          <w:bCs/>
          <w:color w:val="0C0C0C"/>
          <w:sz w:val="28"/>
          <w:szCs w:val="28"/>
        </w:rPr>
        <w:t>乙方（中标人）：</w:t>
      </w:r>
    </w:p>
    <w:p w14:paraId="55D89EDC">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textAlignment w:val="auto"/>
        <w:rPr>
          <w:rFonts w:hint="eastAsia"/>
          <w:color w:val="0C0C0C"/>
          <w:sz w:val="24"/>
          <w:szCs w:val="24"/>
        </w:rPr>
      </w:pPr>
      <w:r>
        <w:rPr>
          <w:rFonts w:hint="eastAsia"/>
          <w:b/>
          <w:bCs/>
          <w:color w:val="0C0C0C"/>
          <w:sz w:val="28"/>
          <w:szCs w:val="28"/>
        </w:rPr>
        <w:t>签订地：</w:t>
      </w:r>
    </w:p>
    <w:p w14:paraId="2253374A">
      <w:pPr>
        <w:spacing w:beforeLines="0" w:afterLines="0"/>
        <w:ind w:firstLine="480"/>
        <w:jc w:val="right"/>
        <w:rPr>
          <w:rFonts w:hint="eastAsia"/>
          <w:color w:val="0C0C0C"/>
          <w:sz w:val="24"/>
          <w:szCs w:val="24"/>
        </w:rPr>
      </w:pPr>
    </w:p>
    <w:p w14:paraId="566C667C">
      <w:pPr>
        <w:spacing w:beforeLines="0" w:afterLines="0"/>
        <w:ind w:firstLine="480"/>
        <w:jc w:val="right"/>
        <w:rPr>
          <w:rFonts w:hint="eastAsia"/>
          <w:color w:val="0C0C0C"/>
          <w:sz w:val="24"/>
          <w:szCs w:val="24"/>
        </w:rPr>
      </w:pPr>
    </w:p>
    <w:p w14:paraId="5941B817">
      <w:pPr>
        <w:spacing w:beforeLines="0" w:afterLines="0"/>
        <w:ind w:firstLine="480"/>
        <w:jc w:val="right"/>
        <w:rPr>
          <w:rFonts w:hint="eastAsia"/>
          <w:color w:val="0C0C0C"/>
          <w:sz w:val="24"/>
          <w:szCs w:val="24"/>
        </w:rPr>
      </w:pPr>
    </w:p>
    <w:p w14:paraId="41D92D55">
      <w:pPr>
        <w:spacing w:beforeLines="0" w:afterLines="0"/>
        <w:ind w:firstLine="480"/>
        <w:jc w:val="right"/>
        <w:rPr>
          <w:rFonts w:hint="eastAsia"/>
          <w:color w:val="0C0C0C"/>
          <w:sz w:val="24"/>
          <w:szCs w:val="24"/>
        </w:rPr>
      </w:pPr>
    </w:p>
    <w:p w14:paraId="62A93C17">
      <w:pPr>
        <w:spacing w:beforeLines="0" w:afterLines="0"/>
        <w:ind w:firstLine="480"/>
        <w:jc w:val="right"/>
        <w:rPr>
          <w:rFonts w:hint="eastAsia"/>
          <w:color w:val="0C0C0C"/>
          <w:sz w:val="24"/>
          <w:szCs w:val="24"/>
        </w:rPr>
      </w:pPr>
    </w:p>
    <w:p w14:paraId="073108B8">
      <w:pPr>
        <w:spacing w:beforeLines="0" w:afterLines="0"/>
        <w:ind w:firstLine="480"/>
        <w:jc w:val="right"/>
        <w:rPr>
          <w:rFonts w:hint="eastAsia"/>
          <w:color w:val="0C0C0C"/>
          <w:sz w:val="24"/>
          <w:szCs w:val="24"/>
        </w:rPr>
      </w:pPr>
    </w:p>
    <w:p w14:paraId="46C1C6A3">
      <w:pPr>
        <w:spacing w:beforeLines="0" w:afterLines="0"/>
        <w:ind w:firstLine="480"/>
        <w:jc w:val="right"/>
        <w:rPr>
          <w:rFonts w:hint="eastAsia"/>
          <w:color w:val="0C0C0C"/>
          <w:sz w:val="24"/>
          <w:szCs w:val="24"/>
        </w:rPr>
      </w:pPr>
    </w:p>
    <w:p w14:paraId="41297F4F">
      <w:pPr>
        <w:spacing w:beforeLines="0" w:afterLines="0"/>
        <w:ind w:firstLine="480"/>
        <w:jc w:val="right"/>
        <w:rPr>
          <w:rFonts w:hint="eastAsia"/>
          <w:color w:val="0C0C0C"/>
          <w:sz w:val="24"/>
          <w:szCs w:val="24"/>
        </w:rPr>
      </w:pPr>
    </w:p>
    <w:p w14:paraId="1ABD88C2">
      <w:pPr>
        <w:spacing w:beforeLines="0" w:afterLines="0"/>
        <w:ind w:firstLine="480"/>
        <w:jc w:val="right"/>
        <w:rPr>
          <w:rFonts w:hint="eastAsia"/>
          <w:color w:val="0C0C0C"/>
          <w:sz w:val="24"/>
          <w:szCs w:val="24"/>
        </w:rPr>
      </w:pPr>
    </w:p>
    <w:p w14:paraId="23305836">
      <w:pPr>
        <w:spacing w:beforeLines="0" w:afterLines="0"/>
        <w:ind w:firstLine="480"/>
        <w:jc w:val="right"/>
        <w:rPr>
          <w:rFonts w:hint="eastAsia"/>
          <w:color w:val="0C0C0C"/>
          <w:sz w:val="24"/>
          <w:szCs w:val="24"/>
        </w:rPr>
      </w:pPr>
    </w:p>
    <w:p w14:paraId="169CBA82">
      <w:pPr>
        <w:spacing w:beforeLines="0" w:afterLines="0"/>
        <w:ind w:firstLine="480"/>
        <w:jc w:val="right"/>
        <w:rPr>
          <w:rFonts w:hint="eastAsia"/>
          <w:color w:val="0C0C0C"/>
          <w:sz w:val="24"/>
          <w:szCs w:val="24"/>
        </w:rPr>
      </w:pPr>
    </w:p>
    <w:p w14:paraId="7B0B636B">
      <w:pPr>
        <w:spacing w:beforeLines="0" w:afterLines="0"/>
        <w:ind w:firstLine="480"/>
        <w:jc w:val="right"/>
        <w:rPr>
          <w:rFonts w:hint="eastAsia"/>
          <w:color w:val="0C0C0C"/>
          <w:sz w:val="24"/>
          <w:szCs w:val="24"/>
        </w:rPr>
      </w:pPr>
      <w:r>
        <w:rPr>
          <w:rFonts w:hint="eastAsia"/>
          <w:b/>
          <w:bCs/>
          <w:color w:val="0C0C0C"/>
          <w:sz w:val="24"/>
          <w:szCs w:val="24"/>
        </w:rPr>
        <w:t xml:space="preserve">签订日期： </w:t>
      </w:r>
      <w:r>
        <w:rPr>
          <w:rFonts w:hint="eastAsia"/>
          <w:b/>
          <w:bCs/>
          <w:color w:val="0C0C0C"/>
          <w:sz w:val="24"/>
          <w:szCs w:val="24"/>
          <w:u w:val="single"/>
        </w:rPr>
        <w:t xml:space="preserve">              </w:t>
      </w:r>
      <w:r>
        <w:rPr>
          <w:rFonts w:hint="eastAsia"/>
          <w:b/>
          <w:bCs/>
          <w:color w:val="0C0C0C"/>
          <w:sz w:val="24"/>
          <w:szCs w:val="24"/>
        </w:rPr>
        <w:t xml:space="preserve"> 年 </w:t>
      </w:r>
      <w:r>
        <w:rPr>
          <w:rFonts w:hint="eastAsia"/>
          <w:b/>
          <w:bCs/>
          <w:color w:val="0C0C0C"/>
          <w:sz w:val="24"/>
          <w:szCs w:val="24"/>
          <w:u w:val="single"/>
        </w:rPr>
        <w:t xml:space="preserve">         </w:t>
      </w:r>
      <w:r>
        <w:rPr>
          <w:rFonts w:hint="eastAsia"/>
          <w:b/>
          <w:bCs/>
          <w:color w:val="0C0C0C"/>
          <w:sz w:val="24"/>
          <w:szCs w:val="24"/>
        </w:rPr>
        <w:t xml:space="preserve"> 月 </w:t>
      </w:r>
      <w:r>
        <w:rPr>
          <w:rFonts w:hint="eastAsia"/>
          <w:b/>
          <w:bCs/>
          <w:color w:val="0C0C0C"/>
          <w:sz w:val="24"/>
          <w:szCs w:val="24"/>
          <w:u w:val="single"/>
        </w:rPr>
        <w:t xml:space="preserve">           </w:t>
      </w:r>
      <w:r>
        <w:rPr>
          <w:rFonts w:hint="eastAsia"/>
          <w:b/>
          <w:bCs/>
          <w:color w:val="0C0C0C"/>
          <w:sz w:val="24"/>
          <w:szCs w:val="24"/>
        </w:rPr>
        <w:t>日</w:t>
      </w:r>
    </w:p>
    <w:p w14:paraId="361ABD8B">
      <w:pPr>
        <w:spacing w:beforeLines="0" w:afterLines="0"/>
        <w:ind w:firstLine="480"/>
        <w:rPr>
          <w:rFonts w:hint="eastAsia"/>
          <w:color w:val="0C0C0C"/>
          <w:sz w:val="24"/>
          <w:szCs w:val="24"/>
        </w:rPr>
      </w:pPr>
      <w:r>
        <w:rPr>
          <w:rFonts w:hint="eastAsia"/>
          <w:color w:val="0C0C0C"/>
          <w:sz w:val="24"/>
          <w:szCs w:val="24"/>
        </w:rPr>
        <w:t xml:space="preserve">                                                 </w:t>
      </w:r>
    </w:p>
    <w:p w14:paraId="3684B053">
      <w:pPr>
        <w:spacing w:beforeLines="0" w:afterLines="0"/>
        <w:ind w:firstLine="480"/>
        <w:rPr>
          <w:rFonts w:hint="eastAsia"/>
          <w:color w:val="0C0C0C"/>
          <w:sz w:val="24"/>
          <w:szCs w:val="24"/>
        </w:rPr>
      </w:pPr>
    </w:p>
    <w:p w14:paraId="71D8E20D">
      <w:pPr>
        <w:spacing w:beforeLines="0" w:afterLines="0"/>
        <w:ind w:firstLine="480"/>
        <w:rPr>
          <w:rFonts w:hint="eastAsia"/>
          <w:color w:val="0C0C0C"/>
          <w:sz w:val="24"/>
          <w:szCs w:val="24"/>
        </w:rPr>
      </w:pPr>
    </w:p>
    <w:p w14:paraId="5F24C6A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p>
    <w:p w14:paraId="7C5DEB23">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 xml:space="preserve">本合同由甲乙双方根据《中华人民共和国政府采购法》《中华人民共和国政府采购法实施条例》《中华人民共和国民法典》等相关法律法规规定，按平等、自愿、诚实信用的原则拟定，甲、乙双方均应遵守法律规定和合同约定，并各自履行应负的全部责任和义务。 </w:t>
      </w:r>
    </w:p>
    <w:p w14:paraId="6DDA8F8A">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一、项目基本情况</w:t>
      </w:r>
    </w:p>
    <w:p w14:paraId="71F1F95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1.项目名称：         (见</w:t>
      </w:r>
      <w:r>
        <w:rPr>
          <w:rFonts w:hint="eastAsia"/>
          <w:color w:val="0C0C0C"/>
          <w:sz w:val="24"/>
          <w:szCs w:val="24"/>
          <w:lang w:eastAsia="zh-CN"/>
        </w:rPr>
        <w:t>谈判</w:t>
      </w:r>
      <w:r>
        <w:rPr>
          <w:rFonts w:hint="eastAsia"/>
          <w:color w:val="0C0C0C"/>
          <w:sz w:val="24"/>
          <w:szCs w:val="24"/>
        </w:rPr>
        <w:t xml:space="preserve">文件)               </w:t>
      </w:r>
    </w:p>
    <w:p w14:paraId="6432C1DB">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2.项目编号：          (见</w:t>
      </w:r>
      <w:r>
        <w:rPr>
          <w:rFonts w:hint="eastAsia"/>
          <w:color w:val="0C0C0C"/>
          <w:sz w:val="24"/>
          <w:szCs w:val="24"/>
          <w:lang w:eastAsia="zh-CN"/>
        </w:rPr>
        <w:t>谈判</w:t>
      </w:r>
      <w:r>
        <w:rPr>
          <w:rFonts w:hint="eastAsia"/>
          <w:color w:val="0C0C0C"/>
          <w:sz w:val="24"/>
          <w:szCs w:val="24"/>
        </w:rPr>
        <w:t xml:space="preserve">文件)             </w:t>
      </w:r>
    </w:p>
    <w:p w14:paraId="1DC54B5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3.政府采购计划备案号：  (见</w:t>
      </w:r>
      <w:r>
        <w:rPr>
          <w:rFonts w:hint="eastAsia"/>
          <w:color w:val="0C0C0C"/>
          <w:sz w:val="24"/>
          <w:szCs w:val="24"/>
          <w:lang w:eastAsia="zh-CN"/>
        </w:rPr>
        <w:t>谈判</w:t>
      </w:r>
      <w:r>
        <w:rPr>
          <w:rFonts w:hint="eastAsia"/>
          <w:color w:val="0C0C0C"/>
          <w:sz w:val="24"/>
          <w:szCs w:val="24"/>
        </w:rPr>
        <w:t xml:space="preserve">文件)            </w:t>
      </w:r>
    </w:p>
    <w:p w14:paraId="09B16B1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4.项目概况：              (见</w:t>
      </w:r>
      <w:r>
        <w:rPr>
          <w:rFonts w:hint="eastAsia"/>
          <w:color w:val="0C0C0C"/>
          <w:sz w:val="24"/>
          <w:szCs w:val="24"/>
          <w:lang w:eastAsia="zh-CN"/>
        </w:rPr>
        <w:t>谈判</w:t>
      </w:r>
      <w:r>
        <w:rPr>
          <w:rFonts w:hint="eastAsia"/>
          <w:color w:val="0C0C0C"/>
          <w:sz w:val="24"/>
          <w:szCs w:val="24"/>
        </w:rPr>
        <w:t xml:space="preserve">文件)            </w:t>
      </w:r>
    </w:p>
    <w:p w14:paraId="0ADE6B73">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二、标的名称、数量（规模） </w:t>
      </w:r>
    </w:p>
    <w:tbl>
      <w:tblPr>
        <w:tblStyle w:val="22"/>
        <w:tblW w:w="958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74"/>
        <w:gridCol w:w="2378"/>
        <w:gridCol w:w="1132"/>
        <w:gridCol w:w="655"/>
        <w:gridCol w:w="627"/>
        <w:gridCol w:w="859"/>
        <w:gridCol w:w="1425"/>
        <w:gridCol w:w="1134"/>
      </w:tblGrid>
      <w:tr w14:paraId="002F9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74" w:type="dxa"/>
            <w:shd w:val="pct10" w:color="C3BD96" w:themeColor="background2" w:themeShade="BF" w:fill="FFFFFF" w:themeFill="background1"/>
            <w:vAlign w:val="center"/>
          </w:tcPr>
          <w:p w14:paraId="21D90BE3">
            <w:pPr>
              <w:keepNext w:val="0"/>
              <w:keepLines w:val="0"/>
              <w:pageBreakBefore w:val="0"/>
              <w:widowControl/>
              <w:kinsoku/>
              <w:wordWrap w:val="0"/>
              <w:overflowPunct/>
              <w:topLinePunct w:val="0"/>
              <w:autoSpaceDE/>
              <w:autoSpaceDN/>
              <w:bidi w:val="0"/>
              <w:adjustRightInd/>
              <w:snapToGrid/>
              <w:ind w:left="-105" w:leftChars="-50" w:right="-105" w:rightChars="-50" w:firstLine="0" w:firstLineChars="0"/>
              <w:jc w:val="center"/>
              <w:textAlignment w:val="auto"/>
              <w:rPr>
                <w:rFonts w:cs="宋体"/>
                <w:b/>
              </w:rPr>
            </w:pPr>
            <w:r>
              <w:rPr>
                <w:rFonts w:hint="eastAsia" w:cs="仿宋_GB2312"/>
                <w:b/>
                <w:szCs w:val="24"/>
              </w:rPr>
              <w:t>序号</w:t>
            </w:r>
          </w:p>
        </w:tc>
        <w:tc>
          <w:tcPr>
            <w:tcW w:w="2378" w:type="dxa"/>
            <w:shd w:val="pct10" w:color="C3BD96" w:themeColor="background2" w:themeShade="BF" w:fill="FFFFFF" w:themeFill="background1"/>
            <w:vAlign w:val="center"/>
          </w:tcPr>
          <w:p w14:paraId="052D2672">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b/>
              </w:rPr>
            </w:pPr>
            <w:r>
              <w:rPr>
                <w:rFonts w:hint="eastAsia" w:cs="宋体"/>
                <w:b/>
              </w:rPr>
              <w:t>名称</w:t>
            </w:r>
          </w:p>
        </w:tc>
        <w:tc>
          <w:tcPr>
            <w:tcW w:w="1132" w:type="dxa"/>
            <w:shd w:val="pct10" w:color="C3BD96" w:themeColor="background2" w:themeShade="BF" w:fill="FFFFFF" w:themeFill="background1"/>
            <w:vAlign w:val="center"/>
          </w:tcPr>
          <w:p w14:paraId="6676EFCE">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b/>
              </w:rPr>
            </w:pPr>
            <w:r>
              <w:rPr>
                <w:rFonts w:hint="eastAsia"/>
                <w:b/>
              </w:rPr>
              <w:t>品牌规格型号</w:t>
            </w:r>
          </w:p>
        </w:tc>
        <w:tc>
          <w:tcPr>
            <w:tcW w:w="655" w:type="dxa"/>
            <w:tcBorders>
              <w:right w:val="single" w:color="auto" w:sz="4" w:space="0"/>
            </w:tcBorders>
            <w:shd w:val="pct10" w:color="C3BD96" w:themeColor="background2" w:themeShade="BF" w:fill="FFFFFF" w:themeFill="background1"/>
            <w:vAlign w:val="center"/>
          </w:tcPr>
          <w:p w14:paraId="6E333301">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b/>
              </w:rPr>
            </w:pPr>
            <w:r>
              <w:rPr>
                <w:rFonts w:hint="eastAsia" w:cs="宋体"/>
                <w:b/>
              </w:rPr>
              <w:t>数量</w:t>
            </w:r>
          </w:p>
        </w:tc>
        <w:tc>
          <w:tcPr>
            <w:tcW w:w="627" w:type="dxa"/>
            <w:tcBorders>
              <w:left w:val="single" w:color="auto" w:sz="4" w:space="0"/>
            </w:tcBorders>
            <w:shd w:val="pct10" w:color="C3BD96" w:themeColor="background2" w:themeShade="BF" w:fill="FFFFFF" w:themeFill="background1"/>
            <w:vAlign w:val="center"/>
          </w:tcPr>
          <w:p w14:paraId="470BDBC0">
            <w:pPr>
              <w:keepNext w:val="0"/>
              <w:keepLines w:val="0"/>
              <w:pageBreakBefore w:val="0"/>
              <w:widowControl/>
              <w:kinsoku/>
              <w:wordWrap w:val="0"/>
              <w:overflowPunct/>
              <w:topLinePunct w:val="0"/>
              <w:autoSpaceDE/>
              <w:autoSpaceDN/>
              <w:bidi w:val="0"/>
              <w:adjustRightInd/>
              <w:snapToGrid/>
              <w:ind w:left="0" w:leftChars="0" w:right="-65" w:rightChars="-31" w:firstLine="0" w:firstLineChars="0"/>
              <w:jc w:val="both"/>
              <w:textAlignment w:val="auto"/>
              <w:rPr>
                <w:rFonts w:cs="宋体"/>
                <w:b/>
              </w:rPr>
            </w:pPr>
            <w:r>
              <w:rPr>
                <w:rFonts w:hint="eastAsia" w:cs="宋体"/>
                <w:b/>
              </w:rPr>
              <w:t>单位</w:t>
            </w:r>
          </w:p>
        </w:tc>
        <w:tc>
          <w:tcPr>
            <w:tcW w:w="859" w:type="dxa"/>
            <w:shd w:val="pct10" w:color="C3BD96" w:themeColor="background2" w:themeShade="BF" w:fill="FFFFFF" w:themeFill="background1"/>
            <w:vAlign w:val="center"/>
          </w:tcPr>
          <w:p w14:paraId="77A03EF6">
            <w:pPr>
              <w:keepNext w:val="0"/>
              <w:keepLines w:val="0"/>
              <w:pageBreakBefore w:val="0"/>
              <w:widowControl/>
              <w:kinsoku/>
              <w:wordWrap w:val="0"/>
              <w:overflowPunct/>
              <w:topLinePunct w:val="0"/>
              <w:autoSpaceDE/>
              <w:autoSpaceDN/>
              <w:bidi w:val="0"/>
              <w:adjustRightInd/>
              <w:snapToGrid/>
              <w:ind w:left="0" w:leftChars="0" w:right="-65" w:rightChars="-31" w:firstLine="0" w:firstLineChars="0"/>
              <w:jc w:val="both"/>
              <w:textAlignment w:val="auto"/>
              <w:rPr>
                <w:rFonts w:cs="宋体"/>
                <w:b/>
              </w:rPr>
            </w:pPr>
            <w:r>
              <w:rPr>
                <w:rFonts w:hint="eastAsia" w:cs="宋体"/>
                <w:b/>
              </w:rPr>
              <w:t>单价（元</w:t>
            </w:r>
            <w:r>
              <w:rPr>
                <w:rFonts w:cs="宋体"/>
                <w:b/>
              </w:rPr>
              <w:t>）</w:t>
            </w:r>
          </w:p>
        </w:tc>
        <w:tc>
          <w:tcPr>
            <w:tcW w:w="1425" w:type="dxa"/>
            <w:shd w:val="pct10" w:color="C3BD96" w:themeColor="background2" w:themeShade="BF" w:fill="FFFFFF" w:themeFill="background1"/>
            <w:vAlign w:val="center"/>
          </w:tcPr>
          <w:p w14:paraId="4261F89D">
            <w:pPr>
              <w:keepNext w:val="0"/>
              <w:keepLines w:val="0"/>
              <w:pageBreakBefore w:val="0"/>
              <w:widowControl/>
              <w:kinsoku/>
              <w:wordWrap w:val="0"/>
              <w:overflowPunct/>
              <w:topLinePunct w:val="0"/>
              <w:autoSpaceDE/>
              <w:autoSpaceDN/>
              <w:bidi w:val="0"/>
              <w:adjustRightInd/>
              <w:snapToGrid/>
              <w:ind w:left="-105" w:leftChars="-50" w:right="-105" w:rightChars="-50" w:firstLine="0" w:firstLineChars="0"/>
              <w:jc w:val="center"/>
              <w:textAlignment w:val="auto"/>
              <w:rPr>
                <w:rFonts w:hint="eastAsia" w:cs="宋体"/>
                <w:b/>
              </w:rPr>
            </w:pPr>
            <w:r>
              <w:rPr>
                <w:rFonts w:hint="eastAsia" w:cs="宋体"/>
                <w:b/>
              </w:rPr>
              <w:t>分项合计</w:t>
            </w:r>
          </w:p>
          <w:p w14:paraId="0E9BD5D3">
            <w:pPr>
              <w:keepNext w:val="0"/>
              <w:keepLines w:val="0"/>
              <w:pageBreakBefore w:val="0"/>
              <w:widowControl/>
              <w:kinsoku/>
              <w:wordWrap w:val="0"/>
              <w:overflowPunct/>
              <w:topLinePunct w:val="0"/>
              <w:autoSpaceDE/>
              <w:autoSpaceDN/>
              <w:bidi w:val="0"/>
              <w:adjustRightInd/>
              <w:snapToGrid/>
              <w:ind w:left="-105" w:leftChars="-50" w:right="-105" w:rightChars="-50" w:firstLine="0" w:firstLineChars="0"/>
              <w:jc w:val="center"/>
              <w:textAlignment w:val="auto"/>
              <w:rPr>
                <w:rFonts w:cs="宋体"/>
                <w:b/>
              </w:rPr>
            </w:pPr>
            <w:r>
              <w:rPr>
                <w:rFonts w:hint="eastAsia" w:cs="宋体"/>
                <w:b/>
              </w:rPr>
              <w:t>（</w:t>
            </w:r>
            <w:r>
              <w:rPr>
                <w:rFonts w:cs="宋体"/>
                <w:b/>
              </w:rPr>
              <w:t>元）</w:t>
            </w:r>
          </w:p>
        </w:tc>
        <w:tc>
          <w:tcPr>
            <w:tcW w:w="1134" w:type="dxa"/>
            <w:shd w:val="pct10" w:color="C3BD96" w:themeColor="background2" w:themeShade="BF" w:fill="FFFFFF" w:themeFill="background1"/>
            <w:vAlign w:val="center"/>
          </w:tcPr>
          <w:p w14:paraId="13CCB76C">
            <w:pPr>
              <w:keepNext w:val="0"/>
              <w:keepLines w:val="0"/>
              <w:pageBreakBefore w:val="0"/>
              <w:widowControl/>
              <w:kinsoku/>
              <w:wordWrap w:val="0"/>
              <w:overflowPunct/>
              <w:topLinePunct w:val="0"/>
              <w:autoSpaceDE/>
              <w:autoSpaceDN/>
              <w:bidi w:val="0"/>
              <w:adjustRightInd/>
              <w:snapToGrid/>
              <w:ind w:left="-23" w:leftChars="-11" w:right="-65" w:rightChars="-31" w:firstLine="0" w:firstLineChars="0"/>
              <w:jc w:val="center"/>
              <w:textAlignment w:val="auto"/>
              <w:rPr>
                <w:rFonts w:cs="宋体"/>
                <w:b/>
              </w:rPr>
            </w:pPr>
            <w:r>
              <w:rPr>
                <w:rFonts w:hint="eastAsia" w:cs="宋体"/>
                <w:b/>
              </w:rPr>
              <w:t>制造厂家（全称）</w:t>
            </w:r>
          </w:p>
        </w:tc>
      </w:tr>
      <w:tr w14:paraId="3DB2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374" w:type="dxa"/>
            <w:shd w:val="clear" w:color="auto" w:fill="auto"/>
            <w:vAlign w:val="center"/>
          </w:tcPr>
          <w:p w14:paraId="085E5DF5">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b/>
              </w:rPr>
            </w:pPr>
            <w:r>
              <w:rPr>
                <w:rFonts w:hint="eastAsia"/>
                <w:b/>
              </w:rPr>
              <w:t>1</w:t>
            </w:r>
          </w:p>
        </w:tc>
        <w:tc>
          <w:tcPr>
            <w:tcW w:w="2378" w:type="dxa"/>
            <w:shd w:val="clear" w:color="auto" w:fill="auto"/>
            <w:vAlign w:val="center"/>
          </w:tcPr>
          <w:p w14:paraId="45183834">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pPr>
            <w:r>
              <w:rPr>
                <w:rFonts w:hint="eastAsia"/>
              </w:rPr>
              <w:t>货物（服务）名称1</w:t>
            </w:r>
          </w:p>
        </w:tc>
        <w:tc>
          <w:tcPr>
            <w:tcW w:w="1132" w:type="dxa"/>
            <w:shd w:val="clear" w:color="auto" w:fill="auto"/>
            <w:vAlign w:val="center"/>
          </w:tcPr>
          <w:p w14:paraId="1FA41D57">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c>
          <w:tcPr>
            <w:tcW w:w="655" w:type="dxa"/>
            <w:tcBorders>
              <w:right w:val="single" w:color="auto" w:sz="4" w:space="0"/>
            </w:tcBorders>
            <w:shd w:val="clear" w:color="auto" w:fill="auto"/>
            <w:vAlign w:val="center"/>
          </w:tcPr>
          <w:p w14:paraId="2E2CFE07">
            <w:pPr>
              <w:keepNext w:val="0"/>
              <w:keepLines w:val="0"/>
              <w:pageBreakBefore w:val="0"/>
              <w:widowControl/>
              <w:kinsoku/>
              <w:wordWrap w:val="0"/>
              <w:overflowPunct/>
              <w:topLinePunct w:val="0"/>
              <w:autoSpaceDE/>
              <w:autoSpaceDN/>
              <w:bidi w:val="0"/>
              <w:adjustRightInd/>
              <w:snapToGrid/>
              <w:ind w:left="-48" w:leftChars="-23" w:right="-376" w:rightChars="-179" w:firstLine="0" w:firstLineChars="0"/>
              <w:jc w:val="center"/>
              <w:textAlignment w:val="auto"/>
              <w:rPr>
                <w:rFonts w:cs="宋体"/>
                <w:szCs w:val="24"/>
              </w:rPr>
            </w:pPr>
          </w:p>
        </w:tc>
        <w:tc>
          <w:tcPr>
            <w:tcW w:w="627" w:type="dxa"/>
            <w:tcBorders>
              <w:left w:val="single" w:color="auto" w:sz="4" w:space="0"/>
            </w:tcBorders>
            <w:shd w:val="clear" w:color="auto" w:fill="auto"/>
            <w:vAlign w:val="center"/>
          </w:tcPr>
          <w:p w14:paraId="2B8770B0">
            <w:pPr>
              <w:keepNext w:val="0"/>
              <w:keepLines w:val="0"/>
              <w:pageBreakBefore w:val="0"/>
              <w:widowControl/>
              <w:kinsoku/>
              <w:wordWrap w:val="0"/>
              <w:overflowPunct/>
              <w:topLinePunct w:val="0"/>
              <w:autoSpaceDE/>
              <w:autoSpaceDN/>
              <w:bidi w:val="0"/>
              <w:adjustRightInd/>
              <w:snapToGrid/>
              <w:ind w:left="-48" w:leftChars="-23" w:right="-376" w:rightChars="-179" w:firstLine="0" w:firstLineChars="0"/>
              <w:jc w:val="center"/>
              <w:textAlignment w:val="auto"/>
              <w:rPr>
                <w:rFonts w:cs="宋体"/>
                <w:szCs w:val="24"/>
              </w:rPr>
            </w:pPr>
          </w:p>
        </w:tc>
        <w:tc>
          <w:tcPr>
            <w:tcW w:w="859" w:type="dxa"/>
            <w:shd w:val="clear" w:color="auto" w:fill="auto"/>
            <w:vAlign w:val="center"/>
          </w:tcPr>
          <w:p w14:paraId="6B9BA62B">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c>
          <w:tcPr>
            <w:tcW w:w="1425" w:type="dxa"/>
            <w:shd w:val="clear" w:color="auto" w:fill="auto"/>
            <w:vAlign w:val="center"/>
          </w:tcPr>
          <w:p w14:paraId="45D319B2">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c>
          <w:tcPr>
            <w:tcW w:w="1134" w:type="dxa"/>
            <w:shd w:val="clear" w:color="auto" w:fill="auto"/>
            <w:vAlign w:val="center"/>
          </w:tcPr>
          <w:p w14:paraId="2B6CCCE6">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r>
      <w:tr w14:paraId="205DE9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1374" w:type="dxa"/>
            <w:shd w:val="clear" w:color="auto" w:fill="auto"/>
            <w:vAlign w:val="center"/>
          </w:tcPr>
          <w:p w14:paraId="68E757ED">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b/>
              </w:rPr>
            </w:pPr>
            <w:r>
              <w:rPr>
                <w:rFonts w:hint="eastAsia"/>
                <w:b/>
              </w:rPr>
              <w:t>2</w:t>
            </w:r>
          </w:p>
        </w:tc>
        <w:tc>
          <w:tcPr>
            <w:tcW w:w="2378" w:type="dxa"/>
            <w:shd w:val="clear" w:color="auto" w:fill="auto"/>
            <w:vAlign w:val="center"/>
          </w:tcPr>
          <w:p w14:paraId="636800EE">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pPr>
            <w:r>
              <w:rPr>
                <w:rFonts w:hint="eastAsia"/>
              </w:rPr>
              <w:t>货物（服务）名称2</w:t>
            </w:r>
          </w:p>
        </w:tc>
        <w:tc>
          <w:tcPr>
            <w:tcW w:w="1132" w:type="dxa"/>
            <w:shd w:val="clear" w:color="auto" w:fill="auto"/>
            <w:vAlign w:val="center"/>
          </w:tcPr>
          <w:p w14:paraId="7A2CFF68">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c>
          <w:tcPr>
            <w:tcW w:w="655" w:type="dxa"/>
            <w:tcBorders>
              <w:right w:val="single" w:color="auto" w:sz="4" w:space="0"/>
            </w:tcBorders>
            <w:shd w:val="clear" w:color="auto" w:fill="auto"/>
            <w:vAlign w:val="center"/>
          </w:tcPr>
          <w:p w14:paraId="4420F3FC">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c>
          <w:tcPr>
            <w:tcW w:w="627" w:type="dxa"/>
            <w:tcBorders>
              <w:left w:val="single" w:color="auto" w:sz="4" w:space="0"/>
            </w:tcBorders>
            <w:shd w:val="clear" w:color="auto" w:fill="auto"/>
            <w:vAlign w:val="center"/>
          </w:tcPr>
          <w:p w14:paraId="67CCE5AC">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c>
          <w:tcPr>
            <w:tcW w:w="859" w:type="dxa"/>
            <w:shd w:val="clear" w:color="auto" w:fill="auto"/>
            <w:vAlign w:val="center"/>
          </w:tcPr>
          <w:p w14:paraId="33C53D9A">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c>
          <w:tcPr>
            <w:tcW w:w="1425" w:type="dxa"/>
            <w:shd w:val="clear" w:color="auto" w:fill="auto"/>
            <w:vAlign w:val="center"/>
          </w:tcPr>
          <w:p w14:paraId="73977AF3">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c>
          <w:tcPr>
            <w:tcW w:w="1134" w:type="dxa"/>
            <w:shd w:val="clear" w:color="auto" w:fill="auto"/>
            <w:vAlign w:val="center"/>
          </w:tcPr>
          <w:p w14:paraId="49474E3E">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r>
      <w:tr w14:paraId="022BD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1374" w:type="dxa"/>
            <w:shd w:val="clear" w:color="auto" w:fill="auto"/>
            <w:vAlign w:val="center"/>
          </w:tcPr>
          <w:p w14:paraId="7F9B3C9F">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pPr>
            <w:r>
              <w:rPr>
                <w:rFonts w:hint="eastAsia"/>
              </w:rPr>
              <w:t>…</w:t>
            </w:r>
          </w:p>
        </w:tc>
        <w:tc>
          <w:tcPr>
            <w:tcW w:w="2378" w:type="dxa"/>
            <w:shd w:val="clear" w:color="auto" w:fill="auto"/>
            <w:vAlign w:val="center"/>
          </w:tcPr>
          <w:p w14:paraId="20AA8D60">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r>
              <w:rPr>
                <w:rFonts w:hint="eastAsia"/>
              </w:rPr>
              <w:t>……</w:t>
            </w:r>
          </w:p>
        </w:tc>
        <w:tc>
          <w:tcPr>
            <w:tcW w:w="1132" w:type="dxa"/>
            <w:shd w:val="clear" w:color="auto" w:fill="auto"/>
            <w:vAlign w:val="center"/>
          </w:tcPr>
          <w:p w14:paraId="29564431">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r>
              <w:rPr>
                <w:rFonts w:hint="eastAsia"/>
              </w:rPr>
              <w:t>…</w:t>
            </w:r>
          </w:p>
        </w:tc>
        <w:tc>
          <w:tcPr>
            <w:tcW w:w="655" w:type="dxa"/>
            <w:tcBorders>
              <w:right w:val="single" w:color="auto" w:sz="4" w:space="0"/>
            </w:tcBorders>
            <w:shd w:val="clear" w:color="auto" w:fill="auto"/>
            <w:vAlign w:val="center"/>
          </w:tcPr>
          <w:p w14:paraId="5C7F9530">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r>
              <w:rPr>
                <w:rFonts w:hint="eastAsia"/>
              </w:rPr>
              <w:t>…</w:t>
            </w:r>
          </w:p>
        </w:tc>
        <w:tc>
          <w:tcPr>
            <w:tcW w:w="627" w:type="dxa"/>
            <w:tcBorders>
              <w:left w:val="single" w:color="auto" w:sz="4" w:space="0"/>
            </w:tcBorders>
            <w:shd w:val="clear" w:color="auto" w:fill="auto"/>
            <w:vAlign w:val="center"/>
          </w:tcPr>
          <w:p w14:paraId="0C27BF3B">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r>
              <w:rPr>
                <w:rFonts w:hint="eastAsia"/>
              </w:rPr>
              <w:t>…</w:t>
            </w:r>
          </w:p>
        </w:tc>
        <w:tc>
          <w:tcPr>
            <w:tcW w:w="859" w:type="dxa"/>
            <w:shd w:val="clear" w:color="auto" w:fill="auto"/>
            <w:vAlign w:val="center"/>
          </w:tcPr>
          <w:p w14:paraId="2458B013">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r>
              <w:rPr>
                <w:rFonts w:hint="eastAsia"/>
              </w:rPr>
              <w:t>…</w:t>
            </w:r>
          </w:p>
        </w:tc>
        <w:tc>
          <w:tcPr>
            <w:tcW w:w="1425" w:type="dxa"/>
            <w:shd w:val="clear" w:color="auto" w:fill="auto"/>
            <w:vAlign w:val="center"/>
          </w:tcPr>
          <w:p w14:paraId="1CF2F3A5">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r>
              <w:rPr>
                <w:rFonts w:hint="eastAsia"/>
              </w:rPr>
              <w:t>…</w:t>
            </w:r>
          </w:p>
        </w:tc>
        <w:tc>
          <w:tcPr>
            <w:tcW w:w="1134" w:type="dxa"/>
            <w:shd w:val="clear" w:color="auto" w:fill="auto"/>
            <w:vAlign w:val="center"/>
          </w:tcPr>
          <w:p w14:paraId="58078B3D">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r>
              <w:rPr>
                <w:rFonts w:hint="eastAsia"/>
              </w:rPr>
              <w:t>…</w:t>
            </w:r>
          </w:p>
        </w:tc>
      </w:tr>
      <w:tr w14:paraId="709F2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7025" w:type="dxa"/>
            <w:gridSpan w:val="6"/>
            <w:shd w:val="clear" w:color="auto" w:fill="auto"/>
            <w:vAlign w:val="center"/>
          </w:tcPr>
          <w:p w14:paraId="05F06304">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b/>
                <w:szCs w:val="24"/>
              </w:rPr>
            </w:pPr>
            <w:r>
              <w:rPr>
                <w:rFonts w:hint="eastAsia" w:cs="宋体"/>
                <w:b/>
                <w:szCs w:val="24"/>
              </w:rPr>
              <w:t>合计</w:t>
            </w:r>
          </w:p>
        </w:tc>
        <w:tc>
          <w:tcPr>
            <w:tcW w:w="2559" w:type="dxa"/>
            <w:gridSpan w:val="2"/>
            <w:shd w:val="clear" w:color="auto" w:fill="auto"/>
            <w:vAlign w:val="center"/>
          </w:tcPr>
          <w:p w14:paraId="51B732A7">
            <w:pPr>
              <w:keepNext w:val="0"/>
              <w:keepLines w:val="0"/>
              <w:pageBreakBefore w:val="0"/>
              <w:widowControl/>
              <w:kinsoku/>
              <w:wordWrap w:val="0"/>
              <w:overflowPunct/>
              <w:topLinePunct w:val="0"/>
              <w:autoSpaceDE/>
              <w:autoSpaceDN/>
              <w:bidi w:val="0"/>
              <w:adjustRightInd/>
              <w:snapToGrid/>
              <w:ind w:left="-48" w:leftChars="-23" w:right="-65" w:rightChars="-31" w:firstLine="0" w:firstLineChars="0"/>
              <w:jc w:val="center"/>
              <w:textAlignment w:val="auto"/>
              <w:rPr>
                <w:rFonts w:cs="宋体"/>
                <w:szCs w:val="24"/>
              </w:rPr>
            </w:pPr>
          </w:p>
        </w:tc>
      </w:tr>
    </w:tbl>
    <w:p w14:paraId="3D8FFA5F">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三、货物（服务）质量</w:t>
      </w:r>
    </w:p>
    <w:p w14:paraId="0A4B6CE8">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     </w:t>
      </w:r>
      <w:r>
        <w:rPr>
          <w:rFonts w:hint="eastAsia"/>
          <w:color w:val="0C0C0C"/>
          <w:sz w:val="24"/>
          <w:szCs w:val="24"/>
          <w:u w:val="single"/>
        </w:rPr>
        <w:t xml:space="preserve">      (以</w:t>
      </w:r>
      <w:r>
        <w:rPr>
          <w:rFonts w:hint="eastAsia"/>
          <w:color w:val="0C0C0C"/>
          <w:sz w:val="24"/>
          <w:szCs w:val="24"/>
          <w:u w:val="single"/>
          <w:lang w:eastAsia="zh-CN"/>
        </w:rPr>
        <w:t>谈判</w:t>
      </w:r>
      <w:r>
        <w:rPr>
          <w:rFonts w:hint="eastAsia"/>
          <w:color w:val="0C0C0C"/>
          <w:sz w:val="24"/>
          <w:szCs w:val="24"/>
          <w:u w:val="single"/>
        </w:rPr>
        <w:t>文件要求以及</w:t>
      </w:r>
      <w:r>
        <w:rPr>
          <w:rFonts w:hint="eastAsia"/>
          <w:color w:val="0C0C0C"/>
          <w:sz w:val="24"/>
          <w:szCs w:val="24"/>
          <w:u w:val="single"/>
          <w:lang w:eastAsia="zh-CN"/>
        </w:rPr>
        <w:t>谈判</w:t>
      </w:r>
      <w:r>
        <w:rPr>
          <w:rFonts w:hint="eastAsia"/>
          <w:color w:val="0C0C0C"/>
          <w:sz w:val="24"/>
          <w:szCs w:val="24"/>
          <w:u w:val="single"/>
        </w:rPr>
        <w:t>文件的响应)                    。</w:t>
      </w:r>
    </w:p>
    <w:p w14:paraId="70014005">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四、合同履行时间（期限）、地点和方式</w:t>
      </w:r>
    </w:p>
    <w:p w14:paraId="485B339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1.合同履行时间：自</w:t>
      </w:r>
      <w:r>
        <w:rPr>
          <w:rFonts w:hint="eastAsia"/>
          <w:color w:val="0C0C0C"/>
          <w:sz w:val="24"/>
          <w:szCs w:val="24"/>
          <w:u w:val="single"/>
        </w:rPr>
        <w:t xml:space="preserve">        </w:t>
      </w:r>
      <w:r>
        <w:rPr>
          <w:rFonts w:hint="eastAsia"/>
          <w:color w:val="0C0C0C"/>
          <w:sz w:val="24"/>
          <w:szCs w:val="24"/>
        </w:rPr>
        <w:t>年</w:t>
      </w:r>
      <w:r>
        <w:rPr>
          <w:rFonts w:hint="eastAsia"/>
          <w:color w:val="0C0C0C"/>
          <w:sz w:val="24"/>
          <w:szCs w:val="24"/>
          <w:u w:val="single"/>
        </w:rPr>
        <w:t xml:space="preserve">    </w:t>
      </w:r>
      <w:r>
        <w:rPr>
          <w:rFonts w:hint="eastAsia"/>
          <w:color w:val="0C0C0C"/>
          <w:sz w:val="24"/>
          <w:szCs w:val="24"/>
        </w:rPr>
        <w:t>月</w:t>
      </w:r>
      <w:r>
        <w:rPr>
          <w:rFonts w:hint="eastAsia"/>
          <w:color w:val="0C0C0C"/>
          <w:sz w:val="24"/>
          <w:szCs w:val="24"/>
          <w:u w:val="single"/>
        </w:rPr>
        <w:t xml:space="preserve">    </w:t>
      </w:r>
      <w:r>
        <w:rPr>
          <w:rFonts w:hint="eastAsia"/>
          <w:color w:val="0C0C0C"/>
          <w:sz w:val="24"/>
          <w:szCs w:val="24"/>
        </w:rPr>
        <w:t>日至</w:t>
      </w:r>
      <w:r>
        <w:rPr>
          <w:rFonts w:hint="eastAsia"/>
          <w:color w:val="0C0C0C"/>
          <w:sz w:val="24"/>
          <w:szCs w:val="24"/>
          <w:u w:val="single"/>
        </w:rPr>
        <w:t xml:space="preserve">       </w:t>
      </w:r>
      <w:r>
        <w:rPr>
          <w:rFonts w:hint="eastAsia"/>
          <w:color w:val="0C0C0C"/>
          <w:sz w:val="24"/>
          <w:szCs w:val="24"/>
        </w:rPr>
        <w:t>年</w:t>
      </w:r>
      <w:r>
        <w:rPr>
          <w:rFonts w:hint="eastAsia"/>
          <w:color w:val="0C0C0C"/>
          <w:sz w:val="24"/>
          <w:szCs w:val="24"/>
          <w:u w:val="single"/>
        </w:rPr>
        <w:t xml:space="preserve">    </w:t>
      </w:r>
      <w:r>
        <w:rPr>
          <w:rFonts w:hint="eastAsia"/>
          <w:color w:val="0C0C0C"/>
          <w:sz w:val="24"/>
          <w:szCs w:val="24"/>
        </w:rPr>
        <w:t>月</w:t>
      </w:r>
      <w:r>
        <w:rPr>
          <w:rFonts w:hint="eastAsia"/>
          <w:color w:val="0C0C0C"/>
          <w:sz w:val="24"/>
          <w:szCs w:val="24"/>
          <w:u w:val="single"/>
        </w:rPr>
        <w:t xml:space="preserve">    </w:t>
      </w:r>
      <w:r>
        <w:rPr>
          <w:rFonts w:hint="eastAsia"/>
          <w:color w:val="0C0C0C"/>
          <w:sz w:val="24"/>
          <w:szCs w:val="24"/>
        </w:rPr>
        <w:t>日止。</w:t>
      </w:r>
    </w:p>
    <w:p w14:paraId="7B4B135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u w:val="single"/>
        </w:rPr>
      </w:pPr>
      <w:r>
        <w:rPr>
          <w:rFonts w:hint="eastAsia"/>
          <w:color w:val="0C0C0C"/>
          <w:sz w:val="24"/>
          <w:szCs w:val="24"/>
        </w:rPr>
        <w:t>2.交付或服务地点及方式：</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文件)                     。</w:t>
      </w:r>
    </w:p>
    <w:p w14:paraId="14A90A5B">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eastAsiaTheme="minorEastAsia"/>
          <w:color w:val="0C0C0C"/>
          <w:sz w:val="24"/>
          <w:szCs w:val="24"/>
          <w:lang w:eastAsia="zh-CN"/>
        </w:rPr>
      </w:pPr>
      <w:r>
        <w:rPr>
          <w:rFonts w:hint="eastAsia"/>
          <w:color w:val="0C0C0C"/>
          <w:sz w:val="24"/>
          <w:szCs w:val="24"/>
        </w:rPr>
        <w:t>五、包装及运输</w:t>
      </w:r>
      <w:r>
        <w:rPr>
          <w:rFonts w:hint="eastAsia"/>
          <w:color w:val="0C0C0C"/>
          <w:sz w:val="24"/>
          <w:szCs w:val="24"/>
          <w:lang w:eastAsia="zh-CN"/>
        </w:rPr>
        <w:t>（本项目不涉及）</w:t>
      </w:r>
    </w:p>
    <w:p w14:paraId="6F134C53">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u w:val="single"/>
        </w:rPr>
      </w:pPr>
      <w:r>
        <w:rPr>
          <w:rFonts w:hint="eastAsia"/>
          <w:color w:val="0C0C0C"/>
          <w:sz w:val="24"/>
          <w:szCs w:val="24"/>
        </w:rPr>
        <w:t xml:space="preserve">      </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文件)                      。</w:t>
      </w:r>
    </w:p>
    <w:p w14:paraId="17C0DA82">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六、合同价款  </w:t>
      </w:r>
    </w:p>
    <w:p w14:paraId="379DAAA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1.本合同金额为（大写）：人民币</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 xml:space="preserve">文件)   </w:t>
      </w:r>
      <w:r>
        <w:rPr>
          <w:rFonts w:hint="eastAsia"/>
          <w:color w:val="0C0C0C"/>
          <w:sz w:val="24"/>
          <w:szCs w:val="24"/>
        </w:rPr>
        <w:t>元（¥：</w:t>
      </w:r>
      <w:r>
        <w:rPr>
          <w:rFonts w:hint="eastAsia"/>
          <w:color w:val="0C0C0C"/>
          <w:sz w:val="24"/>
          <w:szCs w:val="24"/>
          <w:u w:val="single"/>
        </w:rPr>
        <w:t xml:space="preserve">          </w:t>
      </w:r>
      <w:r>
        <w:rPr>
          <w:rFonts w:hint="eastAsia"/>
          <w:color w:val="0C0C0C"/>
          <w:sz w:val="24"/>
          <w:szCs w:val="24"/>
        </w:rPr>
        <w:t>）</w:t>
      </w:r>
    </w:p>
    <w:p w14:paraId="34D009E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2.合同金额包括乙方完成本合同约定的全部工作可能发生的所有费用（含市场变化等可能发生的费用），即总报价为“交钥匙”价。甲方在支付此金额后，不再因本合同支付任何其它费用。</w:t>
      </w:r>
    </w:p>
    <w:p w14:paraId="426CE84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u w:val="single"/>
        </w:rPr>
      </w:pPr>
      <w:r>
        <w:rPr>
          <w:rFonts w:hint="eastAsia"/>
          <w:color w:val="0C0C0C"/>
          <w:sz w:val="24"/>
          <w:szCs w:val="24"/>
        </w:rPr>
        <w:t xml:space="preserve">3. </w:t>
      </w:r>
      <w:r>
        <w:rPr>
          <w:rFonts w:hint="eastAsia"/>
          <w:color w:val="0C0C0C"/>
          <w:sz w:val="24"/>
          <w:szCs w:val="24"/>
          <w:u w:val="single"/>
        </w:rPr>
        <w:t xml:space="preserve">                                                             。</w:t>
      </w:r>
    </w:p>
    <w:p w14:paraId="05343758">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七、资金支付方式及安排</w:t>
      </w:r>
    </w:p>
    <w:p w14:paraId="36B3EBC6">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    </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文件)                                            。</w:t>
      </w:r>
    </w:p>
    <w:p w14:paraId="6E419E3A">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八、交付标准、方法和验收方案</w:t>
      </w:r>
    </w:p>
    <w:p w14:paraId="0EF3F94D">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1.交付标准、方法：</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文件)                         。</w:t>
      </w:r>
    </w:p>
    <w:p w14:paraId="2B78699B">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2.验收方案：</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文件)                           。</w:t>
      </w:r>
    </w:p>
    <w:p w14:paraId="0DD6D6A8">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九、质保（服务）期及质保（服务）范围和要求</w:t>
      </w:r>
    </w:p>
    <w:p w14:paraId="717E696D">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1.质保（服务）期：</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文件)                   。</w:t>
      </w:r>
    </w:p>
    <w:p w14:paraId="1BB5BABD">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u w:val="single"/>
        </w:rPr>
      </w:pPr>
      <w:r>
        <w:rPr>
          <w:rFonts w:hint="eastAsia"/>
          <w:color w:val="0C0C0C"/>
          <w:sz w:val="24"/>
          <w:szCs w:val="24"/>
        </w:rPr>
        <w:t>2.质保（服务）范围：</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文件)                  。</w:t>
      </w:r>
    </w:p>
    <w:p w14:paraId="57DF4E6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3.质保（服务）要求：</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文件)                  。</w:t>
      </w:r>
    </w:p>
    <w:p w14:paraId="53D32C77">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十、项目培训</w:t>
      </w:r>
    </w:p>
    <w:p w14:paraId="6264E81C">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u w:val="single"/>
        </w:rPr>
      </w:pPr>
      <w:r>
        <w:rPr>
          <w:rFonts w:hint="eastAsia"/>
          <w:color w:val="0C0C0C"/>
          <w:sz w:val="24"/>
          <w:szCs w:val="24"/>
        </w:rPr>
        <w:t xml:space="preserve">      </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文件)                         。</w:t>
      </w:r>
    </w:p>
    <w:p w14:paraId="09E01943">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十一、知识产权归属、处理方式</w:t>
      </w:r>
    </w:p>
    <w:p w14:paraId="37EEC67B">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u w:val="single"/>
        </w:rPr>
      </w:pPr>
      <w:r>
        <w:rPr>
          <w:rFonts w:hint="eastAsia"/>
          <w:color w:val="0C0C0C"/>
          <w:sz w:val="24"/>
          <w:szCs w:val="24"/>
        </w:rPr>
        <w:t xml:space="preserve">      </w:t>
      </w:r>
      <w:r>
        <w:rPr>
          <w:rFonts w:hint="eastAsia"/>
          <w:color w:val="0C0C0C"/>
          <w:sz w:val="24"/>
          <w:szCs w:val="24"/>
          <w:u w:val="single"/>
        </w:rPr>
        <w:t xml:space="preserve">              (见</w:t>
      </w:r>
      <w:r>
        <w:rPr>
          <w:rFonts w:hint="eastAsia"/>
          <w:color w:val="0C0C0C"/>
          <w:sz w:val="24"/>
          <w:szCs w:val="24"/>
          <w:u w:val="single"/>
          <w:lang w:eastAsia="zh-CN"/>
        </w:rPr>
        <w:t>谈判</w:t>
      </w:r>
      <w:r>
        <w:rPr>
          <w:rFonts w:hint="eastAsia"/>
          <w:color w:val="0C0C0C"/>
          <w:sz w:val="24"/>
          <w:szCs w:val="24"/>
          <w:u w:val="single"/>
        </w:rPr>
        <w:t>文件)                          。</w:t>
      </w:r>
    </w:p>
    <w:p w14:paraId="51969515">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十二、双方的权利和义务</w:t>
      </w:r>
    </w:p>
    <w:p w14:paraId="5C37263C">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1.甲方的权力和义务：                                       。</w:t>
      </w:r>
    </w:p>
    <w:p w14:paraId="6F5B9E8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2.乙方的权力和义务：                                       。</w:t>
      </w:r>
    </w:p>
    <w:p w14:paraId="46FB8264">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十三、违约责任</w:t>
      </w:r>
    </w:p>
    <w:p w14:paraId="2839175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1.甲方的违约责任：                                         。</w:t>
      </w:r>
    </w:p>
    <w:p w14:paraId="49516FC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2.乙方的违约责任：        (见</w:t>
      </w:r>
      <w:r>
        <w:rPr>
          <w:rFonts w:hint="eastAsia"/>
          <w:color w:val="0C0C0C"/>
          <w:sz w:val="24"/>
          <w:szCs w:val="24"/>
          <w:lang w:eastAsia="zh-CN"/>
        </w:rPr>
        <w:t>谈判</w:t>
      </w:r>
      <w:r>
        <w:rPr>
          <w:rFonts w:hint="eastAsia"/>
          <w:color w:val="0C0C0C"/>
          <w:sz w:val="24"/>
          <w:szCs w:val="24"/>
        </w:rPr>
        <w:t>文件)                     。</w:t>
      </w:r>
    </w:p>
    <w:p w14:paraId="326CE4AA">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十四、保密条款</w:t>
      </w:r>
    </w:p>
    <w:p w14:paraId="0152F8F3">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                         (见</w:t>
      </w:r>
      <w:r>
        <w:rPr>
          <w:rFonts w:hint="eastAsia"/>
          <w:color w:val="0C0C0C"/>
          <w:sz w:val="24"/>
          <w:szCs w:val="24"/>
          <w:lang w:eastAsia="zh-CN"/>
        </w:rPr>
        <w:t>谈判</w:t>
      </w:r>
      <w:r>
        <w:rPr>
          <w:rFonts w:hint="eastAsia"/>
          <w:color w:val="0C0C0C"/>
          <w:sz w:val="24"/>
          <w:szCs w:val="24"/>
        </w:rPr>
        <w:t>文件)                      。</w:t>
      </w:r>
    </w:p>
    <w:p w14:paraId="179AD67F">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十五、其它补充条款</w:t>
      </w:r>
    </w:p>
    <w:p w14:paraId="3403289A">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                                                           。</w:t>
      </w:r>
    </w:p>
    <w:p w14:paraId="0C82EBDC">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十六、不可抗力</w:t>
      </w:r>
    </w:p>
    <w:p w14:paraId="39E518A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任何一方由于不可抗力原因不能履行合同时，应在不可抗力事件结束后     日内以书面形式通知对方，以减轻可能给对方造成的损失，在取得有关机构的不可抗力证明或双方谅解确认后，允许延期履行或修订合同，并根据情况可部分或全部免于承担违约责任。</w:t>
      </w:r>
    </w:p>
    <w:p w14:paraId="77E7EE72">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十七、解决争议的方法</w:t>
      </w:r>
    </w:p>
    <w:p w14:paraId="5B4BE14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一切由执行合同引起的或与本合同有关的争执，双方应通过友好协商解决，如协商不能解决应提交甲方所在地有管辖权的人民法院诉讼解决。</w:t>
      </w:r>
    </w:p>
    <w:p w14:paraId="1C87412D">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十八、合同组成</w:t>
      </w:r>
    </w:p>
    <w:p w14:paraId="2F85307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下列文件为本合同不可分割的部分：</w:t>
      </w:r>
    </w:p>
    <w:p w14:paraId="6202A03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1.合同书；</w:t>
      </w:r>
    </w:p>
    <w:p w14:paraId="0E4A6B1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 xml:space="preserve">2.代理机构发出的中标或成交通知书； </w:t>
      </w:r>
    </w:p>
    <w:p w14:paraId="4289B1D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3.经双方确认并共同签字的补充文件、技术协议等；</w:t>
      </w:r>
    </w:p>
    <w:p w14:paraId="22D3E86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4.乙方的投标或响应文件（含附件、补充文件、图纸等）；</w:t>
      </w:r>
    </w:p>
    <w:p w14:paraId="6AC1E8F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5.采购文件（含附件、补充文件、图纸等）。</w:t>
      </w:r>
    </w:p>
    <w:p w14:paraId="69690D2F">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十九、合同生效与终止</w:t>
      </w:r>
    </w:p>
    <w:p w14:paraId="2E43535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1.本合同经甲乙双方授权代表签字和加盖公章（或合同专用章）后生效。如招标申请公证的，合同需经公证机构公证后生效。</w:t>
      </w:r>
    </w:p>
    <w:p w14:paraId="472EA55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2.双方履行完各自权利和义务后合同自行终止。</w:t>
      </w:r>
    </w:p>
    <w:p w14:paraId="31F6B04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3.本合同规定可以终止合同的情形。</w:t>
      </w:r>
    </w:p>
    <w:p w14:paraId="6431A7E7">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二十、通知与送达</w:t>
      </w:r>
    </w:p>
    <w:p w14:paraId="0C0544B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1.就本合同有关事项，双方应通过本合同约定的联系方式向对方发送相关通知，本合同约定的送达地址同时作为有效司法送达地址。</w:t>
      </w:r>
    </w:p>
    <w:p w14:paraId="032C9E1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2.一方变更通知或通讯地址，应自变更之日起    日内，以书面形式通知对方，否则，由未通知方承担由此而引起的相关责任。</w:t>
      </w:r>
    </w:p>
    <w:p w14:paraId="2C98CE00">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二十一、其它</w:t>
      </w:r>
    </w:p>
    <w:p w14:paraId="6CB2A88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color w:val="0C0C0C"/>
          <w:sz w:val="24"/>
          <w:szCs w:val="24"/>
        </w:rPr>
      </w:pPr>
      <w:r>
        <w:rPr>
          <w:rFonts w:hint="eastAsia"/>
          <w:color w:val="0C0C0C"/>
          <w:sz w:val="24"/>
          <w:szCs w:val="24"/>
        </w:rPr>
        <w:t>本合同正本一式    份，甲方执  　份，乙方执  　份；副本一式  　份，甲方执  　份，乙方执  　份。</w:t>
      </w:r>
    </w:p>
    <w:p w14:paraId="478DF010">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p>
    <w:p w14:paraId="12CE7661">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    </w:t>
      </w:r>
    </w:p>
    <w:p w14:paraId="46D88373">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甲　　方：</w:t>
      </w:r>
      <w:r>
        <w:rPr>
          <w:rFonts w:hint="eastAsia"/>
          <w:color w:val="0C0C0C"/>
          <w:sz w:val="24"/>
          <w:szCs w:val="24"/>
        </w:rPr>
        <w:tab/>
      </w:r>
      <w:r>
        <w:rPr>
          <w:rFonts w:hint="eastAsia"/>
          <w:color w:val="0C0C0C"/>
          <w:sz w:val="24"/>
          <w:szCs w:val="24"/>
        </w:rPr>
        <w:t xml:space="preserve">                         乙　　方：</w:t>
      </w:r>
    </w:p>
    <w:p w14:paraId="51A9D039">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单位名称（盖章）：</w:t>
      </w:r>
      <w:r>
        <w:rPr>
          <w:rFonts w:hint="eastAsia"/>
          <w:color w:val="0C0C0C"/>
          <w:sz w:val="24"/>
          <w:szCs w:val="24"/>
        </w:rPr>
        <w:tab/>
      </w:r>
      <w:r>
        <w:rPr>
          <w:rFonts w:hint="eastAsia"/>
          <w:color w:val="0C0C0C"/>
          <w:sz w:val="24"/>
          <w:szCs w:val="24"/>
        </w:rPr>
        <w:t xml:space="preserve">                  单位名称（盖章）：</w:t>
      </w:r>
    </w:p>
    <w:p w14:paraId="15BCEB99">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单位地址：</w:t>
      </w:r>
      <w:r>
        <w:rPr>
          <w:rFonts w:hint="eastAsia"/>
          <w:color w:val="0C0C0C"/>
          <w:sz w:val="24"/>
          <w:szCs w:val="24"/>
        </w:rPr>
        <w:tab/>
      </w:r>
      <w:r>
        <w:rPr>
          <w:rFonts w:hint="eastAsia"/>
          <w:color w:val="0C0C0C"/>
          <w:sz w:val="24"/>
          <w:szCs w:val="24"/>
        </w:rPr>
        <w:t xml:space="preserve">                         单位地址：</w:t>
      </w:r>
    </w:p>
    <w:p w14:paraId="1A012AB0">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法人代表授权人(签字)：             </w:t>
      </w:r>
      <w:r>
        <w:rPr>
          <w:rFonts w:hint="eastAsia"/>
          <w:color w:val="0C0C0C"/>
          <w:sz w:val="24"/>
          <w:szCs w:val="24"/>
        </w:rPr>
        <w:tab/>
      </w:r>
      <w:r>
        <w:rPr>
          <w:rFonts w:hint="eastAsia"/>
          <w:color w:val="0C0C0C"/>
          <w:sz w:val="24"/>
          <w:szCs w:val="24"/>
        </w:rPr>
        <w:t>法人代表授权人(签字)：</w:t>
      </w:r>
    </w:p>
    <w:p w14:paraId="53BBEF09">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联 系 人：</w:t>
      </w:r>
      <w:r>
        <w:rPr>
          <w:rFonts w:hint="eastAsia"/>
          <w:color w:val="0C0C0C"/>
          <w:sz w:val="24"/>
          <w:szCs w:val="24"/>
        </w:rPr>
        <w:tab/>
      </w:r>
      <w:r>
        <w:rPr>
          <w:rFonts w:hint="eastAsia"/>
          <w:color w:val="0C0C0C"/>
          <w:sz w:val="24"/>
          <w:szCs w:val="24"/>
        </w:rPr>
        <w:t xml:space="preserve">                         联 系 人：</w:t>
      </w:r>
    </w:p>
    <w:p w14:paraId="60E2511B">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电　　话：                         </w:t>
      </w:r>
      <w:r>
        <w:rPr>
          <w:rFonts w:hint="eastAsia"/>
          <w:color w:val="0C0C0C"/>
          <w:sz w:val="24"/>
          <w:szCs w:val="24"/>
        </w:rPr>
        <w:tab/>
      </w:r>
      <w:r>
        <w:rPr>
          <w:rFonts w:hint="eastAsia"/>
          <w:color w:val="0C0C0C"/>
          <w:sz w:val="24"/>
          <w:szCs w:val="24"/>
        </w:rPr>
        <w:t>电　　话：</w:t>
      </w:r>
    </w:p>
    <w:p w14:paraId="5BFD9B57">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传　　真：                         </w:t>
      </w:r>
      <w:r>
        <w:rPr>
          <w:rFonts w:hint="eastAsia"/>
          <w:color w:val="0C0C0C"/>
          <w:sz w:val="24"/>
          <w:szCs w:val="24"/>
        </w:rPr>
        <w:tab/>
      </w:r>
      <w:r>
        <w:rPr>
          <w:rFonts w:hint="eastAsia"/>
          <w:color w:val="0C0C0C"/>
          <w:sz w:val="24"/>
          <w:szCs w:val="24"/>
        </w:rPr>
        <w:t>传　　真：</w:t>
      </w:r>
    </w:p>
    <w:p w14:paraId="1FBA0D1D">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邮政编码：                         </w:t>
      </w:r>
      <w:r>
        <w:rPr>
          <w:rFonts w:hint="eastAsia"/>
          <w:color w:val="0C0C0C"/>
          <w:sz w:val="24"/>
          <w:szCs w:val="24"/>
        </w:rPr>
        <w:tab/>
      </w:r>
      <w:r>
        <w:rPr>
          <w:rFonts w:hint="eastAsia"/>
          <w:color w:val="0C0C0C"/>
          <w:sz w:val="24"/>
          <w:szCs w:val="24"/>
        </w:rPr>
        <w:t>邮政编码：</w:t>
      </w:r>
    </w:p>
    <w:p w14:paraId="05E84A8D">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开户银行：                         </w:t>
      </w:r>
      <w:r>
        <w:rPr>
          <w:rFonts w:hint="eastAsia"/>
          <w:color w:val="0C0C0C"/>
          <w:sz w:val="24"/>
          <w:szCs w:val="24"/>
        </w:rPr>
        <w:tab/>
      </w:r>
      <w:r>
        <w:rPr>
          <w:rFonts w:hint="eastAsia"/>
          <w:color w:val="0C0C0C"/>
          <w:sz w:val="24"/>
          <w:szCs w:val="24"/>
        </w:rPr>
        <w:t>开户银行：</w:t>
      </w:r>
    </w:p>
    <w:p w14:paraId="42E76415">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账　　号：                         </w:t>
      </w:r>
      <w:r>
        <w:rPr>
          <w:rFonts w:hint="eastAsia"/>
          <w:color w:val="0C0C0C"/>
          <w:sz w:val="24"/>
          <w:szCs w:val="24"/>
        </w:rPr>
        <w:tab/>
      </w:r>
      <w:r>
        <w:rPr>
          <w:rFonts w:hint="eastAsia"/>
          <w:color w:val="0C0C0C"/>
          <w:sz w:val="24"/>
          <w:szCs w:val="24"/>
        </w:rPr>
        <w:t>账　　号：</w:t>
      </w:r>
    </w:p>
    <w:p w14:paraId="15E06E39">
      <w:pPr>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color w:val="0C0C0C"/>
          <w:sz w:val="24"/>
          <w:szCs w:val="24"/>
        </w:rPr>
      </w:pPr>
      <w:r>
        <w:rPr>
          <w:rFonts w:hint="eastAsia"/>
          <w:color w:val="0C0C0C"/>
          <w:sz w:val="24"/>
          <w:szCs w:val="24"/>
        </w:rPr>
        <w:t xml:space="preserve">税　　号：                         </w:t>
      </w:r>
      <w:r>
        <w:rPr>
          <w:rFonts w:hint="eastAsia"/>
          <w:color w:val="0C0C0C"/>
          <w:sz w:val="24"/>
          <w:szCs w:val="24"/>
        </w:rPr>
        <w:tab/>
      </w:r>
      <w:r>
        <w:rPr>
          <w:rFonts w:hint="eastAsia"/>
          <w:color w:val="0C0C0C"/>
          <w:sz w:val="24"/>
          <w:szCs w:val="24"/>
        </w:rPr>
        <w:t>税　　号：</w:t>
      </w:r>
    </w:p>
    <w:p w14:paraId="7CEAB34C">
      <w:pPr>
        <w:bidi w:val="0"/>
        <w:ind w:left="0" w:leftChars="0" w:firstLine="0" w:firstLineChars="0"/>
        <w:rPr>
          <w:rFonts w:hint="default"/>
          <w:lang w:val="en-US" w:eastAsia="zh-CN"/>
        </w:rPr>
      </w:pPr>
    </w:p>
    <w:sectPr>
      <w:headerReference r:id="rId5" w:type="default"/>
      <w:footerReference r:id="rId6" w:type="default"/>
      <w:pgSz w:w="11906" w:h="16838"/>
      <w:pgMar w:top="1440" w:right="1416" w:bottom="1440" w:left="1276"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5AA0">
    <w:pPr>
      <w:pStyle w:val="15"/>
      <w:tabs>
        <w:tab w:val="center" w:pos="4153"/>
        <w:tab w:val="right" w:pos="8306"/>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19165">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DE19165">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p w14:paraId="6F01A7BF">
    <w:pPr>
      <w:pStyle w:val="15"/>
      <w:tabs>
        <w:tab w:val="center" w:pos="4153"/>
        <w:tab w:val="right"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2291">
    <w:pPr>
      <w:pStyle w:val="16"/>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NDQ1YWFkMzFlZjU4MGIxYzJiZjVkMDdkMGM1MWIifQ=="/>
  </w:docVars>
  <w:rsids>
    <w:rsidRoot w:val="00217FF2"/>
    <w:rsid w:val="000F09E1"/>
    <w:rsid w:val="001660AE"/>
    <w:rsid w:val="001C3829"/>
    <w:rsid w:val="00217FF2"/>
    <w:rsid w:val="002922C7"/>
    <w:rsid w:val="002A2648"/>
    <w:rsid w:val="002C0AC4"/>
    <w:rsid w:val="00361344"/>
    <w:rsid w:val="00400872"/>
    <w:rsid w:val="00557231"/>
    <w:rsid w:val="005C6564"/>
    <w:rsid w:val="00614CA5"/>
    <w:rsid w:val="00754456"/>
    <w:rsid w:val="00770018"/>
    <w:rsid w:val="00807050"/>
    <w:rsid w:val="008829AD"/>
    <w:rsid w:val="00B648D2"/>
    <w:rsid w:val="00CA04D4"/>
    <w:rsid w:val="00CA420B"/>
    <w:rsid w:val="00DA22EC"/>
    <w:rsid w:val="00DD7110"/>
    <w:rsid w:val="00E16783"/>
    <w:rsid w:val="00E9002E"/>
    <w:rsid w:val="00E90A6C"/>
    <w:rsid w:val="00F261AB"/>
    <w:rsid w:val="00F61317"/>
    <w:rsid w:val="00F8194E"/>
    <w:rsid w:val="01D40BB6"/>
    <w:rsid w:val="0255692C"/>
    <w:rsid w:val="033267DB"/>
    <w:rsid w:val="053F2AC7"/>
    <w:rsid w:val="05B01A7A"/>
    <w:rsid w:val="060F3A1A"/>
    <w:rsid w:val="08357123"/>
    <w:rsid w:val="0934547C"/>
    <w:rsid w:val="097E25E3"/>
    <w:rsid w:val="09925756"/>
    <w:rsid w:val="0A6906C8"/>
    <w:rsid w:val="0B667341"/>
    <w:rsid w:val="0B9A495D"/>
    <w:rsid w:val="0E0261B5"/>
    <w:rsid w:val="0E756A5E"/>
    <w:rsid w:val="0E9C6341"/>
    <w:rsid w:val="10354E7A"/>
    <w:rsid w:val="110F7AFF"/>
    <w:rsid w:val="128C0CD5"/>
    <w:rsid w:val="13012B8D"/>
    <w:rsid w:val="13997C6A"/>
    <w:rsid w:val="13D92294"/>
    <w:rsid w:val="1464066B"/>
    <w:rsid w:val="157613BE"/>
    <w:rsid w:val="16786279"/>
    <w:rsid w:val="172E3A9E"/>
    <w:rsid w:val="18794A46"/>
    <w:rsid w:val="18B1097E"/>
    <w:rsid w:val="19114DF2"/>
    <w:rsid w:val="19B401AA"/>
    <w:rsid w:val="1B505394"/>
    <w:rsid w:val="1D6F3E9B"/>
    <w:rsid w:val="1D743D71"/>
    <w:rsid w:val="1DDD2889"/>
    <w:rsid w:val="1E1A284E"/>
    <w:rsid w:val="21D0623B"/>
    <w:rsid w:val="21E40837"/>
    <w:rsid w:val="22E116F5"/>
    <w:rsid w:val="24AE30E7"/>
    <w:rsid w:val="2593769F"/>
    <w:rsid w:val="26511C21"/>
    <w:rsid w:val="27E86D24"/>
    <w:rsid w:val="29072F36"/>
    <w:rsid w:val="2A1574A8"/>
    <w:rsid w:val="2CAC407E"/>
    <w:rsid w:val="2CBC382D"/>
    <w:rsid w:val="2CC851DF"/>
    <w:rsid w:val="2E861C7E"/>
    <w:rsid w:val="2EB37529"/>
    <w:rsid w:val="30272F2C"/>
    <w:rsid w:val="30B51BB0"/>
    <w:rsid w:val="337232E3"/>
    <w:rsid w:val="33B465AC"/>
    <w:rsid w:val="35134CB4"/>
    <w:rsid w:val="36382CB9"/>
    <w:rsid w:val="38A26A7B"/>
    <w:rsid w:val="3AFA25F5"/>
    <w:rsid w:val="3B363F67"/>
    <w:rsid w:val="3CA134EE"/>
    <w:rsid w:val="3F720966"/>
    <w:rsid w:val="3F7E18C4"/>
    <w:rsid w:val="400728CC"/>
    <w:rsid w:val="40CB7B89"/>
    <w:rsid w:val="412A3AB2"/>
    <w:rsid w:val="43502AE5"/>
    <w:rsid w:val="44220BE4"/>
    <w:rsid w:val="44B314B9"/>
    <w:rsid w:val="48F14EB5"/>
    <w:rsid w:val="4995152A"/>
    <w:rsid w:val="49AE48C9"/>
    <w:rsid w:val="4A722025"/>
    <w:rsid w:val="4B135D0A"/>
    <w:rsid w:val="4B562149"/>
    <w:rsid w:val="4C832411"/>
    <w:rsid w:val="4CD21F86"/>
    <w:rsid w:val="4F0D7F08"/>
    <w:rsid w:val="508B373D"/>
    <w:rsid w:val="521B7EE5"/>
    <w:rsid w:val="52EC69EF"/>
    <w:rsid w:val="53427982"/>
    <w:rsid w:val="53D93D36"/>
    <w:rsid w:val="547D63E3"/>
    <w:rsid w:val="55B1434A"/>
    <w:rsid w:val="56FE42EB"/>
    <w:rsid w:val="581B2BE4"/>
    <w:rsid w:val="583E3F42"/>
    <w:rsid w:val="590535E0"/>
    <w:rsid w:val="5A436E3C"/>
    <w:rsid w:val="5B526365"/>
    <w:rsid w:val="5F002F5B"/>
    <w:rsid w:val="6117695C"/>
    <w:rsid w:val="612400C6"/>
    <w:rsid w:val="626C112D"/>
    <w:rsid w:val="63004D1E"/>
    <w:rsid w:val="630D2B3B"/>
    <w:rsid w:val="641461CF"/>
    <w:rsid w:val="644514FF"/>
    <w:rsid w:val="6519668C"/>
    <w:rsid w:val="65C548A9"/>
    <w:rsid w:val="697812B8"/>
    <w:rsid w:val="69F83B7E"/>
    <w:rsid w:val="6A650D1C"/>
    <w:rsid w:val="6B707594"/>
    <w:rsid w:val="6EE84271"/>
    <w:rsid w:val="6F3825BD"/>
    <w:rsid w:val="70D0387D"/>
    <w:rsid w:val="71F31B1A"/>
    <w:rsid w:val="727729A1"/>
    <w:rsid w:val="734C56DF"/>
    <w:rsid w:val="739F14E1"/>
    <w:rsid w:val="741A0575"/>
    <w:rsid w:val="749D5EA5"/>
    <w:rsid w:val="74FB3B0F"/>
    <w:rsid w:val="75D75688"/>
    <w:rsid w:val="75F32411"/>
    <w:rsid w:val="76FF2D0F"/>
    <w:rsid w:val="77BB532B"/>
    <w:rsid w:val="7AAC37E3"/>
    <w:rsid w:val="7B945C74"/>
    <w:rsid w:val="7CFF070A"/>
    <w:rsid w:val="7D5970B7"/>
    <w:rsid w:val="7E4C610E"/>
    <w:rsid w:val="7F9D3373"/>
    <w:rsid w:val="7FAB31BA"/>
    <w:rsid w:val="CEA4A071"/>
    <w:rsid w:val="FFD25A4E"/>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iPriority="99"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Calibri" w:hAnsi="Calibri" w:eastAsia="宋体" w:cs="Times New Roman"/>
      <w:kern w:val="2"/>
      <w:sz w:val="21"/>
      <w:szCs w:val="22"/>
      <w:lang w:val="en-US" w:eastAsia="zh-CN" w:bidi="ar-SA"/>
    </w:rPr>
  </w:style>
  <w:style w:type="paragraph" w:styleId="2">
    <w:name w:val="heading 1"/>
    <w:basedOn w:val="1"/>
    <w:next w:val="1"/>
    <w:link w:val="30"/>
    <w:qFormat/>
    <w:uiPriority w:val="0"/>
    <w:pPr>
      <w:keepNext/>
      <w:keepLines/>
      <w:spacing w:line="578" w:lineRule="auto"/>
      <w:outlineLvl w:val="0"/>
    </w:pPr>
    <w:rPr>
      <w:b/>
      <w:kern w:val="44"/>
      <w:sz w:val="32"/>
      <w:szCs w:val="44"/>
    </w:rPr>
  </w:style>
  <w:style w:type="paragraph" w:styleId="3">
    <w:name w:val="heading 2"/>
    <w:basedOn w:val="1"/>
    <w:next w:val="1"/>
    <w:link w:val="35"/>
    <w:qFormat/>
    <w:uiPriority w:val="0"/>
    <w:pPr>
      <w:keepNext/>
      <w:keepLines/>
      <w:spacing w:line="416" w:lineRule="auto"/>
      <w:outlineLvl w:val="1"/>
    </w:pPr>
    <w:rPr>
      <w:rFonts w:ascii="Cambria" w:hAnsi="Cambria" w:eastAsia="宋体"/>
      <w:b/>
      <w:sz w:val="24"/>
      <w:szCs w:val="32"/>
    </w:rPr>
  </w:style>
  <w:style w:type="paragraph" w:styleId="4">
    <w:name w:val="heading 3"/>
    <w:basedOn w:val="1"/>
    <w:next w:val="1"/>
    <w:link w:val="36"/>
    <w:qFormat/>
    <w:uiPriority w:val="0"/>
    <w:pPr>
      <w:keepNext/>
      <w:keepLines/>
      <w:spacing w:line="416" w:lineRule="auto"/>
      <w:ind w:left="100" w:leftChars="100" w:right="100" w:rightChars="100"/>
      <w:jc w:val="left"/>
      <w:outlineLvl w:val="2"/>
    </w:pPr>
    <w:rPr>
      <w:b/>
      <w:sz w:val="28"/>
      <w:szCs w:val="32"/>
    </w:rPr>
  </w:style>
  <w:style w:type="paragraph" w:styleId="5">
    <w:name w:val="heading 4"/>
    <w:basedOn w:val="1"/>
    <w:next w:val="1"/>
    <w:qFormat/>
    <w:uiPriority w:val="0"/>
    <w:pPr>
      <w:keepNext/>
      <w:keepLines/>
      <w:spacing w:before="280" w:after="290" w:line="376" w:lineRule="auto"/>
      <w:outlineLvl w:val="3"/>
    </w:pPr>
    <w:rPr>
      <w:rFonts w:ascii="Cambria" w:hAnsi="Cambria"/>
      <w:b/>
      <w:sz w:val="24"/>
      <w:szCs w:val="28"/>
    </w:rPr>
  </w:style>
  <w:style w:type="paragraph" w:styleId="6">
    <w:name w:val="heading 5"/>
    <w:basedOn w:val="1"/>
    <w:next w:val="1"/>
    <w:qFormat/>
    <w:uiPriority w:val="9"/>
    <w:pPr>
      <w:keepNext/>
      <w:keepLines/>
      <w:spacing w:before="280" w:after="290" w:line="376" w:lineRule="auto"/>
      <w:outlineLvl w:val="4"/>
    </w:pPr>
    <w:rPr>
      <w:rFonts w:ascii="Times New Roman" w:hAnsi="Times New Roman" w:eastAsia="宋体" w:cs="Times New Roman"/>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link w:val="39"/>
    <w:qFormat/>
    <w:uiPriority w:val="0"/>
  </w:style>
  <w:style w:type="paragraph" w:styleId="9">
    <w:name w:val="Body Text"/>
    <w:basedOn w:val="1"/>
    <w:next w:val="1"/>
    <w:qFormat/>
    <w:uiPriority w:val="0"/>
    <w:pPr>
      <w:spacing w:after="120"/>
    </w:pPr>
  </w:style>
  <w:style w:type="paragraph" w:styleId="10">
    <w:name w:val="Body Text Indent"/>
    <w:basedOn w:val="1"/>
    <w:next w:val="11"/>
    <w:qFormat/>
    <w:uiPriority w:val="0"/>
    <w:pPr>
      <w:ind w:firstLine="645"/>
    </w:pPr>
    <w:rPr>
      <w:rFonts w:ascii="楷体_GB2312" w:eastAsia="楷体_GB2312"/>
      <w:sz w:val="32"/>
    </w:rPr>
  </w:style>
  <w:style w:type="paragraph" w:styleId="11">
    <w:name w:val="envelope return"/>
    <w:basedOn w:val="1"/>
    <w:qFormat/>
    <w:uiPriority w:val="0"/>
    <w:pPr>
      <w:snapToGrid w:val="0"/>
    </w:pPr>
    <w:rPr>
      <w:rFonts w:ascii="Arial" w:hAnsi="Arial" w:cs="Arial"/>
      <w:color w:val="auto"/>
      <w:sz w:val="21"/>
    </w:rPr>
  </w:style>
  <w:style w:type="paragraph" w:styleId="12">
    <w:name w:val="toc 3"/>
    <w:basedOn w:val="1"/>
    <w:next w:val="1"/>
    <w:qFormat/>
    <w:uiPriority w:val="0"/>
    <w:pPr>
      <w:spacing w:after="100" w:line="276" w:lineRule="auto"/>
      <w:ind w:left="440"/>
    </w:pPr>
    <w:rPr>
      <w:kern w:val="0"/>
      <w:sz w:val="32"/>
    </w:rPr>
  </w:style>
  <w:style w:type="paragraph" w:styleId="13">
    <w:name w:val="Plain Text"/>
    <w:basedOn w:val="1"/>
    <w:qFormat/>
    <w:uiPriority w:val="0"/>
    <w:rPr>
      <w:rFonts w:ascii="宋体" w:hAnsi="Courier New" w:cs="Courier New"/>
      <w:szCs w:val="21"/>
    </w:rPr>
  </w:style>
  <w:style w:type="paragraph" w:styleId="14">
    <w:name w:val="Balloon Text"/>
    <w:basedOn w:val="1"/>
    <w:link w:val="34"/>
    <w:qFormat/>
    <w:uiPriority w:val="0"/>
    <w:rPr>
      <w:sz w:val="18"/>
      <w:szCs w:val="18"/>
    </w:rPr>
  </w:style>
  <w:style w:type="paragraph" w:styleId="15">
    <w:name w:val="footer"/>
    <w:basedOn w:val="1"/>
    <w:link w:val="38"/>
    <w:qFormat/>
    <w:uiPriority w:val="0"/>
    <w:pPr>
      <w:snapToGrid w:val="0"/>
    </w:pPr>
    <w:rPr>
      <w:sz w:val="18"/>
      <w:szCs w:val="18"/>
    </w:rPr>
  </w:style>
  <w:style w:type="paragraph" w:styleId="16">
    <w:name w:val="header"/>
    <w:basedOn w:val="1"/>
    <w:link w:val="37"/>
    <w:qFormat/>
    <w:uiPriority w:val="0"/>
    <w:pPr>
      <w:pBdr>
        <w:bottom w:val="single" w:color="auto" w:sz="6" w:space="1"/>
      </w:pBdr>
      <w:snapToGrid w:val="0"/>
      <w:jc w:val="center"/>
    </w:pPr>
    <w:rPr>
      <w:sz w:val="18"/>
      <w:szCs w:val="18"/>
    </w:rPr>
  </w:style>
  <w:style w:type="paragraph" w:styleId="17">
    <w:name w:val="toc 1"/>
    <w:basedOn w:val="1"/>
    <w:next w:val="1"/>
    <w:qFormat/>
    <w:uiPriority w:val="0"/>
    <w:pPr>
      <w:spacing w:after="100" w:line="276" w:lineRule="auto"/>
    </w:pPr>
    <w:rPr>
      <w:b/>
      <w:kern w:val="0"/>
      <w:sz w:val="32"/>
    </w:rPr>
  </w:style>
  <w:style w:type="paragraph" w:styleId="18">
    <w:name w:val="toc 2"/>
    <w:basedOn w:val="1"/>
    <w:next w:val="1"/>
    <w:qFormat/>
    <w:uiPriority w:val="0"/>
    <w:pPr>
      <w:spacing w:after="100" w:line="276" w:lineRule="auto"/>
      <w:ind w:left="220"/>
    </w:pPr>
    <w:rPr>
      <w:kern w:val="0"/>
      <w:sz w:val="32"/>
    </w:rPr>
  </w:style>
  <w:style w:type="paragraph" w:styleId="19">
    <w:name w:val="Body Text 2"/>
    <w:basedOn w:val="1"/>
    <w:semiHidden/>
    <w:unhideWhenUsed/>
    <w:qFormat/>
    <w:uiPriority w:val="99"/>
    <w:pPr>
      <w:spacing w:after="120" w:line="480" w:lineRule="auto"/>
    </w:pPr>
  </w:style>
  <w:style w:type="paragraph" w:styleId="20">
    <w:name w:val="annotation subject"/>
    <w:basedOn w:val="8"/>
    <w:next w:val="8"/>
    <w:link w:val="40"/>
    <w:qFormat/>
    <w:uiPriority w:val="0"/>
    <w:rPr>
      <w:b/>
    </w:rPr>
  </w:style>
  <w:style w:type="paragraph" w:styleId="21">
    <w:name w:val="Body Text First Indent 2"/>
    <w:basedOn w:val="10"/>
    <w:next w:val="1"/>
    <w:unhideWhenUsed/>
    <w:qFormat/>
    <w:uiPriority w:val="99"/>
    <w:pPr>
      <w:spacing w:after="120"/>
      <w:ind w:left="420" w:leftChars="200" w:firstLine="420" w:firstLineChars="200"/>
    </w:pPr>
    <w:rPr>
      <w:sz w:val="21"/>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Hyperlink"/>
    <w:qFormat/>
    <w:uiPriority w:val="0"/>
    <w:rPr>
      <w:color w:val="0000FF"/>
      <w:u w:val="single"/>
    </w:rPr>
  </w:style>
  <w:style w:type="character" w:styleId="26">
    <w:name w:val="annotation reference"/>
    <w:qFormat/>
    <w:uiPriority w:val="0"/>
    <w:rPr>
      <w:sz w:val="21"/>
    </w:rPr>
  </w:style>
  <w:style w:type="paragraph" w:customStyle="1" w:styleId="27">
    <w:name w:val="正文缩进1"/>
    <w:basedOn w:val="1"/>
    <w:qFormat/>
    <w:uiPriority w:val="0"/>
  </w:style>
  <w:style w:type="paragraph" w:customStyle="1" w:styleId="28">
    <w:name w:val="无间隔1"/>
    <w:qFormat/>
    <w:uiPriority w:val="0"/>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paragraph" w:customStyle="1" w:styleId="29">
    <w:name w:val="0"/>
    <w:basedOn w:val="1"/>
    <w:next w:val="1"/>
    <w:qFormat/>
    <w:uiPriority w:val="99"/>
    <w:pPr>
      <w:ind w:firstLine="480"/>
    </w:pPr>
    <w:rPr>
      <w:rFonts w:ascii="Times New Roman" w:hAnsi="Times New Roman" w:eastAsia="宋体" w:cs="Times New Roman"/>
    </w:rPr>
  </w:style>
  <w:style w:type="character" w:customStyle="1" w:styleId="30">
    <w:name w:val="标题 1 字符"/>
    <w:link w:val="2"/>
    <w:qFormat/>
    <w:uiPriority w:val="0"/>
    <w:rPr>
      <w:b/>
      <w:kern w:val="44"/>
      <w:sz w:val="32"/>
      <w:szCs w:val="44"/>
    </w:rPr>
  </w:style>
  <w:style w:type="paragraph" w:customStyle="1" w:styleId="31">
    <w:name w:val="列出段落1"/>
    <w:basedOn w:val="1"/>
    <w:link w:val="32"/>
    <w:qFormat/>
    <w:uiPriority w:val="0"/>
    <w:pPr>
      <w:ind w:firstLine="420"/>
    </w:pPr>
  </w:style>
  <w:style w:type="character" w:customStyle="1" w:styleId="32">
    <w:name w:val="列出段落 Char"/>
    <w:link w:val="31"/>
    <w:qFormat/>
    <w:uiPriority w:val="0"/>
  </w:style>
  <w:style w:type="paragraph" w:customStyle="1" w:styleId="33">
    <w:name w:val="TOC 标题1"/>
    <w:basedOn w:val="2"/>
    <w:next w:val="1"/>
    <w:qFormat/>
    <w:uiPriority w:val="0"/>
    <w:pPr>
      <w:spacing w:before="480" w:line="276" w:lineRule="auto"/>
      <w:outlineLvl w:val="9"/>
    </w:pPr>
    <w:rPr>
      <w:rFonts w:ascii="Cambria" w:hAnsi="Cambria"/>
      <w:color w:val="365F91"/>
      <w:kern w:val="0"/>
      <w:sz w:val="28"/>
      <w:szCs w:val="28"/>
    </w:rPr>
  </w:style>
  <w:style w:type="character" w:customStyle="1" w:styleId="34">
    <w:name w:val="批注框文本 字符"/>
    <w:link w:val="14"/>
    <w:qFormat/>
    <w:uiPriority w:val="0"/>
    <w:rPr>
      <w:sz w:val="18"/>
      <w:szCs w:val="18"/>
    </w:rPr>
  </w:style>
  <w:style w:type="character" w:customStyle="1" w:styleId="35">
    <w:name w:val="标题 2 字符"/>
    <w:link w:val="3"/>
    <w:qFormat/>
    <w:uiPriority w:val="0"/>
    <w:rPr>
      <w:rFonts w:hint="default" w:ascii="Cambria" w:hAnsi="Cambria" w:eastAsia="宋体" w:cs="Times New Roman"/>
      <w:b/>
      <w:sz w:val="24"/>
      <w:szCs w:val="32"/>
    </w:rPr>
  </w:style>
  <w:style w:type="character" w:customStyle="1" w:styleId="36">
    <w:name w:val="标题 3 字符"/>
    <w:link w:val="4"/>
    <w:qFormat/>
    <w:uiPriority w:val="0"/>
    <w:rPr>
      <w:b/>
      <w:sz w:val="28"/>
      <w:szCs w:val="32"/>
    </w:rPr>
  </w:style>
  <w:style w:type="character" w:customStyle="1" w:styleId="37">
    <w:name w:val="页眉 字符"/>
    <w:link w:val="16"/>
    <w:qFormat/>
    <w:uiPriority w:val="0"/>
    <w:rPr>
      <w:sz w:val="18"/>
      <w:szCs w:val="18"/>
    </w:rPr>
  </w:style>
  <w:style w:type="character" w:customStyle="1" w:styleId="38">
    <w:name w:val="页脚 字符"/>
    <w:link w:val="15"/>
    <w:qFormat/>
    <w:uiPriority w:val="0"/>
    <w:rPr>
      <w:sz w:val="18"/>
      <w:szCs w:val="18"/>
    </w:rPr>
  </w:style>
  <w:style w:type="character" w:customStyle="1" w:styleId="39">
    <w:name w:val="批注文字 字符"/>
    <w:basedOn w:val="24"/>
    <w:link w:val="8"/>
    <w:qFormat/>
    <w:uiPriority w:val="0"/>
  </w:style>
  <w:style w:type="character" w:customStyle="1" w:styleId="40">
    <w:name w:val="批注主题 字符"/>
    <w:link w:val="20"/>
    <w:qFormat/>
    <w:uiPriority w:val="0"/>
    <w:rPr>
      <w:b/>
    </w:rPr>
  </w:style>
  <w:style w:type="paragraph" w:customStyle="1" w:styleId="41">
    <w:name w:val="*正文"/>
    <w:basedOn w:val="7"/>
    <w:qFormat/>
    <w:uiPriority w:val="0"/>
    <w:pPr>
      <w:ind w:firstLine="560"/>
    </w:pPr>
    <w:rPr>
      <w:rFonts w:ascii="宋体" w:hAnsi="宋体"/>
      <w:color w:val="000000"/>
      <w:kern w:val="0"/>
      <w:sz w:val="28"/>
      <w:szCs w:val="24"/>
    </w:rPr>
  </w:style>
  <w:style w:type="paragraph" w:customStyle="1" w:styleId="42">
    <w:name w:val="列出段落2"/>
    <w:basedOn w:val="1"/>
    <w:qFormat/>
    <w:uiPriority w:val="0"/>
    <w:pPr>
      <w:ind w:firstLine="420"/>
    </w:pPr>
  </w:style>
  <w:style w:type="paragraph" w:customStyle="1" w:styleId="43">
    <w:name w:val="正文 New New New New"/>
    <w:qFormat/>
    <w:uiPriority w:val="0"/>
    <w:pPr>
      <w:widowControl w:val="0"/>
      <w:spacing w:line="360" w:lineRule="auto"/>
      <w:ind w:firstLine="200" w:firstLineChars="200"/>
      <w:jc w:val="both"/>
    </w:pPr>
    <w:rPr>
      <w:rFonts w:ascii="Times New Roman" w:hAnsi="Times New Roman" w:eastAsia="等线" w:cs="宋体"/>
      <w:szCs w:val="24"/>
      <w:lang w:val="en-US" w:eastAsia="zh-CN" w:bidi="ar-SA"/>
    </w:rPr>
  </w:style>
  <w:style w:type="paragraph" w:customStyle="1" w:styleId="44">
    <w:name w:val="列表段落2"/>
    <w:basedOn w:val="1"/>
    <w:qFormat/>
    <w:uiPriority w:val="0"/>
    <w:pPr>
      <w:ind w:firstLine="420"/>
    </w:pPr>
  </w:style>
  <w:style w:type="paragraph" w:customStyle="1" w:styleId="45">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列表段落1"/>
    <w:basedOn w:val="1"/>
    <w:qFormat/>
    <w:uiPriority w:val="0"/>
    <w:pPr>
      <w:ind w:firstLine="420"/>
    </w:pPr>
  </w:style>
  <w:style w:type="paragraph" w:styleId="47">
    <w:name w:val="List Paragraph"/>
    <w:basedOn w:val="1"/>
    <w:unhideWhenUsed/>
    <w:qFormat/>
    <w:uiPriority w:val="99"/>
    <w:pPr>
      <w:ind w:firstLine="420"/>
    </w:pPr>
  </w:style>
  <w:style w:type="character" w:customStyle="1" w:styleId="48">
    <w:name w:val="font51"/>
    <w:basedOn w:val="24"/>
    <w:qFormat/>
    <w:uiPriority w:val="0"/>
    <w:rPr>
      <w:rFonts w:hint="eastAsia" w:ascii="微软雅黑" w:hAnsi="微软雅黑" w:eastAsia="微软雅黑" w:cs="微软雅黑"/>
      <w:color w:val="000000"/>
      <w:sz w:val="20"/>
      <w:szCs w:val="20"/>
      <w:u w:val="none"/>
    </w:rPr>
  </w:style>
  <w:style w:type="character" w:customStyle="1" w:styleId="49">
    <w:name w:val="font61"/>
    <w:basedOn w:val="24"/>
    <w:qFormat/>
    <w:uiPriority w:val="0"/>
    <w:rPr>
      <w:rFonts w:hint="eastAsia" w:ascii="微软雅黑" w:hAnsi="微软雅黑" w:eastAsia="微软雅黑" w:cs="微软雅黑"/>
      <w:color w:val="FF0000"/>
      <w:sz w:val="20"/>
      <w:szCs w:val="20"/>
      <w:u w:val="none"/>
    </w:rPr>
  </w:style>
  <w:style w:type="character" w:customStyle="1" w:styleId="50">
    <w:name w:val="font01"/>
    <w:basedOn w:val="24"/>
    <w:qFormat/>
    <w:uiPriority w:val="0"/>
    <w:rPr>
      <w:rFonts w:hint="eastAsia" w:ascii="微软雅黑" w:hAnsi="微软雅黑" w:eastAsia="微软雅黑" w:cs="微软雅黑"/>
      <w:color w:val="000000"/>
      <w:sz w:val="20"/>
      <w:szCs w:val="20"/>
      <w:u w:val="none"/>
    </w:rPr>
  </w:style>
  <w:style w:type="character" w:customStyle="1" w:styleId="51">
    <w:name w:val="font11"/>
    <w:basedOn w:val="24"/>
    <w:qFormat/>
    <w:uiPriority w:val="0"/>
    <w:rPr>
      <w:rFonts w:hint="eastAsia" w:ascii="宋体" w:hAnsi="宋体" w:eastAsia="宋体" w:cs="宋体"/>
      <w:color w:val="000000"/>
      <w:sz w:val="18"/>
      <w:szCs w:val="18"/>
      <w:u w:val="none"/>
    </w:rPr>
  </w:style>
  <w:style w:type="paragraph" w:customStyle="1" w:styleId="52">
    <w:name w:val="!我的正文 Ctr+Q"/>
    <w:basedOn w:val="1"/>
    <w:qFormat/>
    <w:uiPriority w:val="0"/>
    <w:pPr>
      <w:widowControl/>
      <w:adjustRightInd w:val="0"/>
      <w:snapToGrid w:val="0"/>
      <w:ind w:firstLine="480" w:firstLineChars="200"/>
      <w:jc w:val="left"/>
    </w:pPr>
    <w:rPr>
      <w:rFonts w:ascii="Arial" w:hAnsi="Arial" w:cs="宋体"/>
      <w:kern w:val="0"/>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4689</Words>
  <Characters>4943</Characters>
  <Lines>167</Lines>
  <Paragraphs>47</Paragraphs>
  <TotalTime>10</TotalTime>
  <ScaleCrop>false</ScaleCrop>
  <LinksUpToDate>false</LinksUpToDate>
  <CharactersWithSpaces>6307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2021-05-17T18:29:00Z</dcterms:created>
  <dc:creator>leoht</dc:creator>
  <cp:lastModifiedBy>dell</cp:lastModifiedBy>
  <cp:lastPrinted>2025-04-15T02:58:00Z</cp:lastPrinted>
  <dcterms:modified xsi:type="dcterms:W3CDTF">2025-04-16T01:05:08Z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122775C3B4D54F21A2465EB6F6667DE8_13</vt:lpwstr>
  </property>
  <property fmtid="{D5CDD505-2E9C-101B-9397-08002B2CF9AE}" pid="4" name="KSOTemplateDocerSaveRecord">
    <vt:lpwstr>eyJoZGlkIjoiNjU5MGY0ODI0NDRjM2Y4ZDhlYjVmNDMxMTE2ODYwYjEifQ==</vt:lpwstr>
  </property>
</Properties>
</file>