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240" w:lineRule="atLeast"/>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武汉市东西湖区政府采购</w:t>
      </w: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spacing w:after="312" w:afterLines="100" w:line="240" w:lineRule="atLeast"/>
        <w:jc w:val="center"/>
        <w:rPr>
          <w:rFonts w:hint="eastAsia" w:ascii="宋体" w:hAnsi="宋体" w:eastAsia="宋体" w:cs="宋体"/>
          <w:b/>
          <w:color w:val="auto"/>
          <w:sz w:val="72"/>
          <w:szCs w:val="72"/>
        </w:rPr>
      </w:pPr>
      <w:r>
        <w:rPr>
          <w:rFonts w:hint="eastAsia" w:ascii="宋体" w:hAnsi="宋体" w:eastAsia="宋体" w:cs="宋体"/>
          <w:b/>
          <w:color w:val="auto"/>
          <w:sz w:val="96"/>
          <w:szCs w:val="96"/>
          <w:lang w:val="en-US" w:eastAsia="zh-CN"/>
        </w:rPr>
        <w:t>采购需求</w:t>
      </w:r>
      <w:r>
        <w:rPr>
          <w:rFonts w:hint="eastAsia" w:ascii="宋体" w:hAnsi="宋体" w:eastAsia="宋体" w:cs="宋体"/>
          <w:b/>
          <w:color w:val="auto"/>
          <w:sz w:val="96"/>
          <w:szCs w:val="96"/>
        </w:rPr>
        <w:t>文件</w:t>
      </w:r>
    </w:p>
    <w:p>
      <w:pPr>
        <w:spacing w:line="360" w:lineRule="auto"/>
        <w:jc w:val="center"/>
        <w:rPr>
          <w:rFonts w:ascii="黑体" w:hAnsi="黑体" w:eastAsia="黑体"/>
          <w:b/>
          <w:bCs/>
          <w:color w:val="auto"/>
          <w:sz w:val="36"/>
          <w:szCs w:val="24"/>
        </w:rPr>
      </w:pPr>
    </w:p>
    <w:p>
      <w:pPr>
        <w:pStyle w:val="2"/>
        <w:rPr>
          <w:rFonts w:ascii="黑体" w:hAnsi="黑体" w:eastAsia="黑体"/>
          <w:b/>
          <w:bCs/>
          <w:color w:val="auto"/>
          <w:sz w:val="36"/>
          <w:szCs w:val="24"/>
        </w:rPr>
      </w:pPr>
    </w:p>
    <w:p>
      <w:pPr>
        <w:ind w:right="735" w:rightChars="350" w:firstLine="1084" w:firstLineChars="300"/>
        <w:rPr>
          <w:rFonts w:hint="default" w:ascii="宋体" w:hAnsi="宋体" w:eastAsia="宋体" w:cs="宋体"/>
          <w:b/>
          <w:sz w:val="36"/>
          <w:szCs w:val="36"/>
          <w:lang w:val="en-US" w:eastAsia="zh-CN"/>
        </w:rPr>
      </w:pPr>
      <w:r>
        <w:rPr>
          <w:rFonts w:hint="eastAsia" w:ascii="宋体" w:hAnsi="宋体" w:eastAsia="宋体" w:cs="宋体"/>
          <w:b/>
          <w:sz w:val="36"/>
          <w:szCs w:val="36"/>
        </w:rPr>
        <w:t>计划</w:t>
      </w:r>
      <w:r>
        <w:rPr>
          <w:rFonts w:hint="eastAsia" w:ascii="宋体" w:hAnsi="宋体" w:eastAsia="宋体" w:cs="宋体"/>
          <w:b/>
          <w:sz w:val="36"/>
          <w:szCs w:val="36"/>
          <w:lang w:val="en-US" w:eastAsia="zh-CN"/>
        </w:rPr>
        <w:t>函</w:t>
      </w:r>
      <w:r>
        <w:rPr>
          <w:rFonts w:hint="eastAsia" w:ascii="宋体" w:hAnsi="宋体" w:eastAsia="宋体" w:cs="宋体"/>
          <w:b/>
          <w:sz w:val="36"/>
          <w:szCs w:val="36"/>
        </w:rPr>
        <w:t xml:space="preserve">号：J23063847-3731 </w:t>
      </w:r>
    </w:p>
    <w:p>
      <w:pPr>
        <w:spacing w:line="360" w:lineRule="auto"/>
        <w:ind w:left="2884" w:leftChars="513" w:right="1306" w:rightChars="622" w:hanging="1807" w:hangingChars="500"/>
        <w:jc w:val="left"/>
        <w:rPr>
          <w:rFonts w:hint="eastAsia" w:ascii="宋体" w:hAnsi="宋体" w:cs="宋体"/>
          <w:b/>
          <w:bCs/>
          <w:color w:val="auto"/>
          <w:sz w:val="36"/>
          <w:szCs w:val="36"/>
          <w:lang w:val="en-US" w:eastAsia="zh-CN"/>
        </w:rPr>
      </w:pPr>
      <w:r>
        <w:rPr>
          <w:rFonts w:hint="eastAsia" w:ascii="宋体" w:hAnsi="宋体" w:eastAsia="宋体" w:cs="宋体"/>
          <w:b/>
          <w:bCs/>
          <w:color w:val="auto"/>
          <w:sz w:val="36"/>
          <w:szCs w:val="36"/>
        </w:rPr>
        <w:t>项目名称：</w:t>
      </w:r>
      <w:r>
        <w:rPr>
          <w:rFonts w:hint="eastAsia" w:ascii="宋体" w:hAnsi="宋体" w:eastAsia="宋体" w:cs="宋体"/>
          <w:b/>
          <w:bCs/>
          <w:color w:val="auto"/>
          <w:sz w:val="36"/>
          <w:szCs w:val="36"/>
          <w:lang w:val="en-US" w:eastAsia="zh-CN"/>
        </w:rPr>
        <w:t>武汉市</w:t>
      </w:r>
      <w:r>
        <w:rPr>
          <w:rFonts w:hint="eastAsia" w:ascii="宋体" w:hAnsi="宋体" w:cs="宋体"/>
          <w:b/>
          <w:bCs/>
          <w:color w:val="auto"/>
          <w:sz w:val="36"/>
          <w:szCs w:val="36"/>
          <w:lang w:val="en-US" w:eastAsia="zh-CN"/>
        </w:rPr>
        <w:t>东西湖实验小学智慧校园建设项目</w:t>
      </w:r>
    </w:p>
    <w:p>
      <w:pPr>
        <w:spacing w:line="360" w:lineRule="auto"/>
        <w:ind w:left="2884" w:leftChars="513" w:right="1306" w:rightChars="622" w:hanging="1807" w:hangingChars="500"/>
        <w:jc w:val="left"/>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招标内容：</w:t>
      </w:r>
      <w:r>
        <w:rPr>
          <w:rFonts w:hint="eastAsia" w:ascii="宋体" w:hAnsi="宋体" w:cs="宋体"/>
          <w:b/>
          <w:bCs/>
          <w:color w:val="auto"/>
          <w:sz w:val="36"/>
          <w:szCs w:val="36"/>
          <w:lang w:val="en-US" w:eastAsia="zh-CN"/>
        </w:rPr>
        <w:t>智慧校园建设</w:t>
      </w:r>
    </w:p>
    <w:p>
      <w:pPr>
        <w:rPr>
          <w:rFonts w:hint="eastAsia" w:ascii="宋体" w:hAnsi="宋体" w:eastAsia="宋体" w:cs="宋体"/>
          <w:b/>
          <w:bCs/>
          <w:sz w:val="36"/>
          <w:szCs w:val="36"/>
          <w:lang w:val="en-US" w:eastAsia="zh-CN"/>
        </w:rPr>
      </w:pPr>
    </w:p>
    <w:p>
      <w:pPr>
        <w:pStyle w:val="2"/>
        <w:rPr>
          <w:rFonts w:hint="eastAsia" w:ascii="宋体" w:hAnsi="宋体" w:eastAsia="宋体" w:cs="宋体"/>
          <w:b/>
          <w:bCs/>
          <w:sz w:val="36"/>
          <w:szCs w:val="36"/>
          <w:lang w:val="en-US" w:eastAsia="zh-CN"/>
        </w:rPr>
      </w:pPr>
    </w:p>
    <w:p>
      <w:pPr>
        <w:rPr>
          <w:rFonts w:hint="eastAsia"/>
          <w:lang w:val="en-US" w:eastAsia="zh-CN"/>
        </w:rPr>
      </w:pPr>
    </w:p>
    <w:p>
      <w:pPr>
        <w:pStyle w:val="2"/>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采购人名称：武汉市</w:t>
      </w:r>
      <w:r>
        <w:rPr>
          <w:rFonts w:hint="eastAsia" w:ascii="宋体" w:hAnsi="宋体" w:cs="宋体"/>
          <w:b/>
          <w:bCs/>
          <w:color w:val="auto"/>
          <w:sz w:val="36"/>
          <w:szCs w:val="36"/>
          <w:lang w:val="en-US" w:eastAsia="zh-CN"/>
        </w:rPr>
        <w:t>东西湖实验小学</w:t>
      </w:r>
    </w:p>
    <w:p>
      <w:pPr>
        <w:rPr>
          <w:rFonts w:hint="eastAsia"/>
          <w:lang w:val="en-US" w:eastAsia="zh-CN"/>
        </w:rPr>
      </w:pPr>
    </w:p>
    <w:p>
      <w:pPr>
        <w:tabs>
          <w:tab w:val="left" w:pos="7939"/>
        </w:tabs>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二○二</w:t>
      </w:r>
      <w:r>
        <w:rPr>
          <w:rFonts w:hint="eastAsia" w:ascii="宋体" w:hAnsi="宋体" w:eastAsia="宋体" w:cs="宋体"/>
          <w:b/>
          <w:sz w:val="36"/>
          <w:szCs w:val="36"/>
          <w:lang w:eastAsia="zh-CN"/>
        </w:rPr>
        <w:t>三</w:t>
      </w:r>
      <w:r>
        <w:rPr>
          <w:rFonts w:hint="eastAsia" w:ascii="宋体" w:hAnsi="宋体" w:eastAsia="宋体" w:cs="宋体"/>
          <w:b/>
          <w:sz w:val="36"/>
          <w:szCs w:val="36"/>
        </w:rPr>
        <w:t>年</w:t>
      </w:r>
    </w:p>
    <w:p>
      <w:pPr>
        <w:rPr>
          <w:rFonts w:hint="eastAsia" w:ascii="宋体" w:hAnsi="宋体" w:eastAsia="宋体" w:cs="宋体"/>
          <w:b/>
          <w:sz w:val="36"/>
          <w:szCs w:val="36"/>
        </w:rPr>
      </w:pPr>
    </w:p>
    <w:p>
      <w:pPr>
        <w:ind w:firstLine="723"/>
        <w:jc w:val="center"/>
        <w:rPr>
          <w:rFonts w:ascii="黑体" w:hAnsi="黑体" w:eastAsia="黑体"/>
          <w:b/>
          <w:color w:val="auto"/>
          <w:sz w:val="36"/>
          <w:szCs w:val="36"/>
          <w:highlight w:val="none"/>
        </w:rPr>
      </w:pPr>
      <w:r>
        <w:rPr>
          <w:rFonts w:hint="eastAsia" w:ascii="黑体" w:hAnsi="黑体" w:eastAsia="黑体"/>
          <w:b/>
          <w:color w:val="auto"/>
          <w:sz w:val="36"/>
          <w:szCs w:val="36"/>
          <w:highlight w:val="none"/>
        </w:rPr>
        <w:t>采购需求</w:t>
      </w:r>
    </w:p>
    <w:p>
      <w:pPr>
        <w:pStyle w:val="3"/>
        <w:ind w:firstLine="643"/>
        <w:jc w:val="center"/>
        <w:rPr>
          <w:color w:val="auto"/>
          <w:highlight w:val="none"/>
        </w:rPr>
      </w:pPr>
      <w:bookmarkStart w:id="0" w:name="_Toc10919"/>
      <w:bookmarkStart w:id="1" w:name="_Toc1458930"/>
      <w:r>
        <w:rPr>
          <w:rFonts w:hint="eastAsia"/>
          <w:color w:val="auto"/>
          <w:highlight w:val="none"/>
        </w:rPr>
        <w:t>第一部分  供应商资格要求</w:t>
      </w:r>
      <w:bookmarkEnd w:id="0"/>
      <w:bookmarkEnd w:id="1"/>
    </w:p>
    <w:p>
      <w:pPr>
        <w:pStyle w:val="30"/>
        <w:ind w:left="0" w:leftChars="0" w:firstLine="0" w:firstLineChars="0"/>
        <w:rPr>
          <w:rFonts w:ascii="宋体" w:hAnsi="宋体"/>
          <w:color w:val="auto"/>
          <w:sz w:val="24"/>
          <w:szCs w:val="24"/>
          <w:highlight w:val="none"/>
        </w:rPr>
      </w:pPr>
      <w:r>
        <w:rPr>
          <w:rFonts w:hint="eastAsia" w:ascii="宋体" w:hAnsi="宋体"/>
          <w:color w:val="auto"/>
          <w:sz w:val="24"/>
          <w:szCs w:val="24"/>
          <w:highlight w:val="none"/>
        </w:rPr>
        <w:t>（一）基本资格要求：</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bookmarkStart w:id="2" w:name="_Toc1458932"/>
      <w:r>
        <w:rPr>
          <w:rFonts w:hint="eastAsia" w:ascii="宋体" w:hAnsi="宋体" w:eastAsia="宋体" w:cs="宋体"/>
          <w:color w:val="auto"/>
          <w:kern w:val="2"/>
          <w:sz w:val="24"/>
          <w:szCs w:val="24"/>
          <w:highlight w:val="none"/>
          <w:lang w:val="en-US" w:eastAsia="zh-CN" w:bidi="ar-SA"/>
        </w:rPr>
        <w:t>1、满足《中华人民共和国政府采购法》第二十二条规定，即：</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（1）具有独立承担民事责任的能力；</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（2）具有良好的商业信誉和健全的财务会计制度；</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（3）具有履行合同所必需的设备和专业技术能力；</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（4）有依法缴纳税收和社会保障资金的良好记录；</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（5）参加政府采购活动前三年内，在经营活动中没有重大违法记录；</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（6）法律、行政法规规定的其他条件。</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2、单位负责人为同一人或者存在直接控股、管理关系的不同投标人，不得参加本项目同一合同项下的政府采购活动。</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3、为本采购项目提供整体设计、规范编制或者项目管理、监理、检测等服务的，不得再参加本项目的其他招标采购活动。</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4、未被列入失信被执行人、重大税收违法失信主体，未被列入政府采购严重违法失信行为记录名单。</w:t>
      </w:r>
    </w:p>
    <w:p>
      <w:pPr>
        <w:spacing w:line="480" w:lineRule="exact"/>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5、落实政府采购政策需满足的资格要求：</w:t>
      </w:r>
    </w:p>
    <w:p>
      <w:pPr>
        <w:spacing w:line="480" w:lineRule="exact"/>
        <w:ind w:firstLine="360" w:firstLineChars="150"/>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本项目专门面向中小企业，供应商应提供中小企业声明函，大型企业及未提供中小企业声明函的企业不享受中小企业扶持政策，其响应文件将作无效响应处理。监狱企业及残疾人福利性单位视同小型、微型企业。</w:t>
      </w:r>
    </w:p>
    <w:p>
      <w:pPr>
        <w:spacing w:line="48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特定资格要求：</w:t>
      </w:r>
    </w:p>
    <w:p>
      <w:pPr>
        <w:ind w:firstLine="210" w:firstLineChars="100"/>
        <w:rPr>
          <w:rFonts w:hint="default" w:eastAsia="宋体"/>
          <w:color w:val="auto"/>
          <w:highlight w:val="none"/>
          <w:lang w:val="en-US" w:eastAsia="zh-CN"/>
        </w:rPr>
      </w:pPr>
      <w:r>
        <w:rPr>
          <w:rFonts w:hint="eastAsia"/>
          <w:color w:val="auto"/>
          <w:highlight w:val="none"/>
          <w:lang w:val="en-US" w:eastAsia="zh-CN"/>
        </w:rPr>
        <w:t xml:space="preserve">  无</w:t>
      </w:r>
    </w:p>
    <w:bookmarkEnd w:id="2"/>
    <w:p>
      <w:pPr>
        <w:ind w:firstLine="0" w:firstLineChars="0"/>
        <w:jc w:val="center"/>
        <w:rPr>
          <w:rFonts w:hint="eastAsia" w:ascii="Calibri" w:hAnsi="Calibri" w:eastAsia="宋体" w:cs="Times New Roman"/>
          <w:b/>
          <w:color w:val="auto"/>
          <w:kern w:val="44"/>
          <w:sz w:val="32"/>
          <w:szCs w:val="44"/>
          <w:highlight w:val="none"/>
          <w:lang w:val="en-US" w:eastAsia="zh-CN" w:bidi="ar-SA"/>
        </w:rPr>
      </w:pPr>
      <w:bookmarkStart w:id="3" w:name="_Toc9386"/>
      <w:bookmarkStart w:id="4" w:name="_Toc1458931"/>
    </w:p>
    <w:p>
      <w:pPr>
        <w:rPr>
          <w:rFonts w:hint="eastAsia" w:ascii="Calibri" w:hAnsi="Calibri" w:eastAsia="宋体" w:cs="Times New Roman"/>
          <w:b/>
          <w:color w:val="auto"/>
          <w:kern w:val="44"/>
          <w:sz w:val="32"/>
          <w:szCs w:val="44"/>
          <w:highlight w:val="none"/>
          <w:lang w:val="en-US" w:eastAsia="zh-CN" w:bidi="ar-SA"/>
        </w:rPr>
      </w:pPr>
      <w:r>
        <w:rPr>
          <w:rFonts w:hint="eastAsia" w:ascii="Calibri" w:hAnsi="Calibri" w:eastAsia="宋体" w:cs="Times New Roman"/>
          <w:b/>
          <w:color w:val="auto"/>
          <w:kern w:val="44"/>
          <w:sz w:val="32"/>
          <w:szCs w:val="44"/>
          <w:highlight w:val="none"/>
          <w:lang w:val="en-US" w:eastAsia="zh-CN" w:bidi="ar-SA"/>
        </w:rPr>
        <w:br w:type="page"/>
      </w:r>
    </w:p>
    <w:p>
      <w:pPr>
        <w:ind w:firstLine="0" w:firstLineChars="0"/>
        <w:jc w:val="center"/>
        <w:rPr>
          <w:color w:val="auto"/>
          <w:sz w:val="24"/>
          <w:szCs w:val="24"/>
          <w:highlight w:val="none"/>
        </w:rPr>
      </w:pPr>
      <w:r>
        <w:rPr>
          <w:rFonts w:hint="eastAsia" w:ascii="Calibri" w:hAnsi="Calibri" w:eastAsia="宋体" w:cs="Times New Roman"/>
          <w:b/>
          <w:color w:val="auto"/>
          <w:kern w:val="44"/>
          <w:sz w:val="32"/>
          <w:szCs w:val="44"/>
          <w:highlight w:val="none"/>
          <w:lang w:val="en-US" w:eastAsia="zh-CN" w:bidi="ar-SA"/>
        </w:rPr>
        <w:t xml:space="preserve">第二部分  </w:t>
      </w:r>
      <w:bookmarkStart w:id="5" w:name="_Toc1421483"/>
      <w:bookmarkStart w:id="6" w:name="_Toc509997285"/>
      <w:r>
        <w:rPr>
          <w:rFonts w:hint="eastAsia" w:ascii="Calibri" w:hAnsi="Calibri" w:eastAsia="宋体" w:cs="Times New Roman"/>
          <w:b/>
          <w:color w:val="auto"/>
          <w:kern w:val="44"/>
          <w:sz w:val="32"/>
          <w:szCs w:val="44"/>
          <w:highlight w:val="none"/>
          <w:lang w:val="en-US" w:eastAsia="zh-CN" w:bidi="ar-SA"/>
        </w:rPr>
        <w:t>技术、服务及商务要求</w:t>
      </w:r>
      <w:bookmarkEnd w:id="3"/>
      <w:bookmarkEnd w:id="4"/>
      <w:bookmarkEnd w:id="5"/>
      <w:bookmarkEnd w:id="6"/>
    </w:p>
    <w:tbl>
      <w:tblPr>
        <w:tblStyle w:val="21"/>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709"/>
        <w:gridCol w:w="438"/>
        <w:gridCol w:w="7099"/>
        <w:gridCol w:w="344"/>
        <w:gridCol w:w="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7" w:name="_Toc1458937"/>
            <w:bookmarkStart w:id="8" w:name="_Toc18535"/>
            <w:r>
              <w:rPr>
                <w:rFonts w:hint="eastAsia" w:ascii="宋体" w:hAnsi="宋体" w:eastAsia="宋体" w:cs="宋体"/>
                <w:b/>
                <w:bCs/>
                <w:i w:val="0"/>
                <w:iCs w:val="0"/>
                <w:color w:val="000000"/>
                <w:kern w:val="0"/>
                <w:sz w:val="21"/>
                <w:szCs w:val="21"/>
                <w:u w:val="none"/>
                <w:lang w:val="en-US" w:eastAsia="zh-CN" w:bidi="ar"/>
              </w:rPr>
              <w:t>序号</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建设项目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混合式教学系统</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校园数字底座</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（一） 服务集成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须支持API托管服务，涵盖API发布、管理、运维的全生命周期管理，辅助合作伙伴、开发者简单、快速、低成本、低风险的实现微服务聚合、前后端分离、系统集成，将数据和后端服务以API形式开放，简化分享数据或提供服务的过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2.须支持API分组，API开发者以API分组为单位，管理分组内的所有API。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3.须支持开发者把API接口配置在网关中，开放后端能力。创建API主要分为四个步骤：设置基本信息、定义API请求、定义后端服务和定义返回结果。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4.须支持创建的应用绑定API后，才可以使用APP认证调用API。在API调用过程中，把密钥对替换SDK中的密钥对，API网关服务根据密钥对进行身份核对，完成鉴权。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5.须支持API分析，提供实时、可视化的API监控，包括：调用量、调用方式、响应时间、超时率。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 数据集成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须支持将数据从一个环境集成到另一个环境，支持多种数据源（文本、消息、API、关系型数据和非关系型数据等）之间的灵活、快速、无侵入式的数据集成，可以实现跨机房、跨数据中心、跨云的数据集成方案，并能自助实施、运维、监控集成数据。【提供相关功能截图证明材料并加盖投标人公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2.须支持对数据目标源进行统一管理，包括目标源的类型、名称、IP地址、端口、编码格式等管理。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3.须支持对数据源头进行统一管理，包括采集源名称、所属实例、数据库类型、采集源URL等信息管理。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须支持数据库采集与服务采集。数据库采集是通过配置数据库规则进行数据采集，包括基础信息配置与数据配置两部分；服务采集是通过配置接口服务的方式实现数据采集，包括基础信息配置、数据定义配置、数据入库配置三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 开放能力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提供统一的智慧校园基础数据服务能力，支持通过接口及数据交换的方式将学校的组织部门、班级关系、师生用户、角色权限、课程信息、空间场所等信息开放给第三方应用，第三方应用得到授权后即可将智慧校园平台的基础信息同步到应用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提供统一的身份认证服务能力，包括统一的登录接口、会话接口和注销接口；对用户实现统一登录入口和登录日志管理，在平台登录的用户在平台与各业务系统间不需要多次登录，进而实现对所有被授权的网络资源进行无缝访问；支持多个业务系统通过会话接口保持当前用户的登录会话，实现单个业务系统注销时，所有业务系统会话失效，保障用户在平台上的信息安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提供统一的消息推送服务能力，支持多种消息渠道，包括Web端渠道、手机App端渠道；支持为第三方应用提供标准的消息接口，任何第三方应用都可以通过消息接口向消息中心发送请求，实现消息的统一管理；第三方应用与消息中心整合需要实现统一的消息推送和消息查询，应用程序内部可以有自己的消息机制，应用产生的所有用户消息都要通过统一格式化的消息模板和安全规范的消息格式推送到消息中心，消息中心统一将消息推送给个人用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统一的应用接入服务能力，支持学校自主接入第三方应用，可自主设置应用图标、地址、分类、适用对象等信息，为教师、学生、家长、管理者提供一站式智能单点登录、服务集成呈现、信息发布、信息展示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5.提供一卡通集成接入能力，包括人脸库及一卡通的查询，考勤数据上报等接口服务。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6.提供课程表对接服务能力，包括支持第三方排课系统将排课结果发布至统一课程表及教师课表、学生课表、教室课表查询服务能力。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7.支持学生评价对接服务能力，包括支持第三方应用查询学校评价指标体系、评价指标授予、评价记录查询等服务能力。</w:t>
            </w:r>
          </w:p>
        </w:tc>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校园大数据仓</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1、统一身份认证门户定制：为学校设计统一登录页面及APP启动页面，提供专属二级域名；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2、指导、协助学校进行校园数据规划，按照统一应用接入标准将各类第三方信息化系统接入校园数字底座，接入范围包括不限于认证统一、基础数据统一、业务系统打通等；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3、数据应用开发服务：利用校园中台融合能力采集第三方应用系统数据，并做数据治理及可视化呈现。</w:t>
            </w:r>
          </w:p>
        </w:tc>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数据大屏定制服务</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建立汇聚和存放学校各类应用系统数据的数据空间，对校园基础数据、业务数据、行为数据等进行融合，对来自校园不同平台、不同系统、不同结构的异构数据进行集成整合和统一管理，形成校园大数据仓库。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通过制定全局统一的数据标准和资产目录体系，对数据深层次的清洗、融合、加工，建立不同维度、不同指标、主题多样的数据仓，如资源主题数据、应用主题数据、学习空间主题收据、教师发展领域数据、学生成长领域数据、管理决策领域数据等，有效形成校园数据资产，为开展大数据分析和挖掘提供数据支撑。</w:t>
            </w:r>
          </w:p>
        </w:tc>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AI教学边缘计算主机</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1、主机须采用嵌入式Linux一体化设计，机身高度≤1U；集视频采集、AI人脸识别、声纹识别、AI表情行为识别、姿态识别、智能分析等功能；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2、CPU频率最高1.8GHZ，GPU支持OpenGL ES1.1/2.0/3.0/3.1, OpenVG1.1, OpenCL, DX11，LPDDR4内存≥6GB ，eMMC闪存≥64GB；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3、视频处理：支持4K VP9 and 4K 10bits H265/H264 视频解码，最高支持60fps；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4、具有并发处理视频能力，可同时处理分析≥8路网络视频信号；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5、图像处理：支持1.4GPix/s的计算能力，每通道带宽2.5Gbps，满足AI训练、多路视频AI分析应用；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6、视频输出接口：HDMI≥1路，USB≥1路；千兆网络接口≥1路，按键开关≥1个；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7、视频编解码：支持≥8路1080P@30视频编解码；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8、视频输入分辨率：1920*1080@30；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9、音频接口：LINE-IN≥1路， LINE-OUT≥1路；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10、支持RTSP/HTTP/RTMP/HLS等流媒体协议；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11、视频支持H.264-BP/MP/HP编码方式，视频支持：480P/720P/1080p分辨率；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12、支持音频编码：AAC、PCM；</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AI教学评估软件</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1、系统内置人脸识别分析技术模块，支持对人脸进行智能识别；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2、系统内置声纹识别分析模块，通过声纹识别教学过程中教师和学生的声音；统计分析教师讲课总时长、学生发言总时长、思考状态总时长；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3、支持对图像采集数据中的表情、姿态（低头、趴桌子、站立等姿态）进行准确识别分析；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4、内置表情识别模块，支持采集老师和学生在教学过程中的表情；识别教师表情（包括：阳光、中性、严肃），记录教师在课堂上的表情变化趋势及各表情类型占比；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5、支持采用全方位多角度准确识别视频中的教师人脸，不受方向、人脸重叠影响；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6、支持多摄像机联动智能拍摄，当某个摄像机无法拍摄教师人脸时，系统自动调度其他位置摄像机进行拍摄，使得人脸识别更加精准，避免出现漏拍情况；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7、系统可对教学过程中学生的姿态进行实时识别，支持实时识别教学过程中的学生姿态（包括：学生举手、学生站立回答问题）；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8、支持对教师的课堂教学时间分配，定义课堂的教学方式（包括：讲授式、对话式、练习式）。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9、支持通过分析教师的课堂教学情感表情数据，对教师上课的亲和力进行定义；对教师的课堂教学情感进行总结与建议；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10、支持通过采集教师上课时行走路线数据；分析教师在教室不同区域的上课时间；对教师的上课行走路线进行总结与建议；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11、支持通过采集教师上课过程中的视线关注数据；分析教师上课过程中视线关注区域的时间；对教师上课过程中的视线关注进行总结与建议；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12、支持通过采集学生姿态数据；分析学生举手、回答问题情况；对学生课堂参与度进行总结与建议；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通过AI分析可以形成课堂分析报告（包括课堂教学时间分配、教师课堂教学情感分析、教师上课行走路线分析、教师上课实现追踪分析、学生课堂参与度分析），方便管理者对课堂安排的情况进行更好的决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14、支持录制功能，能将课表任务的课堂录制，并将录制视频实时传输到平台进行同步存储；</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智慧教学分析系统</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学业数据中心</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▲系统与</w:t>
            </w:r>
            <w:r>
              <w:rPr>
                <w:rFonts w:hint="eastAsia" w:ascii="宋体" w:hAnsi="宋体" w:cs="宋体"/>
                <w:i w:val="0"/>
                <w:iCs w:val="0"/>
                <w:color w:val="000000"/>
                <w:kern w:val="0"/>
                <w:sz w:val="21"/>
                <w:szCs w:val="21"/>
                <w:u w:val="none"/>
                <w:lang w:val="en-US" w:eastAsia="zh-CN" w:bidi="ar"/>
              </w:rPr>
              <w:t>武汉市</w:t>
            </w:r>
            <w:r>
              <w:rPr>
                <w:rFonts w:hint="eastAsia" w:ascii="宋体" w:hAnsi="宋体" w:eastAsia="宋体" w:cs="宋体"/>
                <w:i w:val="0"/>
                <w:iCs w:val="0"/>
                <w:color w:val="000000"/>
                <w:kern w:val="0"/>
                <w:sz w:val="21"/>
                <w:szCs w:val="21"/>
                <w:u w:val="none"/>
                <w:lang w:val="en-US" w:eastAsia="zh-CN" w:bidi="ar"/>
              </w:rPr>
              <w:t>教育公共服务平台实现统一身份认证，实现通过教育公共服务平台自动登录该系统；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 支持云端部署；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支持分权分域管理，即老师根据不同权限，登录同一系统，可组织的校内考试、教师个人组织的班级学科考试；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支持角色权限管理：支持校长、教务处长、年级主任、学科组长、班主任、学科老师等多角色的权限管理；</w:t>
            </w:r>
          </w:p>
        </w:tc>
        <w:tc>
          <w:tcPr>
            <w:tcW w:w="1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智能阅卷系统</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系统设置：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（1）支持云端制作扫描模板，云端识别，边扫边传边识别。题目参数设置、拼接调整、图像切割等功能同时支持在WEB端以及扫描客户端完成；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（2）支持远程验证登录及数字签名技术，以确保信息传递安全、可靠；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（3）系统采用B/S架构，采用WEB评卷界面，完全在网页下评卷，而且无需下载安装任何插件（如ActiveX或Applet等）。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（4）系统支持各种规模的多个科目、多个考试同步并行，并且不限定同时在线阅卷教师人数(仅受网络带宽、服务器硬件配置限制)；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（5）支持用户数据通过教育云进行无缝对接，数据共享，直接调用，无须重新导入导出；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（6）考试允许边扫描边评阅，使同一批次的答题卷扫描与评阅近乎同步进行；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（7）系统支持对服务器自动进行访问分流，便于充分利用网络线路和带宽。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考试管理：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（1）支持期中、期末、模拟考试、日常测验、周练、月考等考试类型；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（2）支持同一个考试下多个科目中的部分科目使用手阅、圈阅方式（纸笔有痕阅卷）、部分科目使用网阅方式的自由组合，并能够自动生成考试的总体学情分析报告；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（3）考生名单支持从历次考试、教育云导入；支持添加临时考生；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（4）支持考试管理员、学科负责人等角色对评阅状态（阅卷开始、阅卷结束、暂停阅卷）的控制；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（5）支持对阅卷的总体进度、各题进度、个人工作量及评卷质量的实时监控；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（6）支持对评卷教师的评卷质量管理，包括各题评阅的平均分、标准差、给分分布等图形化展示；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（7）支持学科负责人（或科目组长）等角色处理问题卷、处理仲裁卷；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（8）支持成绩抽样检查，并支持在线上修改提交，重新生成学情分析报告；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（9）支持多科考试中单科阅完卷后即发布该科成绩，也支持所有学科阅完后统一发布成绩；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（10）支持考后打标以及综合科拆分出多个科目并生成相应科目的分析报告。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阅卷设置：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（1）支持从题库中选卷组卷自动生成对应试卷结构的答题卡；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（2）支持不通过题库系统组卷，直接制作答题卡；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（3）支持从历次考试中导入答题卡；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（4）支持系统题卡自动创建扫描模板，无需人工创建；同时支持自动产生对应的客观题、主观题题型及题号，无需人工干预；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（5）支持阅卷小题赋分，便于学情分析的精准分析；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（6）支持外来第三方题卡直接扫描并制作成扫描模板，模板中的题目属性可同步至web端；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（7）支持阅卷老师按阅卷科目的自动一键分配；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（8）支持多选题的自定义得分及自定义答案组合，满足任意得分及答案组合规则；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（9）支持对任意科目、任意主观题目进行单评、双评设置。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（10）支持单评，双评，无仲裁双评，无仲裁三评以及按规则批量处理仲裁卷。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网阅评阅方式(先扫后阅):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（1）支持阅卷教师、学科负责人与考试管理员的角色定义与权限管理，可对不同的用户进行不同的授权；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（2）支持单选、多选、判断题等客观题自动评卷；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（3）支持阅卷过程中自动屏蔽考生考号姓名等信息；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（4）支持鼠标、键盘等分数输入模式，支持点击打分，快捷打分等打分模式；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（5）允许同一个教师或教研员分别在多个考试中担任不同的角色等；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（6）评卷端界面支持对答卷放大、缩小、浏览、上下调整、左右调整等功能，答卷图像支持256级灰度图片显示，图像清晰；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（7）支持在评卷界面内切换题目，不需退出评卷界面；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（8）支持全记录回评，查看已评记录，进行重新评阅；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（9）对答卷内容进行批注，打勾、打X设置，标记问题卷、优秀卷、典型卷或其他答卷进行标注并保留阅卷痕迹，可直接一键给满分或零分；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（10）支持阅卷后重新设置答案并重评客观题；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（11）支持移动端阅卷；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（12）支持对试题单评、双评、回评、仲裁；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（13）支持对阅卷的总体进度、个人进度及评卷质量（支持评卷心跳图）等进行实时监控；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（14）支持成绩抽样检查，并可修改分数，重新生成学情报告；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（15）支持识别考号填涂、条形码、二维码等多种考号识别方式。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（16）支持自定义打分板，可自定义显示打分板的分值，支持点击打分。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手阅评阅方式(纸笔有痕阅卷，先阅后扫)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（1）支持从题库中选卷组卷自动生成对应试卷结构的答题卡；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（2）支持学生纸笔作答，教师手阅或圈阅主观题给分，扫描后系统自动评阅客观题、自动识别主观题的得分；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（3）支持打分框和圈阅两种模式；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（4）支持负分改卷及正分改卷；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（5）支持题卡合一及题卡分离；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（6）支持设置密封线；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（7）支持识别考号填涂、条形码、二维码等多种考号识别方式。</w:t>
            </w:r>
          </w:p>
        </w:tc>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学情分析系统</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报告管理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（1）支持单次考试结束后，用户根据需要生成自定义报告，并支持根据学校诉求自主选择报告是否向校内校长、副校长、年级主任、学科组长、备课组长、班主任、任课教师角色发布；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（2）支持新高考模式下的行政班与教学班双重评价分析；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（3）支持设置试卷分卷，支持设置分卷名称及试题所属分卷并进行分卷分析；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（4）支持设置试题题型和试题标签，并支持进行试题题型和试题标签分析。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（7）支持卷面分、等级、等级赋分等多种计分方式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优秀率、合格率、良好率、低分率、学业等级、成绩分段、达线分、临界生、优秀生学困生指标参数自定义设置；查看全区多学科报告指标：全科统计、平均分对比、成绩分档对比、成绩分段对比、达线人数对比、分段人数对比、优劣势学科对比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2.校级报告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（1）查看多学科报告指标：全科统计、平均分对比、成绩分档对比、成绩分段对比、达线人数对比、分段人数对比、优劣势学科对比等；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（2）查看单学科报告指标：单科统计、基础指标对比、成绩分档对比、成绩分段对比，任课老师对比等；并支持图表呈现；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（3）支持查看试卷分析，指标包括试卷整体难度、试题难度比例、信度、区分度、大题分析、小题分析、知识点分析、作答详情；支持选择添加班级进行对比分析；支持分析数据excel格式一键导出；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（4）提供全部和各班学生成绩，指标包括校次、班次及进退步情况、各学科分数；支持各班级和全部学生的学生成绩表、单科成绩汇总、学生小题明细表、题组得分情况统计数据excel格式导出；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（5）支持一键导出试卷讲评的PPT和讲评word。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（6）支持不同权限的教师可下载所有班级/任教班级的成绩单；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班级报告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（1）支持班主任查看班级多学科报告，指标包括学科成绩对比、平均分对比、学业等级分布、成绩分段对比、优劣势学科对比；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（2）支持授课教师查看授课学科的班级单学科报告，指标包括学情概览、平均分对比、学业等级分布、需关注学生、高频错题；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（3）支持查看班级学生成绩单，支持查看学生单科作答原卷、成绩整体报告和试题解析；支持班级全科和单科成绩表excel格式一键导出；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授课教师查看班级试卷分析，指标包括试卷整体难度、试题难度比例、信度、区分度、大题分析、小题分析、知识点分析、作答详情；支持以表格、雷达图两种形式呈现；支持各指标分析数据以excel格式一键导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（6）支持一键导出试卷讲评的PPT和讲评word。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（7）需支持查看试题答题统计，包括试题的班级均分和得分率、年级均分和得分率、客观题选项数据统计和主观题得分数据统计柱状图，并支持查看对应学生名单；支持查看优秀解答和典型错误的典型卷；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学生报告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（1）支持查看每次考试产生的成绩整体报告：总体水平(总分/班级均分)、历次考试对比、我的错题等各个指标；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（2）支持查看试题解析。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（3）能够查看各科成绩和班级平均成绩的对比。支持查看计算的科目均衡程度。</w:t>
            </w:r>
          </w:p>
        </w:tc>
        <w:tc>
          <w:tcPr>
            <w:tcW w:w="1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高速扫描仪</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1.扫描速度：200 dpi 和 300 dpi 时最高每分钟95页/190个影像;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2.扫描幅面：支持A3~A8幅面及自定义长纸；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3.ADF容量：300张(80 g/㎡)</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学生综合素质评价系统</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积分兑奖管理系统</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实现积分管理系统与积分兑奖管理后台信息同步，包括基础用户数据的管理维护、积分统计数据查看、奖品数据的数据同步、奖柜硬件设备的维护与管理。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数据查询与分析：支持教师按范围（年级/班级)、按周期（日/周/月/学期）按来源（活动广场/作业/扫码等）查看学生得分统计，支持数据导出；支持按小组查看不同范围，周期的点评数据统计；支持按班级查看不同范围、周期、来源的得分统计数据，支持数据导出；支持按教师查看每位教师的点评数据统计。提供年级分析/班级分析/学生个人分析汇总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奖品管理：含学校奖励设置及数量统计，支持学校添加奖品（包括奖品名称、价值、图片、数量）、删除奖品、查看奖品已兑数量和剩余数量，支持学校设置奖品兑换规则（包括校园币名称、兑换周期、积分转换规则、是否允许家长兑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3、学生兑换记录查询：支持查看奖品兑换概览数据（含兑换人数、班级数、兑换最多的奖品等）、支持查看学生兑换明细数据，支持撤回奖品发放。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▲4、基础信息同步及设置：支持与云平台用户信息同步，支持一卡通绑定与人脸数据的录入、批量导入，也支持学生通过移动端自主上传人脸照片。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5、奖励柜设置：支持进行设备管理，可添加兑换终端、查看设备运转状态；支持对奖品进行上架、下架、批量清空，一键满货等奖品的管理。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▲6、在线设计积分卡：支持在线设计二维码积分卡，支持自主设置卡片封面，卡片颜色，卡片大小，备注信息等，支持每张卡片有唯一二维码标识。</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旋转柜</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功能要点：扫码加分、奖品兑换、刷卡登录、人脸登录、兑换记录查询、基础设置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识别方式：刷卡、人脸、扫描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读卡器：读取物理卡号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扫描仪：串口扫描仪，识别条码，二维码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人脸识别器：双目摄像头200W WDR宽动态范围，工业级130万高清图像传感器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货道数量：标准6层*10货道（货道尺寸可定制，灵活适应不同尺寸的各类奖品。）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系统：安卓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触摸屏：21.5寸，分辨率1920*1080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额定电压/频率:AC220V/50Hz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额定输入功率：50W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工作温度：-10°C–40°C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产品尺寸：1300*1010*2010mm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重量：280KG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产品型号：S-A-01-B21-005-1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回收箱：提供卡片回收箱，支持卡片回收再利用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支持设备颜色、logo定制。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▲设备提供安全合规检测报告。</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格子柜</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功能要点：扫码加分、奖品兑换、刷卡登录、人脸登录、兑换记录查询、基础设置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识别方式：刷卡、扫码、人脸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读卡器：读取物理卡号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扫描仪：串口扫描仪，识别条码，二维码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人脸识别器：双目摄像头200W WDR宽动态范围，工业级130万高清图像传感器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货道数量：44个格子（长宽深：1-4格 290*320*250mm;4-14格 200*230*250mm；15-44格 200*150*250mm）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商品容量：44个商品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系统：安卓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触摸屏：21.5寸，分辨率1920*1080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额定电压/频率:AC220V/50Hz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额定输入功率：65W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工作温度：-10°C–40°C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产品尺寸：1420*300*2010mm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重量：150KG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产品型号：S-A-44-A06-001-1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回收箱：提供卡片回收箱，支持卡片回收再利用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支持设备颜色、logo定制。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▲设备提供安全合规检测报告。</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积分机</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功能要点：扫码加分、刷卡登录、人脸登录、兑换记录查询、基础设置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识别方式：刷卡、扫码、人脸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读卡器：读取物理卡号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扫描仪：串口扫描仪，识别条码，二维码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人脸识别器：双目摄像头200W WDR宽动态范围，工业级130万高清图像传感器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 安卓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触摸屏：21.5寸，分辨率1920*1080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额定电压/频率:AC220V/50Hz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额定输入功率：40W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工作温度：-10°C–40°C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产品尺寸：420*300*1600mm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重量：50KG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产品型号：S-A-00-A06-004-1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回收箱：提供卡片回收箱，支持卡片回收再利用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支持设备颜色、logo定制。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▲设备提供安全合规检测报告。</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二维码积分卡</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支持协助学校制作二维码积分卡，支持每张卡为唯一识别二维码。教师课上或课下可直接发给学生，支持学生可在奖励柜或积分机上自主扫码加分。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支持二维码卡片回收再次激活使用。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标准尺寸：长80mm*宽50mm*0.2mm（尺寸可定制）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材质：PVC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样式：支持根据学校意见进行个性化设计，支持正反印制。</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积分兑换终端系统</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通过积分兑换终端，实现用户登录并进行奖品兑换和扫码加分，查询兑换记录等。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▲1、身份认证：支持单独或同时使用校园卡刷卡和人脸识别登录，展示学生的基本信息，包括学生的姓名，班级，头像，当前的积分等信息。学生连续30s未进行任何操作，将自动退出登录状态。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▲2、扫码加分：支持与学生评价系统互通，学生在收到教师发送的点评卡片后，将点评卡片的二维码对准终端二维码识别入口，学生扫码即可获得点评得分。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奖品兑换：通过交互触摸展示积分商城界面，包括学校名称，可兑换奖品及对应所需积分，学生可在兑换柜中查询累计积分及可兑换奖品。学生选定奖品并确认兑换后，格子柜柜门自动打开，旋转柜商品自动掉落，学生可直接领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4、兑奖记录查询：学生可查询个人兑换物品记录，包括奖品图片、奖品名称、兑换时间和使用校园币数量。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5、基础设置：支持管理员在终端设备完成基础设置和调试功能。</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运营服务</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提供点评卡设计、印刷服务，制作的点评卡可在兑奖柜上扫码加分；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虚拟奖品设计、印刷服务及奖品上货、补货服务。</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安装实施费</w:t>
            </w:r>
          </w:p>
        </w:tc>
        <w:tc>
          <w:tcPr>
            <w:tcW w:w="3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设备的安装、调试服务</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rPr>
          <w:rFonts w:hint="eastAsia"/>
          <w:color w:val="auto"/>
          <w:highlight w:val="none"/>
        </w:rPr>
      </w:pPr>
      <w:r>
        <w:rPr>
          <w:rFonts w:hint="eastAsia"/>
          <w:color w:val="auto"/>
          <w:highlight w:val="none"/>
        </w:rPr>
        <w:br w:type="page"/>
      </w:r>
    </w:p>
    <w:p>
      <w:pPr>
        <w:pStyle w:val="3"/>
        <w:ind w:firstLine="0" w:firstLineChars="0"/>
        <w:jc w:val="center"/>
        <w:rPr>
          <w:color w:val="auto"/>
          <w:highlight w:val="none"/>
        </w:rPr>
      </w:pPr>
      <w:r>
        <w:rPr>
          <w:rFonts w:hint="eastAsia"/>
          <w:color w:val="auto"/>
          <w:highlight w:val="none"/>
        </w:rPr>
        <w:t>第三部分  评标方法及评分标准</w:t>
      </w:r>
      <w:bookmarkEnd w:id="7"/>
      <w:bookmarkEnd w:id="8"/>
    </w:p>
    <w:p>
      <w:pPr>
        <w:pStyle w:val="2"/>
        <w:spacing w:line="560" w:lineRule="exact"/>
        <w:rPr>
          <w:color w:val="auto"/>
          <w:sz w:val="30"/>
          <w:szCs w:val="30"/>
          <w:highlight w:val="none"/>
        </w:rPr>
      </w:pPr>
      <w:bookmarkStart w:id="9" w:name="_Toc14591"/>
      <w:bookmarkStart w:id="10" w:name="_Toc1458938"/>
      <w:r>
        <w:rPr>
          <w:rFonts w:hint="eastAsia"/>
          <w:color w:val="auto"/>
          <w:sz w:val="30"/>
          <w:szCs w:val="30"/>
          <w:highlight w:val="none"/>
        </w:rPr>
        <w:t>一、评标方法</w:t>
      </w:r>
      <w:bookmarkEnd w:id="9"/>
      <w:bookmarkEnd w:id="10"/>
    </w:p>
    <w:p>
      <w:pPr>
        <w:spacing w:line="560" w:lineRule="exact"/>
        <w:ind w:firstLine="480"/>
        <w:rPr>
          <w:rFonts w:ascii="宋体" w:hAnsi="宋体"/>
          <w:color w:val="auto"/>
          <w:sz w:val="24"/>
          <w:szCs w:val="20"/>
          <w:highlight w:val="none"/>
          <w:lang w:val="zh-CN"/>
        </w:rPr>
      </w:pPr>
      <w:r>
        <w:rPr>
          <w:rFonts w:hint="eastAsia" w:ascii="宋体" w:hAnsi="宋体"/>
          <w:color w:val="auto"/>
          <w:sz w:val="24"/>
          <w:szCs w:val="20"/>
          <w:highlight w:val="none"/>
          <w:lang w:val="zh-CN"/>
        </w:rPr>
        <w:t>本项目评标采用</w:t>
      </w:r>
      <w:r>
        <w:rPr>
          <w:rFonts w:hint="eastAsia" w:ascii="宋体" w:hAnsi="宋体"/>
          <w:b/>
          <w:color w:val="auto"/>
          <w:sz w:val="24"/>
          <w:szCs w:val="20"/>
          <w:highlight w:val="none"/>
          <w:lang w:val="zh-CN"/>
        </w:rPr>
        <w:t>综合评分法</w:t>
      </w:r>
      <w:r>
        <w:rPr>
          <w:rFonts w:hint="eastAsia" w:ascii="宋体" w:hAnsi="宋体"/>
          <w:color w:val="auto"/>
          <w:sz w:val="24"/>
          <w:szCs w:val="20"/>
          <w:highlight w:val="none"/>
          <w:lang w:val="zh-CN"/>
        </w:rPr>
        <w:t>。综合评分法</w:t>
      </w:r>
      <w:r>
        <w:rPr>
          <w:rFonts w:ascii="宋体" w:hAnsi="宋体"/>
          <w:color w:val="auto"/>
          <w:sz w:val="24"/>
          <w:szCs w:val="20"/>
          <w:highlight w:val="none"/>
          <w:lang w:val="zh-CN"/>
        </w:rPr>
        <w:t>是指投标文件满足招标文件全部实质性要求，且按照评审因素的量化指标评审得分最高的投标人为中标候选人的评标方法。</w:t>
      </w:r>
    </w:p>
    <w:p>
      <w:pPr>
        <w:bidi w:val="0"/>
        <w:rPr>
          <w:rStyle w:val="26"/>
          <w:rFonts w:hint="eastAsia"/>
          <w:color w:val="auto"/>
          <w:highlight w:val="none"/>
        </w:rPr>
      </w:pPr>
      <w:bookmarkStart w:id="11" w:name="_Toc14702"/>
      <w:r>
        <w:rPr>
          <w:rStyle w:val="26"/>
          <w:rFonts w:hint="eastAsia"/>
          <w:color w:val="auto"/>
          <w:highlight w:val="none"/>
        </w:rPr>
        <w:t>二、评审因素及评分标准</w:t>
      </w:r>
      <w:bookmarkEnd w:id="11"/>
    </w:p>
    <w:tbl>
      <w:tblPr>
        <w:tblStyle w:val="21"/>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220"/>
        <w:gridCol w:w="552"/>
        <w:gridCol w:w="6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评审因素</w:t>
            </w:r>
          </w:p>
        </w:tc>
        <w:tc>
          <w:tcPr>
            <w:tcW w:w="293"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分值</w:t>
            </w:r>
          </w:p>
        </w:tc>
        <w:tc>
          <w:tcPr>
            <w:tcW w:w="3618" w:type="pct"/>
            <w:tcBorders>
              <w:top w:val="single" w:color="000000" w:sz="8" w:space="0"/>
              <w:left w:val="single" w:color="000000" w:sz="8" w:space="0"/>
              <w:bottom w:val="single" w:color="auto" w:sz="4" w:space="0"/>
              <w:right w:val="single" w:color="000000" w:sz="8" w:space="0"/>
            </w:tcBorders>
            <w:shd w:val="clear" w:color="auto" w:fill="auto"/>
            <w:vAlign w:val="center"/>
          </w:tcPr>
          <w:p>
            <w:pPr>
              <w:bidi w:val="0"/>
              <w:rPr>
                <w:rFonts w:hint="default"/>
                <w:lang w:val="en-US" w:eastAsia="zh-CN"/>
              </w:rPr>
            </w:pPr>
            <w:r>
              <w:rPr>
                <w:rFonts w:hint="default"/>
                <w:lang w:val="en-US" w:eastAsia="zh-CN"/>
              </w:rPr>
              <w:t>评审标准说明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440" w:type="pct"/>
            <w:vMerge w:val="restar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价格部分</w:t>
            </w:r>
          </w:p>
        </w:tc>
        <w:tc>
          <w:tcPr>
            <w:tcW w:w="646" w:type="pct"/>
            <w:vMerge w:val="restart"/>
            <w:tcBorders>
              <w:top w:val="nil"/>
              <w:left w:val="nil"/>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报价</w:t>
            </w:r>
          </w:p>
        </w:tc>
        <w:tc>
          <w:tcPr>
            <w:tcW w:w="293" w:type="pct"/>
            <w:vMerge w:val="restart"/>
            <w:tcBorders>
              <w:top w:val="nil"/>
              <w:left w:val="nil"/>
              <w:bottom w:val="single" w:color="000000" w:sz="8" w:space="0"/>
              <w:right w:val="single" w:color="auto" w:sz="4" w:space="0"/>
            </w:tcBorders>
            <w:shd w:val="clear" w:color="auto" w:fill="auto"/>
            <w:vAlign w:val="center"/>
          </w:tcPr>
          <w:p>
            <w:pPr>
              <w:bidi w:val="0"/>
              <w:rPr>
                <w:rFonts w:hint="default"/>
                <w:lang w:val="en-US" w:eastAsia="zh-CN"/>
              </w:rPr>
            </w:pPr>
            <w:r>
              <w:rPr>
                <w:rFonts w:hint="default"/>
                <w:lang w:val="en-US" w:eastAsia="zh-CN"/>
              </w:rPr>
              <w:t>30</w:t>
            </w:r>
          </w:p>
        </w:tc>
        <w:tc>
          <w:tcPr>
            <w:tcW w:w="3618" w:type="pct"/>
            <w:tcBorders>
              <w:top w:val="single" w:color="auto" w:sz="4" w:space="0"/>
              <w:left w:val="single" w:color="auto" w:sz="4" w:space="0"/>
              <w:bottom w:val="single" w:color="auto" w:sz="4" w:space="0"/>
              <w:right w:val="single" w:color="auto" w:sz="4" w:space="0"/>
            </w:tcBorders>
            <w:shd w:val="clear" w:color="auto" w:fill="auto"/>
            <w:vAlign w:val="top"/>
          </w:tcPr>
          <w:p>
            <w:pPr>
              <w:bidi w:val="0"/>
              <w:ind w:firstLine="0" w:firstLineChars="0"/>
              <w:rPr>
                <w:rFonts w:hint="default"/>
                <w:lang w:val="en-US" w:eastAsia="zh-CN"/>
              </w:rPr>
            </w:pPr>
            <w:r>
              <w:rPr>
                <w:rFonts w:hint="eastAsia" w:ascii="宋体" w:hAnsi="宋体" w:eastAsia="宋体" w:cs="宋体"/>
                <w:i w:val="0"/>
                <w:iCs w:val="0"/>
                <w:color w:val="000000"/>
                <w:kern w:val="0"/>
                <w:sz w:val="22"/>
                <w:szCs w:val="22"/>
                <w:u w:val="none"/>
                <w:lang w:val="en-US" w:eastAsia="zh-CN" w:bidi="ar"/>
              </w:rPr>
              <w:t>价格分统一采用低价优先法计算，即满足招标文件要求且投标价格最低的投标报价为评标基准价，其价格分为满分。其他投标人的价格分统一按照下列公式计算：投标报价得分=(评标基准价／投标报价)×30%×100。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8" w:hRule="atLeast"/>
        </w:trPr>
        <w:tc>
          <w:tcPr>
            <w:tcW w:w="440" w:type="pct"/>
            <w:vMerge w:val="restar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技术部分（55分）</w:t>
            </w:r>
          </w:p>
        </w:tc>
        <w:tc>
          <w:tcPr>
            <w:tcW w:w="646" w:type="pc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技术指标响应</w:t>
            </w:r>
          </w:p>
        </w:tc>
        <w:tc>
          <w:tcPr>
            <w:tcW w:w="293" w:type="pct"/>
            <w:tcBorders>
              <w:top w:val="nil"/>
              <w:left w:val="single" w:color="000000" w:sz="8" w:space="0"/>
              <w:bottom w:val="single" w:color="000000" w:sz="8" w:space="0"/>
              <w:right w:val="single" w:color="auto" w:sz="4" w:space="0"/>
            </w:tcBorders>
            <w:shd w:val="clear" w:color="auto" w:fill="auto"/>
            <w:vAlign w:val="center"/>
          </w:tcPr>
          <w:p>
            <w:pPr>
              <w:bidi w:val="0"/>
              <w:rPr>
                <w:rFonts w:hint="default"/>
                <w:lang w:val="en-US" w:eastAsia="zh-CN"/>
              </w:rPr>
            </w:pPr>
            <w:r>
              <w:rPr>
                <w:rFonts w:hint="default"/>
                <w:lang w:val="en-US" w:eastAsia="zh-CN"/>
              </w:rPr>
              <w:t>35</w:t>
            </w:r>
          </w:p>
        </w:tc>
        <w:tc>
          <w:tcPr>
            <w:tcW w:w="3618" w:type="pct"/>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default"/>
                <w:lang w:val="en-US" w:eastAsia="zh-CN"/>
              </w:rPr>
            </w:pPr>
            <w:r>
              <w:rPr>
                <w:rFonts w:hint="default"/>
                <w:lang w:val="en-US" w:eastAsia="zh-CN"/>
              </w:rPr>
              <w:t>1．投标文件没有货物简要说明一览表或技术规格、参数响应/偏离表的，本项不计分。</w:t>
            </w:r>
          </w:p>
          <w:p>
            <w:pPr>
              <w:bidi w:val="0"/>
              <w:rPr>
                <w:rFonts w:hint="default"/>
                <w:lang w:val="en-US" w:eastAsia="zh-CN"/>
              </w:rPr>
            </w:pPr>
            <w:r>
              <w:rPr>
                <w:rFonts w:hint="default"/>
                <w:lang w:val="en-US" w:eastAsia="zh-CN"/>
              </w:rPr>
              <w:t>2．根据投标人所投产品的技术指标、性能参数完全满足或优于招标文件要求的，计20分；</w:t>
            </w:r>
          </w:p>
          <w:p>
            <w:pPr>
              <w:bidi w:val="0"/>
              <w:rPr>
                <w:rFonts w:hint="default"/>
                <w:lang w:val="en-US" w:eastAsia="zh-CN"/>
              </w:rPr>
            </w:pPr>
            <w:r>
              <w:rPr>
                <w:rFonts w:hint="default"/>
                <w:lang w:val="en-US" w:eastAsia="zh-CN"/>
              </w:rPr>
              <w:t>3．参数部分标注“▲”符号的为关键技术参数，出现配置不详，技术参数不清，未按要求提供相应系统截图或检测报告，有缺漏项、有负偏离的，每处扣技术分3分；没有标注符号的技术参数，出现配置不详，技术参数不清，未按要求提供相应系统截图或检测报告，有缺漏项、有负偏离的，每处扣1分。扣完为止</w:t>
            </w:r>
          </w:p>
          <w:p>
            <w:pPr>
              <w:bidi w:val="0"/>
              <w:rPr>
                <w:rFonts w:hint="default"/>
                <w:lang w:val="en-US" w:eastAsia="zh-CN"/>
              </w:rPr>
            </w:pPr>
            <w:r>
              <w:rPr>
                <w:rFonts w:hint="eastAsia"/>
                <w:lang w:val="en-US" w:eastAsia="zh-CN"/>
              </w:rPr>
              <w:t>（</w:t>
            </w:r>
            <w:r>
              <w:rPr>
                <w:rFonts w:hint="default"/>
                <w:lang w:val="en-US" w:eastAsia="zh-CN"/>
              </w:rPr>
              <w:t>加盖生产企业公章</w:t>
            </w: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整体方案</w:t>
            </w:r>
          </w:p>
        </w:tc>
        <w:tc>
          <w:tcPr>
            <w:tcW w:w="293" w:type="pc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5</w:t>
            </w:r>
          </w:p>
        </w:tc>
        <w:tc>
          <w:tcPr>
            <w:tcW w:w="3618" w:type="pct"/>
            <w:tcBorders>
              <w:top w:val="single" w:color="auto" w:sz="4"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整体项目实施方案包括但不限于：项目执行整体方案、项目实施组织机构 、实施人员技术资质、项目安全应急预案、项目质量保障方案、项目进度 安排、供应商针对本项目与原有系统软件硬件对接承诺书。</w:t>
            </w:r>
          </w:p>
          <w:p>
            <w:pPr>
              <w:bidi w:val="0"/>
              <w:rPr>
                <w:rFonts w:hint="default"/>
                <w:lang w:val="en-US" w:eastAsia="zh-CN"/>
              </w:rPr>
            </w:pPr>
            <w:r>
              <w:rPr>
                <w:rFonts w:hint="default"/>
                <w:lang w:val="en-US" w:eastAsia="zh-CN"/>
              </w:rPr>
              <w:t>方案内容完善、合理且针对性强，能完全满足项目要求得5分;</w:t>
            </w:r>
          </w:p>
          <w:p>
            <w:pPr>
              <w:bidi w:val="0"/>
              <w:rPr>
                <w:rFonts w:hint="default"/>
                <w:lang w:val="en-US" w:eastAsia="zh-CN"/>
              </w:rPr>
            </w:pPr>
            <w:r>
              <w:rPr>
                <w:rFonts w:hint="default"/>
                <w:lang w:val="en-US" w:eastAsia="zh-CN"/>
              </w:rPr>
              <w:t>方案内容基本完善、合理，能满足项目要求得3 分:</w:t>
            </w:r>
          </w:p>
          <w:p>
            <w:pPr>
              <w:bidi w:val="0"/>
              <w:rPr>
                <w:rFonts w:hint="default"/>
                <w:lang w:val="en-US" w:eastAsia="zh-CN"/>
              </w:rPr>
            </w:pPr>
            <w:r>
              <w:rPr>
                <w:rFonts w:hint="default"/>
                <w:lang w:val="en-US" w:eastAsia="zh-CN"/>
              </w:rPr>
              <w:t>方案内容不合理:得 1分:</w:t>
            </w:r>
          </w:p>
          <w:p>
            <w:pPr>
              <w:bidi w:val="0"/>
              <w:rPr>
                <w:rFonts w:hint="default"/>
                <w:lang w:val="en-US" w:eastAsia="zh-CN"/>
              </w:rPr>
            </w:pPr>
            <w:r>
              <w:rPr>
                <w:rFonts w:hint="default"/>
                <w:lang w:val="en-US" w:eastAsia="zh-CN"/>
              </w:rPr>
              <w:t>未提供以上方案、或方案有缺失不得分。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 xml:space="preserve">产品的先进程度、稳定性、易操 作性、易维护性 </w:t>
            </w:r>
          </w:p>
        </w:tc>
        <w:tc>
          <w:tcPr>
            <w:tcW w:w="293" w:type="pc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5</w:t>
            </w:r>
          </w:p>
        </w:tc>
        <w:tc>
          <w:tcPr>
            <w:tcW w:w="3618" w:type="pc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评委根据投标人提供的组织实施及设计方案。具体应包括以下几个方面：（实施组织方案、实施进度计划、项目难点和要点分析、风险与缓解措施、质量控制管理、项目验收方案、培训方案等）</w:t>
            </w:r>
          </w:p>
          <w:p>
            <w:pPr>
              <w:bidi w:val="0"/>
              <w:rPr>
                <w:rFonts w:hint="default" w:eastAsia="宋体" w:cs="Times New Roman"/>
                <w:lang w:val="en-US" w:eastAsia="zh-CN"/>
              </w:rPr>
            </w:pPr>
            <w:r>
              <w:rPr>
                <w:rFonts w:hint="default"/>
                <w:lang w:val="en-US" w:eastAsia="zh-CN"/>
              </w:rPr>
              <w:t>实施及设计</w:t>
            </w:r>
            <w:r>
              <w:rPr>
                <w:rFonts w:hint="default" w:eastAsia="宋体" w:cs="Times New Roman"/>
                <w:lang w:val="en-US" w:eastAsia="zh-CN"/>
              </w:rPr>
              <w:t>方案内容完善、合理且针对性强，能完全满足项目要求得5分;</w:t>
            </w:r>
          </w:p>
          <w:p>
            <w:pPr>
              <w:bidi w:val="0"/>
              <w:rPr>
                <w:rFonts w:hint="default" w:eastAsia="宋体" w:cs="Times New Roman"/>
                <w:lang w:val="en-US" w:eastAsia="zh-CN"/>
              </w:rPr>
            </w:pPr>
            <w:r>
              <w:rPr>
                <w:rFonts w:hint="default"/>
                <w:lang w:val="en-US" w:eastAsia="zh-CN"/>
              </w:rPr>
              <w:t>实施及设计</w:t>
            </w:r>
            <w:r>
              <w:rPr>
                <w:rFonts w:hint="default" w:eastAsia="宋体" w:cs="Times New Roman"/>
                <w:lang w:val="en-US" w:eastAsia="zh-CN"/>
              </w:rPr>
              <w:t>方案内容基本完善、合理，能满足项目要求得3 分:</w:t>
            </w:r>
          </w:p>
          <w:p>
            <w:pPr>
              <w:bidi w:val="0"/>
              <w:rPr>
                <w:rFonts w:hint="default" w:eastAsia="宋体" w:cs="Times New Roman"/>
                <w:lang w:val="en-US" w:eastAsia="zh-CN"/>
              </w:rPr>
            </w:pPr>
            <w:r>
              <w:rPr>
                <w:rFonts w:hint="default"/>
                <w:lang w:val="en-US" w:eastAsia="zh-CN"/>
              </w:rPr>
              <w:t>实施及设计</w:t>
            </w:r>
            <w:r>
              <w:rPr>
                <w:rFonts w:hint="default" w:eastAsia="宋体" w:cs="Times New Roman"/>
                <w:lang w:val="en-US" w:eastAsia="zh-CN"/>
              </w:rPr>
              <w:t>方案内容不合理:得 1分:</w:t>
            </w:r>
          </w:p>
          <w:p>
            <w:pPr>
              <w:bidi w:val="0"/>
              <w:rPr>
                <w:rFonts w:hint="default"/>
                <w:lang w:val="en-US" w:eastAsia="zh-CN"/>
              </w:rPr>
            </w:pPr>
            <w:r>
              <w:rPr>
                <w:rFonts w:hint="default" w:eastAsia="宋体" w:cs="Times New Roman"/>
                <w:lang w:val="en-US" w:eastAsia="zh-CN"/>
              </w:rPr>
              <w:t>未提供以上实施及设计方案、或实施及设计有缺失不得分。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vMerge w:val="restar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售后服务方案</w:t>
            </w:r>
          </w:p>
        </w:tc>
        <w:tc>
          <w:tcPr>
            <w:tcW w:w="293" w:type="pct"/>
            <w:vMerge w:val="restar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5</w:t>
            </w:r>
          </w:p>
        </w:tc>
        <w:tc>
          <w:tcPr>
            <w:tcW w:w="3618" w:type="pct"/>
            <w:vMerge w:val="restar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评委根据投标人提供的售后服务方案(包括运行保障机构、售后服务流程、质保期、售后服务响应时间、质保期后运行服务内容及收费标准等)情况，方案内容完善、合理且针对性强，能完全满足项目要求得5分;</w:t>
            </w:r>
          </w:p>
          <w:p>
            <w:pPr>
              <w:bidi w:val="0"/>
              <w:rPr>
                <w:rFonts w:hint="default"/>
                <w:lang w:val="en-US" w:eastAsia="zh-CN"/>
              </w:rPr>
            </w:pPr>
            <w:r>
              <w:rPr>
                <w:rFonts w:hint="default"/>
                <w:lang w:val="en-US" w:eastAsia="zh-CN"/>
              </w:rPr>
              <w:t>方案内容基本完善、合理，能满足项目要求得3 分:</w:t>
            </w:r>
          </w:p>
          <w:p>
            <w:pPr>
              <w:bidi w:val="0"/>
              <w:rPr>
                <w:rFonts w:hint="default"/>
                <w:lang w:val="en-US" w:eastAsia="zh-CN"/>
              </w:rPr>
            </w:pPr>
            <w:r>
              <w:rPr>
                <w:rFonts w:hint="default"/>
                <w:lang w:val="en-US" w:eastAsia="zh-CN"/>
              </w:rPr>
              <w:t>方案内容不合理:得 1分:</w:t>
            </w:r>
          </w:p>
          <w:p>
            <w:pPr>
              <w:bidi w:val="0"/>
              <w:rPr>
                <w:rFonts w:hint="default"/>
                <w:lang w:val="en-US" w:eastAsia="zh-CN"/>
              </w:rPr>
            </w:pPr>
            <w:r>
              <w:rPr>
                <w:rFonts w:hint="default"/>
                <w:lang w:val="en-US" w:eastAsia="zh-CN"/>
              </w:rPr>
              <w:t>未提供以上方案、或方案有缺失不得分。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293"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3618"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vMerge w:val="restar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质量保证体系及措施</w:t>
            </w:r>
          </w:p>
        </w:tc>
        <w:tc>
          <w:tcPr>
            <w:tcW w:w="293" w:type="pct"/>
            <w:vMerge w:val="restar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5</w:t>
            </w:r>
          </w:p>
        </w:tc>
        <w:tc>
          <w:tcPr>
            <w:tcW w:w="3618" w:type="pct"/>
            <w:vMerge w:val="restar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供应商对整个项目有健全的质量控制体系、质量保证措施</w:t>
            </w:r>
          </w:p>
          <w:p>
            <w:pPr>
              <w:bidi w:val="0"/>
              <w:rPr>
                <w:rFonts w:hint="default"/>
                <w:lang w:val="en-US" w:eastAsia="zh-CN"/>
              </w:rPr>
            </w:pPr>
            <w:r>
              <w:rPr>
                <w:rFonts w:hint="default"/>
                <w:lang w:val="en-US" w:eastAsia="zh-CN"/>
              </w:rPr>
              <w:t>内容完善、合理且针对性强，能完全满足项目要求得5分;</w:t>
            </w:r>
          </w:p>
          <w:p>
            <w:pPr>
              <w:bidi w:val="0"/>
              <w:rPr>
                <w:rFonts w:hint="default"/>
                <w:lang w:val="en-US" w:eastAsia="zh-CN"/>
              </w:rPr>
            </w:pPr>
            <w:r>
              <w:rPr>
                <w:rFonts w:hint="default"/>
                <w:lang w:val="en-US" w:eastAsia="zh-CN"/>
              </w:rPr>
              <w:t>内容基本完善、合理，能满足项目要求得3 分:</w:t>
            </w:r>
          </w:p>
          <w:p>
            <w:pPr>
              <w:bidi w:val="0"/>
              <w:rPr>
                <w:rFonts w:hint="default"/>
                <w:lang w:val="en-US" w:eastAsia="zh-CN"/>
              </w:rPr>
            </w:pPr>
            <w:r>
              <w:rPr>
                <w:rFonts w:hint="default"/>
                <w:lang w:val="en-US" w:eastAsia="zh-CN"/>
              </w:rPr>
              <w:t>内容不合理:得 1分:</w:t>
            </w:r>
          </w:p>
          <w:p>
            <w:pPr>
              <w:bidi w:val="0"/>
              <w:rPr>
                <w:rFonts w:hint="default"/>
                <w:lang w:val="en-US" w:eastAsia="zh-CN"/>
              </w:rPr>
            </w:pPr>
            <w:r>
              <w:rPr>
                <w:rFonts w:hint="default"/>
                <w:lang w:val="en-US" w:eastAsia="zh-CN"/>
              </w:rPr>
              <w:t>未提供以上方案、或有缺失不得分。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293"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3618"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trPr>
        <w:tc>
          <w:tcPr>
            <w:tcW w:w="440" w:type="pct"/>
            <w:vMerge w:val="restar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商务部分（15分）</w:t>
            </w:r>
          </w:p>
        </w:tc>
        <w:tc>
          <w:tcPr>
            <w:tcW w:w="646" w:type="pc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软开与集成能力</w:t>
            </w:r>
          </w:p>
        </w:tc>
        <w:tc>
          <w:tcPr>
            <w:tcW w:w="293" w:type="pc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3</w:t>
            </w:r>
          </w:p>
        </w:tc>
        <w:tc>
          <w:tcPr>
            <w:tcW w:w="3618" w:type="pct"/>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为了保证智慧教学分析系统软件服务质量，制造商具有相应的软件技术成熟度和软件研发能力。供应商具有 CMMI5（软件能力成熟度集成模型 5级）得3分，软件能力成熟度集成模型 3）得</w:t>
            </w:r>
            <w:bookmarkStart w:id="12" w:name="_GoBack"/>
            <w:bookmarkEnd w:id="12"/>
            <w:r>
              <w:rPr>
                <w:rFonts w:hint="default"/>
                <w:lang w:val="en-US" w:eastAsia="zh-CN"/>
              </w:rPr>
              <w:t>1分，其它不得分；</w:t>
            </w:r>
          </w:p>
          <w:p>
            <w:pPr>
              <w:bidi w:val="0"/>
              <w:rPr>
                <w:rFonts w:hint="default"/>
                <w:lang w:val="en-US" w:eastAsia="zh-CN"/>
              </w:rPr>
            </w:pPr>
            <w:r>
              <w:rPr>
                <w:rFonts w:hint="default"/>
                <w:lang w:val="en-US" w:eastAsia="zh-CN"/>
              </w:rPr>
              <w:t>提供证明材料扫描件（加盖供应商公章）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产品系统稳定性</w:t>
            </w:r>
          </w:p>
        </w:tc>
        <w:tc>
          <w:tcPr>
            <w:tcW w:w="293"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2</w:t>
            </w:r>
          </w:p>
        </w:tc>
        <w:tc>
          <w:tcPr>
            <w:tcW w:w="3618"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所投校园数字底座系统厂家须实现与市县级教育云平台（或市、区教育大数据应用服务体系）系统互联互通，包括用户互通、资源互通、数据互通。产品制造商须提供系统互联互通技术承诺函</w:t>
            </w:r>
          </w:p>
          <w:p>
            <w:pPr>
              <w:bidi w:val="0"/>
              <w:rPr>
                <w:rFonts w:hint="default"/>
                <w:lang w:val="en-US" w:eastAsia="zh-CN"/>
              </w:rPr>
            </w:pPr>
            <w:r>
              <w:rPr>
                <w:rFonts w:hint="default"/>
                <w:lang w:val="en-US" w:eastAsia="zh-CN"/>
              </w:rPr>
              <w:t>（注明：需独立开发接口实现互联互通的所有技术和费用均与采购人无关，加盖制造商公章</w:t>
            </w:r>
            <w:r>
              <w:rPr>
                <w:rFonts w:hint="eastAsia"/>
                <w:lang w:val="en-US" w:eastAsia="zh-CN"/>
              </w:rPr>
              <w:t>）</w:t>
            </w:r>
            <w:r>
              <w:rPr>
                <w:rFonts w:hint="default"/>
                <w:lang w:val="en-US" w:eastAsia="zh-CN"/>
              </w:rPr>
              <w:t>；</w:t>
            </w:r>
            <w:r>
              <w:rPr>
                <w:rFonts w:hint="eastAsia"/>
                <w:lang w:val="en-US" w:eastAsia="zh-CN"/>
              </w:rPr>
              <w:t>全部</w:t>
            </w:r>
            <w:r>
              <w:rPr>
                <w:rFonts w:hint="default"/>
                <w:lang w:val="en-US" w:eastAsia="zh-CN"/>
              </w:rPr>
              <w:t xml:space="preserve">提供得2分，不提供不得分。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系统常态化运维能力</w:t>
            </w:r>
          </w:p>
        </w:tc>
        <w:tc>
          <w:tcPr>
            <w:tcW w:w="293"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2</w:t>
            </w:r>
          </w:p>
        </w:tc>
        <w:tc>
          <w:tcPr>
            <w:tcW w:w="3618"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所投主要产品：校园大数据仓系统、智能阅卷系统的制造商具备ITSS信息技术服务标准符合性证书，三级及以上得2分，三级以下得1分，不提供不得分。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系统信息安全服务、管理与保障</w:t>
            </w:r>
          </w:p>
        </w:tc>
        <w:tc>
          <w:tcPr>
            <w:tcW w:w="293"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3</w:t>
            </w:r>
          </w:p>
        </w:tc>
        <w:tc>
          <w:tcPr>
            <w:tcW w:w="3618"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所投主要产品：校园数字底座系统、校园大数据仓系统、智能阅卷系统的制造商具备信息系统安全服务资质认证证书、信息安全管理体系认证证书、隐私信息安全管理体系证书，每一项得1分，满分3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系统接入能力</w:t>
            </w:r>
          </w:p>
        </w:tc>
        <w:tc>
          <w:tcPr>
            <w:tcW w:w="293"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3</w:t>
            </w:r>
          </w:p>
        </w:tc>
        <w:tc>
          <w:tcPr>
            <w:tcW w:w="3618"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本项目软件平台要求实现与国家体系的对接，制造商应具备接入国家体系的能力，需提供省级及以上教育主管部门盖章的证明材料，得3分；未提供不得分。</w:t>
            </w:r>
          </w:p>
          <w:p>
            <w:pPr>
              <w:bidi w:val="0"/>
              <w:rPr>
                <w:rFonts w:hint="default"/>
                <w:lang w:val="en-US" w:eastAsia="zh-CN"/>
              </w:rPr>
            </w:pPr>
            <w:r>
              <w:rPr>
                <w:rFonts w:hint="eastAsia"/>
                <w:lang w:val="en-US" w:eastAsia="zh-CN"/>
              </w:rPr>
              <w:t>（证明材料</w:t>
            </w:r>
            <w:r>
              <w:rPr>
                <w:rFonts w:hint="default"/>
                <w:lang w:val="en-US" w:eastAsia="zh-CN"/>
              </w:rPr>
              <w:t>加盖供应商公章</w:t>
            </w:r>
            <w:r>
              <w:rPr>
                <w:rFonts w:hint="eastAsia"/>
                <w:lang w:val="en-US" w:eastAsia="zh-CN"/>
              </w:rPr>
              <w:t>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0" w:type="pct"/>
            <w:vMerge w:val="continue"/>
            <w:tcBorders>
              <w:top w:val="nil"/>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p>
        </w:tc>
        <w:tc>
          <w:tcPr>
            <w:tcW w:w="646"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标书完整</w:t>
            </w:r>
          </w:p>
        </w:tc>
        <w:tc>
          <w:tcPr>
            <w:tcW w:w="293"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2</w:t>
            </w:r>
          </w:p>
        </w:tc>
        <w:tc>
          <w:tcPr>
            <w:tcW w:w="3618" w:type="pct"/>
            <w:tcBorders>
              <w:top w:val="single" w:color="000000" w:sz="8" w:space="0"/>
              <w:left w:val="single" w:color="000000" w:sz="8" w:space="0"/>
              <w:bottom w:val="single" w:color="000000" w:sz="8" w:space="0"/>
              <w:right w:val="single" w:color="000000" w:sz="8" w:space="0"/>
            </w:tcBorders>
            <w:shd w:val="clear" w:color="auto" w:fill="auto"/>
            <w:vAlign w:val="center"/>
          </w:tcPr>
          <w:p>
            <w:pPr>
              <w:bidi w:val="0"/>
              <w:rPr>
                <w:rFonts w:hint="default"/>
                <w:lang w:val="en-US" w:eastAsia="zh-CN"/>
              </w:rPr>
            </w:pPr>
            <w:r>
              <w:rPr>
                <w:rFonts w:hint="default"/>
                <w:lang w:val="en-US" w:eastAsia="zh-CN"/>
              </w:rPr>
              <w:t>投标文件编制完整，逐页有连续页码、有详细目录、目录与有关材料装订顺序对应清晰、查阅方便得2分，每有一处缺项扣0.5分，扣完为止。</w:t>
            </w:r>
          </w:p>
        </w:tc>
      </w:tr>
    </w:tbl>
    <w:p>
      <w:pPr>
        <w:ind w:left="0" w:leftChars="0" w:firstLine="0" w:firstLineChars="0"/>
        <w:jc w:val="both"/>
        <w:rPr>
          <w:rFonts w:hint="eastAsia" w:ascii="黑体" w:hAnsi="黑体" w:eastAsia="黑体"/>
          <w:b/>
          <w:snapToGrid w:val="0"/>
          <w:sz w:val="69"/>
          <w:szCs w:val="21"/>
          <w:lang w:eastAsia="zh-CN"/>
        </w:rPr>
      </w:pPr>
    </w:p>
    <w:p>
      <w:pPr>
        <w:ind w:left="0" w:leftChars="0" w:firstLine="0" w:firstLineChars="0"/>
        <w:jc w:val="center"/>
        <w:rPr>
          <w:rFonts w:hint="eastAsia" w:ascii="黑体" w:hAnsi="黑体" w:eastAsia="黑体"/>
          <w:b/>
          <w:snapToGrid w:val="0"/>
          <w:sz w:val="69"/>
          <w:szCs w:val="21"/>
          <w:lang w:eastAsia="zh-CN"/>
        </w:rPr>
      </w:pPr>
    </w:p>
    <w:p>
      <w:pPr>
        <w:ind w:left="0" w:leftChars="0" w:firstLine="0" w:firstLineChars="0"/>
        <w:jc w:val="center"/>
        <w:rPr>
          <w:rFonts w:hint="eastAsia" w:ascii="黑体" w:hAnsi="黑体" w:eastAsia="黑体"/>
          <w:b/>
          <w:snapToGrid w:val="0"/>
          <w:sz w:val="69"/>
          <w:szCs w:val="21"/>
          <w:lang w:eastAsia="zh-CN"/>
        </w:rPr>
      </w:pPr>
    </w:p>
    <w:p>
      <w:pPr>
        <w:ind w:left="0" w:leftChars="0" w:firstLine="0" w:firstLineChars="0"/>
        <w:jc w:val="both"/>
        <w:rPr>
          <w:rFonts w:hint="eastAsia" w:ascii="黑体" w:hAnsi="黑体" w:eastAsia="黑体"/>
          <w:b/>
          <w:snapToGrid w:val="0"/>
          <w:sz w:val="69"/>
          <w:szCs w:val="21"/>
          <w:lang w:eastAsia="zh-CN"/>
        </w:rPr>
      </w:pPr>
    </w:p>
    <w:p>
      <w:pPr>
        <w:rPr>
          <w:rFonts w:hint="default"/>
          <w:lang w:val="en-US" w:eastAsia="zh-CN"/>
        </w:rPr>
      </w:pPr>
    </w:p>
    <w:sectPr>
      <w:headerReference r:id="rId5" w:type="default"/>
      <w:footerReference r:id="rId6" w:type="default"/>
      <w:pgSz w:w="11906" w:h="16838"/>
      <w:pgMar w:top="1440" w:right="1416" w:bottom="1440" w:left="1276"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FontAwesome">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56260" cy="20955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56260" cy="209550"/>
                      </a:xfrm>
                      <a:prstGeom prst="rect">
                        <a:avLst/>
                      </a:prstGeom>
                      <a:noFill/>
                      <a:ln>
                        <a:noFill/>
                      </a:ln>
                    </wps:spPr>
                    <wps:txbx>
                      <w:txbxContent>
                        <w:p>
                          <w:pPr>
                            <w:pStyle w:val="14"/>
                            <w:ind w:firstLine="360"/>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6.5pt;width:43.8pt;mso-position-horizontal:center;mso-position-horizontal-relative:margin;mso-wrap-style:none;z-index:251659264;mso-width-relative:page;mso-height-relative:page;" filled="f" stroked="f" coordsize="21600,21600" o:gfxdata="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4Zsl0QAAAAMBAAAPAAAAAAAAAAEAIAAAACIAAABkcnMvZG93bnJldi54bWxQSwECFAAU&#10;AAAACACHTuJAlRD66vgBAAABBAAADgAAAAAAAAABACAAAAAgAQAAZHJzL2Uyb0RvYy54bWxQSwUG&#10;AAAAAAYABgBZAQAAigUAAAAA&#10;">
              <v:fill on="f" focussize="0,0"/>
              <v:stroke on="f"/>
              <v:imagedata o:title=""/>
              <o:lock v:ext="edit" aspectratio="f"/>
              <v:textbox inset="0mm,0mm,0mm,0mm" style="mso-fit-shape-to-text:t;">
                <w:txbxContent>
                  <w:p>
                    <w:pPr>
                      <w:pStyle w:val="14"/>
                      <w:ind w:firstLine="360"/>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25</w:t>
                    </w:r>
                    <w:r>
                      <w:fldChar w:fldCharType="end"/>
                    </w:r>
                  </w:p>
                </w:txbxContent>
              </v:textbox>
            </v:shape>
          </w:pict>
        </mc:Fallback>
      </mc:AlternateContent>
    </w:r>
  </w:p>
  <w:p>
    <w:pPr>
      <w:pStyle w:val="14"/>
      <w:tabs>
        <w:tab w:val="center" w:pos="4153"/>
        <w:tab w:val="right"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ZTk4NWYzYjU3NWM2YmVlODg4ZmNlMGUyOWIzOTMifQ=="/>
  </w:docVars>
  <w:rsids>
    <w:rsidRoot w:val="00217FF2"/>
    <w:rsid w:val="00003D4D"/>
    <w:rsid w:val="00030893"/>
    <w:rsid w:val="000C134F"/>
    <w:rsid w:val="001660AE"/>
    <w:rsid w:val="001B2DDB"/>
    <w:rsid w:val="001C3829"/>
    <w:rsid w:val="00217FF2"/>
    <w:rsid w:val="002922C7"/>
    <w:rsid w:val="002A2648"/>
    <w:rsid w:val="002C0AC4"/>
    <w:rsid w:val="00361344"/>
    <w:rsid w:val="00395B57"/>
    <w:rsid w:val="00614CA5"/>
    <w:rsid w:val="00770018"/>
    <w:rsid w:val="007C671E"/>
    <w:rsid w:val="00807050"/>
    <w:rsid w:val="008829AD"/>
    <w:rsid w:val="00902612"/>
    <w:rsid w:val="00B648D2"/>
    <w:rsid w:val="00CA04D4"/>
    <w:rsid w:val="00CA5C55"/>
    <w:rsid w:val="00DA22EC"/>
    <w:rsid w:val="00DD7110"/>
    <w:rsid w:val="00E16783"/>
    <w:rsid w:val="00E9002E"/>
    <w:rsid w:val="00E90A6C"/>
    <w:rsid w:val="00F2196A"/>
    <w:rsid w:val="00F261AB"/>
    <w:rsid w:val="00F8194E"/>
    <w:rsid w:val="01483C8E"/>
    <w:rsid w:val="0255692C"/>
    <w:rsid w:val="02FE031F"/>
    <w:rsid w:val="033074D7"/>
    <w:rsid w:val="034B1C24"/>
    <w:rsid w:val="04297F29"/>
    <w:rsid w:val="05C85AB1"/>
    <w:rsid w:val="06001363"/>
    <w:rsid w:val="07113AFA"/>
    <w:rsid w:val="073072D5"/>
    <w:rsid w:val="07B32E4D"/>
    <w:rsid w:val="091072E2"/>
    <w:rsid w:val="0933709D"/>
    <w:rsid w:val="097E25E3"/>
    <w:rsid w:val="09B8480D"/>
    <w:rsid w:val="09BE25B6"/>
    <w:rsid w:val="0C26768F"/>
    <w:rsid w:val="0CC4065C"/>
    <w:rsid w:val="0CFF2AF5"/>
    <w:rsid w:val="0DA10E62"/>
    <w:rsid w:val="0E1C78AB"/>
    <w:rsid w:val="0E756A5E"/>
    <w:rsid w:val="0E9C6341"/>
    <w:rsid w:val="0F7259BD"/>
    <w:rsid w:val="0F7B4192"/>
    <w:rsid w:val="102A4336"/>
    <w:rsid w:val="105E7252"/>
    <w:rsid w:val="113F00BC"/>
    <w:rsid w:val="12255F87"/>
    <w:rsid w:val="128C0CD5"/>
    <w:rsid w:val="12B265D2"/>
    <w:rsid w:val="12C91640"/>
    <w:rsid w:val="135710EF"/>
    <w:rsid w:val="13815A40"/>
    <w:rsid w:val="13D92294"/>
    <w:rsid w:val="13F757AF"/>
    <w:rsid w:val="15876BF9"/>
    <w:rsid w:val="162809BE"/>
    <w:rsid w:val="16326F42"/>
    <w:rsid w:val="164D3D81"/>
    <w:rsid w:val="17022D3B"/>
    <w:rsid w:val="190D0CF1"/>
    <w:rsid w:val="193E32D3"/>
    <w:rsid w:val="196219C6"/>
    <w:rsid w:val="19B401AA"/>
    <w:rsid w:val="1B8113E4"/>
    <w:rsid w:val="1C0C1E63"/>
    <w:rsid w:val="1CAA0E7F"/>
    <w:rsid w:val="1E1D2B3A"/>
    <w:rsid w:val="1E8C0282"/>
    <w:rsid w:val="1EAF5A69"/>
    <w:rsid w:val="21C51FB2"/>
    <w:rsid w:val="21D0623B"/>
    <w:rsid w:val="22E116F5"/>
    <w:rsid w:val="23017BB7"/>
    <w:rsid w:val="23EC35DD"/>
    <w:rsid w:val="24E33679"/>
    <w:rsid w:val="2572277A"/>
    <w:rsid w:val="263C29C8"/>
    <w:rsid w:val="26E43C22"/>
    <w:rsid w:val="276608C2"/>
    <w:rsid w:val="2778667E"/>
    <w:rsid w:val="27BF733B"/>
    <w:rsid w:val="27C073CA"/>
    <w:rsid w:val="28106757"/>
    <w:rsid w:val="29CC4AEB"/>
    <w:rsid w:val="2A6A2882"/>
    <w:rsid w:val="2AF97F59"/>
    <w:rsid w:val="2C877284"/>
    <w:rsid w:val="2F321194"/>
    <w:rsid w:val="30CE0D06"/>
    <w:rsid w:val="30FA7DCF"/>
    <w:rsid w:val="31D05AB9"/>
    <w:rsid w:val="33145075"/>
    <w:rsid w:val="338A0A52"/>
    <w:rsid w:val="33B465AC"/>
    <w:rsid w:val="34BF07EA"/>
    <w:rsid w:val="3663062D"/>
    <w:rsid w:val="36872B6A"/>
    <w:rsid w:val="36ED4A2A"/>
    <w:rsid w:val="36F208AA"/>
    <w:rsid w:val="37421881"/>
    <w:rsid w:val="376128E6"/>
    <w:rsid w:val="376E1D66"/>
    <w:rsid w:val="37AD500C"/>
    <w:rsid w:val="39A411CC"/>
    <w:rsid w:val="39BE55B3"/>
    <w:rsid w:val="3A2D74EF"/>
    <w:rsid w:val="3A382EAF"/>
    <w:rsid w:val="3B7A1B60"/>
    <w:rsid w:val="3C2C4B24"/>
    <w:rsid w:val="3CB9732D"/>
    <w:rsid w:val="3CD963DD"/>
    <w:rsid w:val="3F405AF8"/>
    <w:rsid w:val="3F7656A8"/>
    <w:rsid w:val="3FF33332"/>
    <w:rsid w:val="400728CC"/>
    <w:rsid w:val="40C74436"/>
    <w:rsid w:val="40F20973"/>
    <w:rsid w:val="4285078C"/>
    <w:rsid w:val="4365697B"/>
    <w:rsid w:val="44C83122"/>
    <w:rsid w:val="44F26A7A"/>
    <w:rsid w:val="488C5052"/>
    <w:rsid w:val="48EA5720"/>
    <w:rsid w:val="496A379E"/>
    <w:rsid w:val="49D071C0"/>
    <w:rsid w:val="4A1D626D"/>
    <w:rsid w:val="4B135D0A"/>
    <w:rsid w:val="4B562149"/>
    <w:rsid w:val="4F0D7F08"/>
    <w:rsid w:val="501F7BFF"/>
    <w:rsid w:val="51BB0E3C"/>
    <w:rsid w:val="51E67EB6"/>
    <w:rsid w:val="56FE42EB"/>
    <w:rsid w:val="575B456D"/>
    <w:rsid w:val="5765221B"/>
    <w:rsid w:val="57D47513"/>
    <w:rsid w:val="58E10D95"/>
    <w:rsid w:val="59244017"/>
    <w:rsid w:val="5932074F"/>
    <w:rsid w:val="597933D0"/>
    <w:rsid w:val="59A851B2"/>
    <w:rsid w:val="5A770963"/>
    <w:rsid w:val="5AB33297"/>
    <w:rsid w:val="5AE82E61"/>
    <w:rsid w:val="5B1D3F8F"/>
    <w:rsid w:val="5E6913A6"/>
    <w:rsid w:val="5F534ADC"/>
    <w:rsid w:val="60E471BF"/>
    <w:rsid w:val="60F02A2F"/>
    <w:rsid w:val="6117695C"/>
    <w:rsid w:val="61726DA2"/>
    <w:rsid w:val="62E827BB"/>
    <w:rsid w:val="62E90D49"/>
    <w:rsid w:val="630760C8"/>
    <w:rsid w:val="63097882"/>
    <w:rsid w:val="644514FF"/>
    <w:rsid w:val="64EC4E4A"/>
    <w:rsid w:val="650F3C39"/>
    <w:rsid w:val="658340A3"/>
    <w:rsid w:val="66847EB2"/>
    <w:rsid w:val="68155E05"/>
    <w:rsid w:val="698D0548"/>
    <w:rsid w:val="6A05709A"/>
    <w:rsid w:val="6DBB76BC"/>
    <w:rsid w:val="6F12213A"/>
    <w:rsid w:val="709F1921"/>
    <w:rsid w:val="70A23D12"/>
    <w:rsid w:val="70A52984"/>
    <w:rsid w:val="7131166F"/>
    <w:rsid w:val="72050688"/>
    <w:rsid w:val="72473739"/>
    <w:rsid w:val="737A1224"/>
    <w:rsid w:val="73E07CF7"/>
    <w:rsid w:val="741A0575"/>
    <w:rsid w:val="759251A6"/>
    <w:rsid w:val="76266D9F"/>
    <w:rsid w:val="77BB532B"/>
    <w:rsid w:val="77ED59E6"/>
    <w:rsid w:val="78017FB8"/>
    <w:rsid w:val="782865F4"/>
    <w:rsid w:val="784875D4"/>
    <w:rsid w:val="78C91CED"/>
    <w:rsid w:val="78F521B1"/>
    <w:rsid w:val="79B50554"/>
    <w:rsid w:val="7A0B22A8"/>
    <w:rsid w:val="7B090D1F"/>
    <w:rsid w:val="7B3F7B7E"/>
    <w:rsid w:val="7B486307"/>
    <w:rsid w:val="7BFE7218"/>
    <w:rsid w:val="7C6465C1"/>
    <w:rsid w:val="7CF3789C"/>
    <w:rsid w:val="7DDD7004"/>
    <w:rsid w:val="CEA4A071"/>
    <w:rsid w:val="FFD25A4E"/>
  </w:rsids>
  <m:mathPr>
    <m:mathFont m:val="Cambria Math"/>
    <m:brkBin m:val="before"/>
    <m:brkBinSub m:val="--"/>
    <m:smallFrac m:val="0"/>
    <m:dispDef/>
    <m:lMargin m:val="0"/>
    <m:rMargin m:val="0"/>
    <m:defJc m:val="centerGroup"/>
    <m:wrapIndent m:val="1440"/>
    <m:intLim m:val="subSup"/>
    <m:naryLim m:val="undOvr"/>
  </m:mathPr>
  <w:attachedSchema w:val="http://www.wps.cn/officeDocument/2013/wpsCustomData"/>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ind w:firstLine="0" w:firstLineChars="0"/>
    </w:pPr>
    <w:rPr>
      <w:rFonts w:ascii="Calibri" w:hAnsi="Calibri" w:eastAsia="宋体" w:cs="Times New Roman"/>
      <w:kern w:val="2"/>
      <w:sz w:val="21"/>
      <w:szCs w:val="22"/>
      <w:lang w:val="en-US" w:eastAsia="zh-CN" w:bidi="ar-SA"/>
    </w:rPr>
  </w:style>
  <w:style w:type="paragraph" w:styleId="3">
    <w:name w:val="heading 1"/>
    <w:basedOn w:val="1"/>
    <w:next w:val="1"/>
    <w:link w:val="27"/>
    <w:qFormat/>
    <w:uiPriority w:val="0"/>
    <w:pPr>
      <w:keepNext/>
      <w:keepLines/>
      <w:spacing w:line="578" w:lineRule="auto"/>
      <w:outlineLvl w:val="0"/>
    </w:pPr>
    <w:rPr>
      <w:b/>
      <w:kern w:val="44"/>
      <w:sz w:val="32"/>
      <w:szCs w:val="44"/>
    </w:rPr>
  </w:style>
  <w:style w:type="paragraph" w:styleId="2">
    <w:name w:val="heading 2"/>
    <w:basedOn w:val="1"/>
    <w:next w:val="1"/>
    <w:link w:val="26"/>
    <w:qFormat/>
    <w:uiPriority w:val="0"/>
    <w:pPr>
      <w:keepNext/>
      <w:keepLines/>
      <w:spacing w:line="416" w:lineRule="auto"/>
      <w:outlineLvl w:val="1"/>
    </w:pPr>
    <w:rPr>
      <w:rFonts w:ascii="Cambria" w:hAnsi="Cambria"/>
      <w:b/>
      <w:sz w:val="32"/>
      <w:szCs w:val="32"/>
    </w:rPr>
  </w:style>
  <w:style w:type="paragraph" w:styleId="4">
    <w:name w:val="heading 3"/>
    <w:basedOn w:val="5"/>
    <w:next w:val="5"/>
    <w:link w:val="34"/>
    <w:qFormat/>
    <w:uiPriority w:val="0"/>
    <w:pPr>
      <w:keepNext/>
      <w:keepLines/>
      <w:spacing w:line="416" w:lineRule="auto"/>
      <w:ind w:left="100" w:leftChars="100" w:right="100" w:rightChars="100"/>
      <w:jc w:val="left"/>
      <w:outlineLvl w:val="2"/>
    </w:pPr>
    <w:rPr>
      <w:b/>
      <w:sz w:val="28"/>
      <w:szCs w:val="32"/>
    </w:rPr>
  </w:style>
  <w:style w:type="paragraph" w:styleId="6">
    <w:name w:val="heading 4"/>
    <w:basedOn w:val="1"/>
    <w:next w:val="1"/>
    <w:qFormat/>
    <w:uiPriority w:val="0"/>
    <w:pPr>
      <w:keepNext/>
      <w:keepLines/>
      <w:spacing w:before="280" w:after="290" w:line="376" w:lineRule="auto"/>
      <w:outlineLvl w:val="3"/>
    </w:pPr>
    <w:rPr>
      <w:rFonts w:ascii="Cambria" w:hAnsi="Cambria"/>
      <w:b/>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5">
    <w:name w:val="无间隔1"/>
    <w:qFormat/>
    <w:uiPriority w:val="0"/>
    <w:pPr>
      <w:widowControl w:val="0"/>
      <w:spacing w:line="360" w:lineRule="auto"/>
      <w:ind w:firstLine="200" w:firstLineChars="200"/>
      <w:jc w:val="both"/>
    </w:pPr>
    <w:rPr>
      <w:rFonts w:ascii="Calibri" w:hAnsi="Calibri" w:eastAsia="宋体" w:cs="Times New Roman"/>
      <w:kern w:val="2"/>
      <w:sz w:val="21"/>
      <w:szCs w:val="22"/>
      <w:lang w:val="en-US" w:eastAsia="zh-CN" w:bidi="ar-SA"/>
    </w:rPr>
  </w:style>
  <w:style w:type="paragraph" w:styleId="7">
    <w:name w:val="Normal Indent"/>
    <w:basedOn w:val="1"/>
    <w:qFormat/>
    <w:uiPriority w:val="0"/>
    <w:pPr>
      <w:ind w:firstLine="420"/>
    </w:pPr>
    <w:rPr>
      <w:szCs w:val="20"/>
    </w:rPr>
  </w:style>
  <w:style w:type="paragraph" w:styleId="8">
    <w:name w:val="annotation text"/>
    <w:basedOn w:val="1"/>
    <w:link w:val="37"/>
    <w:qFormat/>
    <w:uiPriority w:val="0"/>
  </w:style>
  <w:style w:type="paragraph" w:styleId="9">
    <w:name w:val="Body Text"/>
    <w:basedOn w:val="1"/>
    <w:next w:val="1"/>
    <w:qFormat/>
    <w:uiPriority w:val="0"/>
    <w:pPr>
      <w:spacing w:after="120"/>
    </w:pPr>
    <w:rPr>
      <w:rFonts w:eastAsia="宋体"/>
    </w:rPr>
  </w:style>
  <w:style w:type="paragraph" w:styleId="10">
    <w:name w:val="Block Text"/>
    <w:basedOn w:val="1"/>
    <w:semiHidden/>
    <w:unhideWhenUsed/>
    <w:qFormat/>
    <w:uiPriority w:val="99"/>
    <w:pPr>
      <w:spacing w:after="120" w:afterLines="0" w:afterAutospacing="0"/>
      <w:ind w:left="1440" w:leftChars="700" w:rightChars="700"/>
    </w:pPr>
  </w:style>
  <w:style w:type="paragraph" w:styleId="11">
    <w:name w:val="toc 5"/>
    <w:basedOn w:val="1"/>
    <w:next w:val="1"/>
    <w:qFormat/>
    <w:uiPriority w:val="39"/>
    <w:pPr>
      <w:ind w:left="1680" w:leftChars="800"/>
    </w:pPr>
    <w:rPr>
      <w:szCs w:val="20"/>
    </w:rPr>
  </w:style>
  <w:style w:type="paragraph" w:styleId="12">
    <w:name w:val="toc 3"/>
    <w:basedOn w:val="1"/>
    <w:next w:val="1"/>
    <w:qFormat/>
    <w:uiPriority w:val="0"/>
    <w:pPr>
      <w:spacing w:after="100" w:line="276" w:lineRule="auto"/>
      <w:ind w:left="440"/>
    </w:pPr>
    <w:rPr>
      <w:kern w:val="0"/>
      <w:sz w:val="32"/>
    </w:rPr>
  </w:style>
  <w:style w:type="paragraph" w:styleId="13">
    <w:name w:val="Balloon Text"/>
    <w:basedOn w:val="1"/>
    <w:link w:val="33"/>
    <w:qFormat/>
    <w:uiPriority w:val="0"/>
    <w:rPr>
      <w:sz w:val="18"/>
      <w:szCs w:val="18"/>
    </w:rPr>
  </w:style>
  <w:style w:type="paragraph" w:styleId="14">
    <w:name w:val="footer"/>
    <w:basedOn w:val="1"/>
    <w:link w:val="36"/>
    <w:qFormat/>
    <w:uiPriority w:val="0"/>
    <w:pPr>
      <w:snapToGrid w:val="0"/>
    </w:pPr>
    <w:rPr>
      <w:sz w:val="18"/>
      <w:szCs w:val="18"/>
    </w:rPr>
  </w:style>
  <w:style w:type="paragraph" w:styleId="15">
    <w:name w:val="header"/>
    <w:basedOn w:val="1"/>
    <w:next w:val="10"/>
    <w:link w:val="35"/>
    <w:qFormat/>
    <w:uiPriority w:val="0"/>
    <w:pPr>
      <w:pBdr>
        <w:bottom w:val="single" w:color="auto" w:sz="6" w:space="1"/>
      </w:pBdr>
      <w:snapToGrid w:val="0"/>
      <w:jc w:val="center"/>
    </w:pPr>
    <w:rPr>
      <w:sz w:val="18"/>
      <w:szCs w:val="18"/>
    </w:rPr>
  </w:style>
  <w:style w:type="paragraph" w:styleId="16">
    <w:name w:val="toc 1"/>
    <w:basedOn w:val="1"/>
    <w:next w:val="1"/>
    <w:qFormat/>
    <w:uiPriority w:val="0"/>
    <w:pPr>
      <w:spacing w:after="100" w:line="276" w:lineRule="auto"/>
    </w:pPr>
    <w:rPr>
      <w:b/>
      <w:kern w:val="0"/>
      <w:sz w:val="32"/>
    </w:rPr>
  </w:style>
  <w:style w:type="paragraph" w:styleId="17">
    <w:name w:val="Subtitle"/>
    <w:basedOn w:val="1"/>
    <w:next w:val="1"/>
    <w:qFormat/>
    <w:uiPriority w:val="99"/>
    <w:pPr>
      <w:widowControl/>
      <w:spacing w:before="240" w:after="60" w:line="312" w:lineRule="atLeast"/>
      <w:ind w:firstLine="419"/>
      <w:jc w:val="center"/>
      <w:textAlignment w:val="baseline"/>
      <w:outlineLvl w:val="1"/>
    </w:pPr>
    <w:rPr>
      <w:rFonts w:ascii="Cambria" w:hAnsi="Cambria"/>
      <w:b/>
      <w:bCs/>
      <w:color w:val="000000"/>
      <w:kern w:val="28"/>
      <w:sz w:val="32"/>
      <w:szCs w:val="32"/>
    </w:rPr>
  </w:style>
  <w:style w:type="paragraph" w:styleId="18">
    <w:name w:val="toc 2"/>
    <w:basedOn w:val="1"/>
    <w:next w:val="1"/>
    <w:qFormat/>
    <w:uiPriority w:val="0"/>
    <w:pPr>
      <w:spacing w:after="100" w:line="276" w:lineRule="auto"/>
      <w:ind w:left="220"/>
    </w:pPr>
    <w:rPr>
      <w:kern w:val="0"/>
      <w:sz w:val="32"/>
    </w:rPr>
  </w:style>
  <w:style w:type="paragraph" w:styleId="19">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20">
    <w:name w:val="annotation subject"/>
    <w:basedOn w:val="8"/>
    <w:next w:val="8"/>
    <w:link w:val="38"/>
    <w:qFormat/>
    <w:uiPriority w:val="0"/>
    <w:rPr>
      <w:b/>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basedOn w:val="23"/>
    <w:qFormat/>
    <w:uiPriority w:val="0"/>
    <w:rPr>
      <w:color w:val="0000FF"/>
      <w:u w:val="single"/>
    </w:rPr>
  </w:style>
  <w:style w:type="character" w:styleId="25">
    <w:name w:val="annotation reference"/>
    <w:qFormat/>
    <w:uiPriority w:val="0"/>
    <w:rPr>
      <w:sz w:val="21"/>
    </w:rPr>
  </w:style>
  <w:style w:type="character" w:customStyle="1" w:styleId="26">
    <w:name w:val="标题 2 字符"/>
    <w:link w:val="2"/>
    <w:qFormat/>
    <w:uiPriority w:val="0"/>
    <w:rPr>
      <w:rFonts w:hint="default" w:ascii="Cambria" w:hAnsi="Cambria" w:eastAsia="宋体" w:cs="Times New Roman"/>
      <w:b/>
      <w:sz w:val="32"/>
      <w:szCs w:val="32"/>
    </w:rPr>
  </w:style>
  <w:style w:type="character" w:customStyle="1" w:styleId="27">
    <w:name w:val="标题 1 字符"/>
    <w:link w:val="3"/>
    <w:qFormat/>
    <w:uiPriority w:val="0"/>
    <w:rPr>
      <w:b/>
      <w:kern w:val="44"/>
      <w:sz w:val="32"/>
      <w:szCs w:val="44"/>
    </w:rPr>
  </w:style>
  <w:style w:type="paragraph" w:customStyle="1" w:styleId="2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9">
    <w:name w:val="表格文字"/>
    <w:basedOn w:val="1"/>
    <w:next w:val="9"/>
    <w:qFormat/>
    <w:uiPriority w:val="0"/>
    <w:pPr>
      <w:spacing w:before="25" w:after="25"/>
      <w:jc w:val="left"/>
    </w:pPr>
    <w:rPr>
      <w:bCs/>
      <w:spacing w:val="10"/>
      <w:kern w:val="0"/>
      <w:sz w:val="24"/>
    </w:rPr>
  </w:style>
  <w:style w:type="paragraph" w:customStyle="1" w:styleId="30">
    <w:name w:val="列出段落1"/>
    <w:basedOn w:val="1"/>
    <w:link w:val="31"/>
    <w:qFormat/>
    <w:uiPriority w:val="0"/>
    <w:pPr>
      <w:ind w:firstLine="420"/>
    </w:pPr>
  </w:style>
  <w:style w:type="character" w:customStyle="1" w:styleId="31">
    <w:name w:val="列出段落 Char"/>
    <w:link w:val="30"/>
    <w:qFormat/>
    <w:uiPriority w:val="0"/>
  </w:style>
  <w:style w:type="paragraph" w:customStyle="1" w:styleId="32">
    <w:name w:val="TOC 标题1"/>
    <w:basedOn w:val="3"/>
    <w:next w:val="1"/>
    <w:qFormat/>
    <w:uiPriority w:val="0"/>
    <w:pPr>
      <w:spacing w:before="480" w:line="276" w:lineRule="auto"/>
      <w:outlineLvl w:val="9"/>
    </w:pPr>
    <w:rPr>
      <w:rFonts w:ascii="Cambria" w:hAnsi="Cambria"/>
      <w:color w:val="365F91"/>
      <w:kern w:val="0"/>
      <w:sz w:val="28"/>
      <w:szCs w:val="28"/>
    </w:rPr>
  </w:style>
  <w:style w:type="character" w:customStyle="1" w:styleId="33">
    <w:name w:val="批注框文本 字符"/>
    <w:link w:val="13"/>
    <w:qFormat/>
    <w:uiPriority w:val="0"/>
    <w:rPr>
      <w:sz w:val="18"/>
      <w:szCs w:val="18"/>
    </w:rPr>
  </w:style>
  <w:style w:type="character" w:customStyle="1" w:styleId="34">
    <w:name w:val="标题 3 字符"/>
    <w:link w:val="4"/>
    <w:qFormat/>
    <w:uiPriority w:val="0"/>
    <w:rPr>
      <w:b/>
      <w:sz w:val="28"/>
      <w:szCs w:val="32"/>
    </w:rPr>
  </w:style>
  <w:style w:type="character" w:customStyle="1" w:styleId="35">
    <w:name w:val="页眉 字符"/>
    <w:link w:val="15"/>
    <w:qFormat/>
    <w:uiPriority w:val="0"/>
    <w:rPr>
      <w:sz w:val="18"/>
      <w:szCs w:val="18"/>
    </w:rPr>
  </w:style>
  <w:style w:type="character" w:customStyle="1" w:styleId="36">
    <w:name w:val="页脚 字符"/>
    <w:link w:val="14"/>
    <w:qFormat/>
    <w:uiPriority w:val="0"/>
    <w:rPr>
      <w:sz w:val="18"/>
      <w:szCs w:val="18"/>
    </w:rPr>
  </w:style>
  <w:style w:type="character" w:customStyle="1" w:styleId="37">
    <w:name w:val="批注文字 字符"/>
    <w:basedOn w:val="23"/>
    <w:link w:val="8"/>
    <w:qFormat/>
    <w:uiPriority w:val="0"/>
  </w:style>
  <w:style w:type="character" w:customStyle="1" w:styleId="38">
    <w:name w:val="批注主题 字符"/>
    <w:link w:val="20"/>
    <w:qFormat/>
    <w:uiPriority w:val="0"/>
    <w:rPr>
      <w:b/>
    </w:rPr>
  </w:style>
  <w:style w:type="paragraph" w:customStyle="1" w:styleId="39">
    <w:name w:val="*正文"/>
    <w:basedOn w:val="7"/>
    <w:qFormat/>
    <w:uiPriority w:val="0"/>
    <w:pPr>
      <w:ind w:firstLine="560"/>
    </w:pPr>
    <w:rPr>
      <w:rFonts w:ascii="宋体" w:hAnsi="宋体"/>
      <w:color w:val="000000"/>
      <w:kern w:val="0"/>
      <w:sz w:val="28"/>
      <w:szCs w:val="24"/>
    </w:rPr>
  </w:style>
  <w:style w:type="paragraph" w:customStyle="1" w:styleId="40">
    <w:name w:val="列出段落2"/>
    <w:basedOn w:val="1"/>
    <w:qFormat/>
    <w:uiPriority w:val="0"/>
    <w:pPr>
      <w:ind w:firstLine="420"/>
    </w:pPr>
  </w:style>
  <w:style w:type="paragraph" w:customStyle="1" w:styleId="41">
    <w:name w:val="正文 New New New New"/>
    <w:qFormat/>
    <w:uiPriority w:val="0"/>
    <w:pPr>
      <w:widowControl w:val="0"/>
      <w:spacing w:line="360" w:lineRule="auto"/>
      <w:ind w:firstLine="200" w:firstLineChars="200"/>
      <w:jc w:val="both"/>
    </w:pPr>
    <w:rPr>
      <w:rFonts w:ascii="Times New Roman" w:hAnsi="Times New Roman" w:eastAsia="等线" w:cs="宋体"/>
      <w:szCs w:val="24"/>
      <w:lang w:val="en-US" w:eastAsia="zh-CN" w:bidi="ar-SA"/>
    </w:rPr>
  </w:style>
  <w:style w:type="paragraph" w:customStyle="1" w:styleId="42">
    <w:name w:val="列表段落2"/>
    <w:basedOn w:val="1"/>
    <w:qFormat/>
    <w:uiPriority w:val="0"/>
    <w:pPr>
      <w:ind w:firstLine="420"/>
    </w:pPr>
  </w:style>
  <w:style w:type="paragraph" w:customStyle="1" w:styleId="43">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列表段落1"/>
    <w:basedOn w:val="1"/>
    <w:qFormat/>
    <w:uiPriority w:val="0"/>
    <w:pPr>
      <w:ind w:firstLine="420"/>
    </w:pPr>
  </w:style>
  <w:style w:type="paragraph" w:styleId="45">
    <w:name w:val="List Paragraph"/>
    <w:basedOn w:val="1"/>
    <w:unhideWhenUsed/>
    <w:qFormat/>
    <w:uiPriority w:val="99"/>
    <w:pPr>
      <w:ind w:firstLine="420"/>
    </w:pPr>
  </w:style>
  <w:style w:type="character" w:customStyle="1" w:styleId="46">
    <w:name w:val="font01"/>
    <w:basedOn w:val="23"/>
    <w:qFormat/>
    <w:uiPriority w:val="0"/>
    <w:rPr>
      <w:rFonts w:hint="eastAsia" w:ascii="微软雅黑" w:hAnsi="微软雅黑" w:eastAsia="微软雅黑" w:cs="微软雅黑"/>
      <w:color w:val="000000"/>
      <w:sz w:val="20"/>
      <w:szCs w:val="20"/>
      <w:u w:val="none"/>
    </w:rPr>
  </w:style>
  <w:style w:type="character" w:customStyle="1" w:styleId="47">
    <w:name w:val="font11"/>
    <w:basedOn w:val="23"/>
    <w:qFormat/>
    <w:uiPriority w:val="0"/>
    <w:rPr>
      <w:rFonts w:hint="eastAsia" w:ascii="微软雅黑" w:hAnsi="微软雅黑" w:eastAsia="微软雅黑" w:cs="微软雅黑"/>
      <w:color w:val="000000"/>
      <w:sz w:val="20"/>
      <w:szCs w:val="20"/>
      <w:u w:val="none"/>
    </w:rPr>
  </w:style>
  <w:style w:type="character" w:customStyle="1" w:styleId="48">
    <w:name w:val="font41"/>
    <w:basedOn w:val="23"/>
    <w:qFormat/>
    <w:uiPriority w:val="0"/>
    <w:rPr>
      <w:rFonts w:hint="eastAsia" w:ascii="微软雅黑" w:hAnsi="微软雅黑" w:eastAsia="微软雅黑" w:cs="微软雅黑"/>
      <w:color w:val="000000"/>
      <w:sz w:val="20"/>
      <w:szCs w:val="20"/>
      <w:u w:val="none"/>
    </w:rPr>
  </w:style>
  <w:style w:type="character" w:customStyle="1" w:styleId="49">
    <w:name w:val="font31"/>
    <w:basedOn w:val="23"/>
    <w:qFormat/>
    <w:uiPriority w:val="0"/>
    <w:rPr>
      <w:rFonts w:hint="eastAsia" w:ascii="微软雅黑" w:hAnsi="微软雅黑" w:eastAsia="微软雅黑" w:cs="微软雅黑"/>
      <w:color w:val="000000"/>
      <w:sz w:val="22"/>
      <w:szCs w:val="22"/>
      <w:u w:val="none"/>
    </w:rPr>
  </w:style>
  <w:style w:type="character" w:customStyle="1" w:styleId="50">
    <w:name w:val="font21"/>
    <w:basedOn w:val="23"/>
    <w:qFormat/>
    <w:uiPriority w:val="0"/>
    <w:rPr>
      <w:rFonts w:hint="default" w:ascii="Arial" w:hAnsi="Arial" w:cs="Arial"/>
      <w:color w:val="000000"/>
      <w:sz w:val="20"/>
      <w:szCs w:val="20"/>
      <w:u w:val="none"/>
    </w:rPr>
  </w:style>
  <w:style w:type="paragraph" w:customStyle="1" w:styleId="51">
    <w:name w:val="我的正文"/>
    <w:basedOn w:val="9"/>
    <w:qFormat/>
    <w:uiPriority w:val="0"/>
    <w:pPr>
      <w:spacing w:line="360" w:lineRule="auto"/>
      <w:ind w:firstLine="480" w:firstLineChars="200"/>
      <w:jc w:val="left"/>
    </w:pPr>
    <w:rPr>
      <w:rFonts w:ascii="宋体"/>
      <w:sz w:val="24"/>
    </w:rPr>
  </w:style>
  <w:style w:type="paragraph" w:customStyle="1" w:styleId="52">
    <w:name w:val="正文 首行缩进:  2 字符"/>
    <w:basedOn w:val="1"/>
    <w:qFormat/>
    <w:uiPriority w:val="0"/>
    <w:pPr>
      <w:ind w:firstLine="579" w:firstLineChars="200"/>
    </w:pPr>
    <w:rPr>
      <w:rFonts w:cs="宋体"/>
      <w:sz w:val="28"/>
      <w:szCs w:val="20"/>
    </w:rPr>
  </w:style>
  <w:style w:type="character" w:customStyle="1" w:styleId="53">
    <w:name w:val="font101"/>
    <w:basedOn w:val="23"/>
    <w:qFormat/>
    <w:uiPriority w:val="0"/>
    <w:rPr>
      <w:rFonts w:ascii="Calibri" w:hAnsi="Calibri" w:eastAsia="宋体" w:cs="Calibri"/>
      <w:color w:val="000000"/>
      <w:sz w:val="24"/>
      <w:szCs w:val="24"/>
      <w:u w:val="none"/>
    </w:rPr>
  </w:style>
  <w:style w:type="character" w:customStyle="1" w:styleId="54">
    <w:name w:val="font81"/>
    <w:basedOn w:val="23"/>
    <w:qFormat/>
    <w:uiPriority w:val="0"/>
    <w:rPr>
      <w:rFonts w:hint="eastAsia" w:ascii="宋体" w:hAnsi="宋体" w:eastAsia="宋体" w:cs="宋体"/>
      <w:color w:val="000000"/>
      <w:sz w:val="24"/>
      <w:szCs w:val="24"/>
      <w:u w:val="none"/>
    </w:rPr>
  </w:style>
  <w:style w:type="character" w:customStyle="1" w:styleId="55">
    <w:name w:val="font51"/>
    <w:basedOn w:val="23"/>
    <w:qFormat/>
    <w:uiPriority w:val="0"/>
    <w:rPr>
      <w:rFonts w:hint="eastAsia" w:ascii="微软雅黑 Light" w:hAnsi="微软雅黑 Light" w:eastAsia="微软雅黑 Light" w:cs="微软雅黑 Light"/>
      <w:color w:val="000000"/>
      <w:sz w:val="16"/>
      <w:szCs w:val="16"/>
      <w:u w:val="none"/>
    </w:rPr>
  </w:style>
  <w:style w:type="paragraph" w:customStyle="1" w:styleId="56">
    <w:name w:val="Default"/>
    <w:unhideWhenUsed/>
    <w:qFormat/>
    <w:uiPriority w:val="99"/>
    <w:pPr>
      <w:widowControl w:val="0"/>
      <w:autoSpaceDE w:val="0"/>
      <w:autoSpaceDN w:val="0"/>
      <w:spacing w:line="240" w:lineRule="atLeast"/>
    </w:pPr>
    <w:rPr>
      <w:rFonts w:hint="eastAsia" w:ascii="宋体" w:hAnsi="Times New Roman" w:eastAsia="宋体" w:cs="Times New Roman"/>
      <w:color w:val="000000"/>
      <w:sz w:val="24"/>
      <w:szCs w:val="22"/>
      <w:lang w:val="en-US" w:eastAsia="zh-CN" w:bidi="ar-SA"/>
    </w:rPr>
  </w:style>
  <w:style w:type="character" w:customStyle="1" w:styleId="57">
    <w:name w:val="font71"/>
    <w:basedOn w:val="23"/>
    <w:qFormat/>
    <w:uiPriority w:val="0"/>
    <w:rPr>
      <w:rFonts w:hint="default" w:ascii="Times New Roman" w:hAnsi="Times New Roman" w:cs="Times New Roman"/>
      <w:color w:val="000000"/>
      <w:sz w:val="20"/>
      <w:szCs w:val="20"/>
      <w:u w:val="none"/>
      <w:vertAlign w:val="superscript"/>
    </w:rPr>
  </w:style>
  <w:style w:type="character" w:customStyle="1" w:styleId="58">
    <w:name w:val="font61"/>
    <w:basedOn w:val="23"/>
    <w:qFormat/>
    <w:uiPriority w:val="0"/>
    <w:rPr>
      <w:rFonts w:hint="eastAsia" w:ascii="宋体" w:hAnsi="宋体" w:eastAsia="宋体" w:cs="宋体"/>
      <w:color w:val="000000"/>
      <w:sz w:val="20"/>
      <w:szCs w:val="20"/>
      <w:u w:val="none"/>
    </w:rPr>
  </w:style>
  <w:style w:type="character" w:customStyle="1" w:styleId="59">
    <w:name w:val="font91"/>
    <w:basedOn w:val="23"/>
    <w:qFormat/>
    <w:uiPriority w:val="0"/>
    <w:rPr>
      <w:rFonts w:hint="default" w:ascii="Times New Roman" w:hAnsi="Times New Roman" w:cs="Times New Roman"/>
      <w:b/>
      <w:bCs/>
      <w:color w:val="000000"/>
      <w:sz w:val="20"/>
      <w:szCs w:val="20"/>
      <w:u w:val="none"/>
    </w:rPr>
  </w:style>
  <w:style w:type="character" w:customStyle="1" w:styleId="60">
    <w:name w:val="font131"/>
    <w:basedOn w:val="23"/>
    <w:qFormat/>
    <w:uiPriority w:val="0"/>
    <w:rPr>
      <w:rFonts w:ascii="Calibri" w:hAnsi="Calibri" w:cs="Calibri"/>
      <w:color w:val="000000"/>
      <w:sz w:val="24"/>
      <w:szCs w:val="24"/>
      <w:u w:val="none"/>
    </w:rPr>
  </w:style>
  <w:style w:type="character" w:customStyle="1" w:styleId="61">
    <w:name w:val="font112"/>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0F167C-CF10-4642-BB45-BEE6EE97D16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14</Pages>
  <Words>10297</Words>
  <Characters>10972</Characters>
  <Lines>117</Lines>
  <Paragraphs>33</Paragraphs>
  <TotalTime>2</TotalTime>
  <ScaleCrop>false</ScaleCrop>
  <LinksUpToDate>false</LinksUpToDate>
  <CharactersWithSpaces>11132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2021-05-17T18:29:00Z</dcterms:created>
  <dc:creator>leoht</dc:creator>
  <cp:lastModifiedBy>時間之沙</cp:lastModifiedBy>
  <cp:lastPrinted>2023-05-29T07:35:00Z</cp:lastPrinted>
  <dcterms:modified xsi:type="dcterms:W3CDTF">2023-06-21T06:58:52Z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75074B43C94740059A8DACD359797D4E_13</vt:lpwstr>
  </property>
</Properties>
</file>