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4E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更正事项1：</w:t>
      </w:r>
    </w:p>
    <w:p w14:paraId="376A56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第三章采购需求-二、技术指标部分删除“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心理测评（中小学各一套）”、“心理沙盘管理系统”、“减压心立方”、“团体活动辅导箱（团体型）”中“▲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投标时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提供由第三方检测机构出具的带有CMA或CNAS标志的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测试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报告扫描件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原件备查。</w:t>
      </w:r>
      <w:r>
        <w:rPr>
          <w:rFonts w:hint="eastAsia"/>
          <w:sz w:val="24"/>
          <w:szCs w:val="24"/>
          <w:lang w:val="en-US" w:eastAsia="zh-CN"/>
        </w:rPr>
        <w:t>”的表述。上述产品其他技术参数不变。</w:t>
      </w:r>
    </w:p>
    <w:p w14:paraId="377D2CD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更正事项2：</w:t>
      </w:r>
    </w:p>
    <w:p w14:paraId="763F2C62">
      <w:pPr>
        <w:pStyle w:val="3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第五章</w:t>
      </w:r>
      <w:bookmarkStart w:id="0" w:name="_Toc22260"/>
      <w:r>
        <w:rPr>
          <w:rFonts w:hint="eastAsia"/>
          <w:sz w:val="24"/>
          <w:szCs w:val="24"/>
          <w:lang w:val="en-US" w:eastAsia="zh-CN"/>
        </w:rPr>
        <w:t>评标办法及标准</w:t>
      </w:r>
      <w:bookmarkEnd w:id="0"/>
      <w:r>
        <w:rPr>
          <w:rFonts w:hint="eastAsia"/>
          <w:sz w:val="24"/>
          <w:szCs w:val="24"/>
          <w:lang w:val="en-US" w:eastAsia="zh-CN"/>
        </w:rPr>
        <w:t>-（二）评分标准中</w:t>
      </w:r>
    </w:p>
    <w:tbl>
      <w:tblPr>
        <w:tblStyle w:val="8"/>
        <w:tblW w:w="9656" w:type="dxa"/>
        <w:tblInd w:w="-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52"/>
        <w:gridCol w:w="7780"/>
      </w:tblGrid>
      <w:tr w14:paraId="1BF7D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F65E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技术要求响应程度</w:t>
            </w:r>
          </w:p>
        </w:tc>
        <w:tc>
          <w:tcPr>
            <w:tcW w:w="68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E14E1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06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DE4FC55">
            <w:pPr>
              <w:pStyle w:val="6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投标人应根据具体技术要求如实填写《技术条款响应表》，评审委员会根据技术需求参数响应情况进行打分。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标注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▲的为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重要技术指标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共30项，需要提供检测报告、功能截图等相关证明材料，每项不满足扣1分，满分30分。标注●的为演示指标，共5项，需要提供视频演示证明材料，每个视频演示满分 2 分。评审依据内容完整度、与产品的贴合度综合打分：内容饱满、紧扣产品定位，得 2 分；内容中规中矩、基本贴合产品，得 1 分；内容简略、偏离产品主题，得 0 分。每项不满足扣2分，满分10分。</w:t>
            </w:r>
          </w:p>
          <w:p w14:paraId="71C9460E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562"/>
                <w:tab w:val="left" w:pos="3372"/>
                <w:tab w:val="left" w:pos="36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证明文件：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需要提供证相应证明文件的，则按照招标文件要求提供。如未按要求提供证明材料，或所提供的证明材料未能体现上述评分内容的，视为不满足，予以扣分。</w:t>
            </w:r>
          </w:p>
        </w:tc>
      </w:tr>
    </w:tbl>
    <w:p w14:paraId="2895773E">
      <w:pPr>
        <w:pStyle w:val="4"/>
        <w:ind w:left="0" w:leftChars="0" w:firstLine="0" w:firstLineChars="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更正为</w:t>
      </w:r>
    </w:p>
    <w:tbl>
      <w:tblPr>
        <w:tblStyle w:val="8"/>
        <w:tblW w:w="9656" w:type="dxa"/>
        <w:tblInd w:w="-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52"/>
        <w:gridCol w:w="7780"/>
      </w:tblGrid>
      <w:tr w14:paraId="58C35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F4C39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技术要求响应程度</w:t>
            </w:r>
          </w:p>
        </w:tc>
        <w:tc>
          <w:tcPr>
            <w:tcW w:w="68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259E88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分</w:t>
            </w:r>
          </w:p>
        </w:tc>
        <w:tc>
          <w:tcPr>
            <w:tcW w:w="706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36BEF79">
            <w:pPr>
              <w:pStyle w:val="6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投标人应根据具体技术要求如实填写《技术条款响应表》，评审委员会根据技术需求参数响应情况进行打分。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标注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▲的为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重要技术指标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共26项，需要提供检测报告、功能截图等相关证明材料，每项不满足扣1分，满分26分。标注●的为演示指标，共5项，需要提供视频演示证明材料，每个视频演示满分 2 分。评审依据内容完整度、与产品的贴合度综合打分：内容饱满、紧扣产品定位，得 2 分；内容中规中矩、基本贴合产品，得 1 分；内容简略、偏离产品主题，得 0 分。每项不满足扣2分，满分10分。</w:t>
            </w:r>
          </w:p>
          <w:p w14:paraId="6A408DD8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562"/>
                <w:tab w:val="left" w:pos="3372"/>
                <w:tab w:val="left" w:pos="36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证明文件：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需要提供证相应证明文件的，则按照招标文件要求提供。如未按要求提供证明材料，或所提供的证明材料未能体现上述评分内容的，视为不满足，予以扣分。</w:t>
            </w:r>
          </w:p>
        </w:tc>
      </w:tr>
    </w:tbl>
    <w:p w14:paraId="2C76F8C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更正事项3：</w:t>
      </w:r>
    </w:p>
    <w:p w14:paraId="7C9B9DED">
      <w:pPr>
        <w:pStyle w:val="3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第五章评标办法及标准-（二）评分标准中</w:t>
      </w:r>
    </w:p>
    <w:tbl>
      <w:tblPr>
        <w:tblStyle w:val="8"/>
        <w:tblW w:w="9656" w:type="dxa"/>
        <w:tblInd w:w="-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52"/>
        <w:gridCol w:w="7780"/>
      </w:tblGrid>
      <w:tr w14:paraId="57CBB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5C4D8EE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项目实施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方案</w:t>
            </w:r>
          </w:p>
        </w:tc>
        <w:tc>
          <w:tcPr>
            <w:tcW w:w="68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8F3B1C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1分</w:t>
            </w:r>
          </w:p>
        </w:tc>
        <w:tc>
          <w:tcPr>
            <w:tcW w:w="706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A551B84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投标人提供针对本项目的实施计划方案，内容至少包括供货质量保障措施、进度安排、货物的包装和运输、现场管理、安装方案和突发事件处置方案等，以确保按期、保质的交付货物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1E7445E7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评审标准：</w:t>
            </w:r>
          </w:p>
          <w:p w14:paraId="7F484605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（1）符合度：是否进行充分响应，不得提供与本评标项无关内容；（2）完整性：需结合整体需求，进行全方面的描述，不得缺项；（3）合理性：需依据本项目阐述，措施可落地，考虑到可能出现的问题并提出了有效的解决方案。</w:t>
            </w:r>
          </w:p>
          <w:p w14:paraId="3FA9DFFF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评分标准：</w:t>
            </w:r>
          </w:p>
          <w:p w14:paraId="7BA06747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根据评审内容对上述3项评审标准进行打分，评审标准完全满足3项的得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分，满足2项的得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分，满足1项的得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0.25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分，其他情况不得分。满分为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分。</w:t>
            </w:r>
          </w:p>
        </w:tc>
      </w:tr>
    </w:tbl>
    <w:p w14:paraId="79E0DB67">
      <w:pPr>
        <w:pStyle w:val="4"/>
        <w:ind w:left="0" w:leftChars="0" w:firstLine="0" w:firstLineChars="0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更正为</w:t>
      </w:r>
    </w:p>
    <w:tbl>
      <w:tblPr>
        <w:tblStyle w:val="8"/>
        <w:tblW w:w="9656" w:type="dxa"/>
        <w:tblInd w:w="-2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752"/>
        <w:gridCol w:w="7780"/>
      </w:tblGrid>
      <w:tr w14:paraId="0CFE3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3EE7DF8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项目实施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方案</w:t>
            </w:r>
          </w:p>
        </w:tc>
        <w:tc>
          <w:tcPr>
            <w:tcW w:w="683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2314E3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5分</w:t>
            </w:r>
          </w:p>
        </w:tc>
        <w:tc>
          <w:tcPr>
            <w:tcW w:w="7068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3872922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  <w:t>投标人提供针对本项目的实施计划方案，内容至少包括供货质量保障措施、进度安排、货物的包装和运输、现场管理、安装方案和突发事件处置方案等，以确保按期、保质的交付货物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3C349735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评审标准：</w:t>
            </w:r>
          </w:p>
          <w:p w14:paraId="0331FEC7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（1）符合度：是否进行充分响应，不得提供与本评标项无关内容；（2）完整性：需结合整体需求，进行全方面的描述，不得缺项；（3）合理性：需依据本项目阐述，措施可落地，考虑到可能出现的问题并提出了有效的解决方案。</w:t>
            </w:r>
          </w:p>
          <w:p w14:paraId="5ADA77EA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评分标准：</w:t>
            </w:r>
          </w:p>
          <w:p w14:paraId="38335EE1">
            <w:pPr>
              <w:widowControl/>
              <w:spacing w:line="400" w:lineRule="exact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根据评审内容对上述3项评审标准进行打分，评审标准完全满足3项的得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分，满足2项的得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2.5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分，满足1项的得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分，其他情况不得分。满分为</w:t>
            </w:r>
            <w:r>
              <w:rPr>
                <w:rFonts w:hint="eastAsia" w:cs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分。</w:t>
            </w:r>
          </w:p>
        </w:tc>
      </w:tr>
    </w:tbl>
    <w:p w14:paraId="24019E55">
      <w:pPr>
        <w:pStyle w:val="5"/>
        <w:ind w:left="0" w:leftChars="0" w:firstLine="0" w:firstLineChars="0"/>
        <w:rPr>
          <w:rFonts w:hint="default"/>
          <w:lang w:val="en-US" w:eastAsia="zh-CN"/>
        </w:rPr>
      </w:pPr>
    </w:p>
    <w:p w14:paraId="3015D3C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更正事项4：</w:t>
      </w:r>
    </w:p>
    <w:p w14:paraId="50009832">
      <w:pPr>
        <w:pStyle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开标时间延期至2026年7月21日9：30</w:t>
      </w:r>
    </w:p>
    <w:p w14:paraId="57D8E3C0">
      <w:pPr>
        <w:pStyle w:val="5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p w14:paraId="0ACE5615">
      <w:pPr>
        <w:pStyle w:val="3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B62C99"/>
    <w:rsid w:val="30B62C99"/>
    <w:rsid w:val="658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3"/>
    <w:qFormat/>
    <w:uiPriority w:val="0"/>
    <w:pPr>
      <w:widowControl/>
      <w:spacing w:line="420" w:lineRule="atLeast"/>
      <w:jc w:val="left"/>
      <w:textAlignment w:val="baseline"/>
    </w:pPr>
    <w:rPr>
      <w:rFonts w:ascii="Arial" w:hAnsi="Arial"/>
      <w:kern w:val="0"/>
      <w:sz w:val="19"/>
      <w:lang w:eastAsia="en-US"/>
    </w:rPr>
  </w:style>
  <w:style w:type="paragraph" w:customStyle="1" w:styleId="3">
    <w:name w:val="BodyText"/>
    <w:basedOn w:val="1"/>
    <w:next w:val="4"/>
    <w:qFormat/>
    <w:uiPriority w:val="0"/>
    <w:pPr>
      <w:widowControl/>
      <w:textAlignment w:val="baseline"/>
    </w:pPr>
    <w:rPr>
      <w:rFonts w:ascii="Arial" w:hAnsi="Arial"/>
      <w:sz w:val="19"/>
      <w:szCs w:val="19"/>
      <w:lang w:eastAsia="en-US"/>
    </w:rPr>
  </w:style>
  <w:style w:type="paragraph" w:customStyle="1" w:styleId="4">
    <w:name w:val="BodyText1I"/>
    <w:basedOn w:val="3"/>
    <w:next w:val="5"/>
    <w:qFormat/>
    <w:uiPriority w:val="0"/>
    <w:pPr>
      <w:tabs>
        <w:tab w:val="left" w:pos="482"/>
        <w:tab w:val="left" w:pos="2183"/>
        <w:tab w:val="left" w:pos="3884"/>
        <w:tab w:val="left" w:pos="5585"/>
      </w:tabs>
      <w:ind w:firstLine="482"/>
    </w:pPr>
    <w:rPr>
      <w:szCs w:val="20"/>
    </w:rPr>
  </w:style>
  <w:style w:type="paragraph" w:customStyle="1" w:styleId="5">
    <w:name w:val="TOC6"/>
    <w:basedOn w:val="1"/>
    <w:next w:val="1"/>
    <w:qFormat/>
    <w:uiPriority w:val="0"/>
    <w:pPr>
      <w:widowControl/>
      <w:ind w:left="2100"/>
      <w:textAlignment w:val="baseline"/>
    </w:pPr>
    <w:rPr>
      <w:rFonts w:ascii="Times New Roman" w:hAnsi="Times New Roman"/>
      <w:sz w:val="19"/>
      <w:szCs w:val="20"/>
      <w:lang w:eastAsia="en-US"/>
    </w:rPr>
  </w:style>
  <w:style w:type="paragraph" w:styleId="6">
    <w:name w:val="annotation text"/>
    <w:basedOn w:val="1"/>
    <w:qFormat/>
    <w:uiPriority w:val="0"/>
    <w:pPr>
      <w:spacing w:line="240" w:lineRule="auto"/>
    </w:pPr>
    <w:rPr>
      <w:rFonts w:eastAsiaTheme="minorEastAsia"/>
      <w:sz w:val="21"/>
      <w:szCs w:val="24"/>
    </w:rPr>
  </w:style>
  <w:style w:type="paragraph" w:styleId="7">
    <w:name w:val="Body Text"/>
    <w:basedOn w:val="1"/>
    <w:next w:val="1"/>
    <w:qFormat/>
    <w:uiPriority w:val="99"/>
    <w:pPr>
      <w:spacing w:after="120" w:line="240" w:lineRule="auto"/>
      <w:jc w:val="both"/>
    </w:pPr>
    <w:rPr>
      <w:rFonts w:eastAsiaTheme="minorEastAsia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2026-07-03T12:40:00Z</dcterms:created>
  <dc:creator>Tt</dc:creator>
  <cp:lastModifiedBy>Tt</cp:lastModifiedBy>
  <dcterms:modified xsi:type="dcterms:W3CDTF">2026-07-03T12:56:43Z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A31EAFCD1D3B41DFA0DD7DC08E8E78E2_11</vt:lpwstr>
  </property>
  <property fmtid="{D5CDD505-2E9C-101B-9397-08002B2CF9AE}" pid="4" name="KSOTemplateDocerSaveRecord">
    <vt:lpwstr>eyJoZGlkIjoiNjQ1OTg2YTRlOGIxZmYyMzc0ZGZlNzY0YjYyMmYzMDYiLCJ1c2VySWQiOiI0MTgxMjI3NDAifQ==</vt:lpwstr>
  </property>
</Properties>
</file>